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GRATUITO LEY KARIN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ESTRUCTURA DEL PROTOCOLO DE PREVENCIÓN DEL ACOSO SEXUAL, LABORAL Y LA VIOLENCIA EN EL TRABAJO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KARIN-GRATIS-01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CÓMO USAR ESTA ESTRUCTURA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Qué es: la estructura mínima de un protocolo de prevención según la Ley N° 21.643 y la Circular N° 3.813 de la SUSESO, para completar con los datos de tu empresa.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Cómo usarla: completa cada sección entre corchetes. Pide apoyo a tu mutualidad o al ISL para la evaluación de riesgos psicosociales.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Versión completa: el Kit Blindaje Laboral Pyme trae el protocolo ya redactado, la matriz de riesgos y las actas de resguardo y capacitación (calculolaboral.cl/kit-cumplimiento-laboral-pymes).</w:t>
            </w:r>
          </w:p>
        </w:tc>
      </w:tr>
    </w:tbl>
    <w:p>
      <w:pPr>
        <w:keepNext/>
        <w:spacing w:before="0" w:after="80"/>
      </w:pP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PRIMERO: Empresa y ámbito de aplicación. </w:t>
      </w:r>
      <w:r>
        <w:rPr>
          <w:rFonts w:ascii="Calibri" w:hAnsi="Calibri"/>
          <w:color w:val="1E293B"/>
          <w:sz w:val="20"/>
        </w:rPr>
        <w:t>Identifica a la empresa y a quiénes aplica el protocolo: trabajadores, jefaturas, personal subcontratado y terceros que interactúan con la empresa. Completa: [RAZÓN SOCIAL], RUT [RUT], domicilio [DIRECCIÓN, COMUNA].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SEGUNDO: Marco normativo. </w:t>
      </w:r>
      <w:r>
        <w:rPr>
          <w:rFonts w:ascii="Calibri" w:hAnsi="Calibri"/>
          <w:color w:val="1E293B"/>
          <w:sz w:val="20"/>
        </w:rPr>
        <w:t>Ley N° 21.643 (Ley Karin), artículo 2° y Título IV del Libro II del Código del Trabajo, Decreto Supremo N° 21 de 2024 del Ministerio del Trabajo (procedimiento de investigación), Circular N° 3.813 de la SUSESO y DS N° 44 de 2024 (gestión preventiva de riesgos).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TERCERO: Definiciones. </w:t>
      </w:r>
      <w:r>
        <w:rPr>
          <w:rFonts w:ascii="Calibri" w:hAnsi="Calibri"/>
          <w:color w:val="1E293B"/>
          <w:sz w:val="20"/>
        </w:rPr>
        <w:t>Transcribe las definiciones legales de acoso sexual, acoso laboral y violencia en el trabajo ejercida por terceros (artículo 2° del Código del Trabajo). Recuerda que el acoso laboral puede configurarse con una sola conducta.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CUARTO: Identificación de peligros y evaluación de riesgos psicosociales. </w:t>
      </w:r>
      <w:r>
        <w:rPr>
          <w:rFonts w:ascii="Calibri" w:hAnsi="Calibri"/>
          <w:color w:val="1E293B"/>
          <w:sz w:val="20"/>
        </w:rPr>
        <w:t>Describe cómo evaluarás los riesgos, con perspectiva de género, y quién lo hará. Completa: instrumento usado [CUESTIONARIO CEAL-SM / OTRO], responsable [NOMBRE], fecha de la última evaluación [FECHA].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QUINTO: Medidas de prevención y control. </w:t>
      </w:r>
      <w:r>
        <w:rPr>
          <w:rFonts w:ascii="Calibri" w:hAnsi="Calibri"/>
          <w:color w:val="1E293B"/>
          <w:sz w:val="20"/>
        </w:rPr>
        <w:t>Para cada riesgo identificado, una medida con objetivo medible. Completa: [MEDIDA] · responsable [NOMBRE] · plazo [FECHA] · indicador [CÓMO SE MIDE].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SEXTO: Capacitación e información. </w:t>
      </w:r>
      <w:r>
        <w:rPr>
          <w:rFonts w:ascii="Calibri" w:hAnsi="Calibri"/>
          <w:color w:val="1E293B"/>
          <w:sz w:val="20"/>
        </w:rPr>
        <w:t>Contenidos y frecuencia de las capacitaciones, y cómo informarás cada seis meses los canales de denuncia y las instancias estatales para denunciar. Completa: [FRECUENCIA], [MODALIDAD], [RESPONSABLE].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SÉPTIMO: Canal de denuncias. </w:t>
      </w:r>
      <w:r>
        <w:rPr>
          <w:rFonts w:ascii="Calibri" w:hAnsi="Calibri"/>
          <w:color w:val="1E293B"/>
          <w:sz w:val="20"/>
        </w:rPr>
        <w:t>Quién recibe las denuncias y por qué medios. Las denuncias pueden ser escritas o verbales; si son verbales, se levanta un acta firmada por quien denuncia (usa el formulario de este pack). Completa: receptor [NOMBRE / CARGO], correo [CORREO], otros medios [BUZÓN / FORMULARIO].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OCTAVO: Medidas de resguardo. </w:t>
      </w:r>
      <w:r>
        <w:rPr>
          <w:rFonts w:ascii="Calibri" w:hAnsi="Calibri"/>
          <w:color w:val="1E293B"/>
          <w:sz w:val="20"/>
        </w:rPr>
        <w:t>Al recibir una denuncia se adoptan de inmediato medidas de resguardo (separación de espacios, redistribución de la jornada u otras) y se deriva a la persona denunciante a la atención psicológica temprana del organismo administrador. Completa: organismo administrador [MUTUALIDAD / ISL].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NOVENO: Procedimiento de investigación. </w:t>
      </w:r>
      <w:r>
        <w:rPr>
          <w:rFonts w:ascii="Calibri" w:hAnsi="Calibri"/>
          <w:color w:val="1E293B"/>
          <w:sz w:val="20"/>
        </w:rPr>
        <w:t>Dentro de 3 días hábiles la empresa decide si investiga internamente o remite la denuncia a la Inspección del Trabajo. La investigación interna dura como máximo 30 días hábiles, se realiza por escrito y con confidencialidad, imparcialidad, celeridad y perspectiva de género, y su informe se envía a la Dirección del Trabajo. Completa: investigador designado [NOMBRE / CARGO].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DÉCIMO: Medidas y sanciones. </w:t>
      </w:r>
      <w:r>
        <w:rPr>
          <w:rFonts w:ascii="Calibri" w:hAnsi="Calibri"/>
          <w:color w:val="1E293B"/>
          <w:sz w:val="20"/>
        </w:rPr>
        <w:t>Las medidas o sanciones se aplican según el Reglamento Interno, dentro de 15 días desde que se reciben las observaciones de la Dirección del Trabajo o vence su plazo. Completa: sanciones previstas [AMONESTACIÓN / MULTA / OTRAS].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UNDÉCIMO: Privacidad, honra y no represalias. </w:t>
      </w:r>
      <w:r>
        <w:rPr>
          <w:rFonts w:ascii="Calibri" w:hAnsi="Calibri"/>
          <w:color w:val="1E293B"/>
          <w:sz w:val="20"/>
        </w:rPr>
        <w:t>Resguardo de la privacidad y la honra de todas las personas involucradas, y protección de quien denuncia y de los testigos, cualquiera sea el resultado de la investigación.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DUODÉCIMO: Difusión y vigencia. </w:t>
      </w:r>
      <w:r>
        <w:rPr>
          <w:rFonts w:ascii="Calibri" w:hAnsi="Calibri"/>
          <w:color w:val="1E293B"/>
          <w:sz w:val="20"/>
        </w:rPr>
        <w:t>El protocolo se entrega a cada trabajador (usa el comprobante de este pack) y se incorpora al Reglamento Interno en empresas con 10 o más trabajadores. Completa: fecha de vigencia [FECHA] y periodicidad de revisión [PERIODICIDAD].</w:t>
      </w:r>
    </w:p>
    <w:p>
      <w:pPr>
        <w:keepNext/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/ REPRESENTANTE LEGAL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>Razón Social: [RAZÓN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ENCARGADO(A) DEL CANAL DE PREVENCIÓN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>Nombre: [NOMBRE COMPLETO TRABAJADOR]</w:t>
              <w:br/>
              <w:t>RUT: [RUT TRABAJADOR]</w:t>
              <w:br/>
              <w:t>Cargo: [CARGO O FUNCIÓN]</w:t>
            </w:r>
          </w:p>
        </w:tc>
      </w:tr>
    </w:tbl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gratuito Ley Karin 2026 · Modelo de referencia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