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25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EV Market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0D">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5078232226188"/>
        <w:gridCol w:w="2015.5503705737033"/>
        <w:gridCol w:w="3357.970903101839"/>
        <w:gridCol w:w="3357.970903101839"/>
        <w:tblGridChange w:id="0">
          <w:tblGrid>
            <w:gridCol w:w="592.5078232226188"/>
            <w:gridCol w:w="2015.5503705737033"/>
            <w:gridCol w:w="3357.970903101839"/>
            <w:gridCol w:w="3357.970903101839"/>
          </w:tblGrid>
        </w:tblGridChange>
      </w:tblGrid>
      <w:tr>
        <w:trPr>
          <w:cantSplit w:val="0"/>
          <w:trHeight w:val="333"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Functional Requirement (Epic)</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Sub Requirement (Story / Sub-Task)</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Priority (High/Medium/Low)</w:t>
            </w:r>
          </w:p>
        </w:tc>
      </w:tr>
      <w:tr>
        <w:trPr>
          <w:cantSplit w:val="0"/>
          <w:trHeight w:val="489" w:hRule="atLeast"/>
          <w:tblHeader w:val="0"/>
        </w:trPr>
        <w:tc>
          <w:tcPr/>
          <w:p w:rsidR="00000000" w:rsidDel="00000000" w:rsidP="00000000" w:rsidRDefault="00000000" w:rsidRPr="00000000" w14:paraId="00000012">
            <w:pPr>
              <w:rPr/>
            </w:pPr>
            <w:r w:rsidDel="00000000" w:rsidR="00000000" w:rsidRPr="00000000">
              <w:rPr>
                <w:rtl w:val="0"/>
              </w:rPr>
              <w:t xml:space="preserve">1</w:t>
            </w:r>
          </w:p>
        </w:tc>
        <w:tc>
          <w:tcPr/>
          <w:p w:rsidR="00000000" w:rsidDel="00000000" w:rsidP="00000000" w:rsidRDefault="00000000" w:rsidRPr="00000000" w14:paraId="00000013">
            <w:pPr>
              <w:rPr/>
            </w:pPr>
            <w:r w:rsidDel="00000000" w:rsidR="00000000" w:rsidRPr="00000000">
              <w:rPr>
                <w:rtl w:val="0"/>
              </w:rPr>
              <w:t xml:space="preserve">Data Access &amp; Integration </w:t>
            </w:r>
          </w:p>
        </w:tc>
        <w:tc>
          <w:tcPr/>
          <w:p w:rsidR="00000000" w:rsidDel="00000000" w:rsidP="00000000" w:rsidRDefault="00000000" w:rsidRPr="00000000" w14:paraId="00000014">
            <w:pPr>
              <w:rPr/>
            </w:pPr>
            <w:r>
              <w:rPr>
                <w:rtl w:val="0"/>
              </w:rPr>
              <w:t>Connect to the EV market dataset (vehicle sales, pricing, battery type, driving range, manufacturer, manufacturing country, customer rating, model year, CO2 prevented) in Tableau and join it into one analysis-ready data source for all dashboards.</w:t>
            </w:r>
          </w:p>
        </w:tc>
        <w:tc>
          <w:tcPr/>
          <w:p w:rsidR="00000000" w:rsidDel="00000000" w:rsidP="00000000" w:rsidRDefault="00000000" w:rsidRPr="00000000" w14:paraId="00000015">
            <w:pPr>
              <w:rPr/>
            </w:pPr>
            <w:r>
              <w:rPr>
                <w:rtl w:val="0"/>
              </w:rPr>
              <w:t>High</w:t>
            </w:r>
          </w:p>
        </w:tc>
      </w:tr>
      <w:tr>
        <w:trPr>
          <w:cantSplit w:val="0"/>
          <w:trHeight w:val="489" w:hRule="atLeast"/>
          <w:tblHeader w:val="0"/>
        </w:trPr>
        <w:tc>
          <w:tcPr/>
          <w:p w:rsidR="00000000" w:rsidDel="00000000" w:rsidP="00000000" w:rsidRDefault="00000000" w:rsidRPr="00000000" w14:paraId="00000016">
            <w:pPr>
              <w:rPr/>
            </w:pPr>
            <w:r w:rsidDel="00000000" w:rsidR="00000000" w:rsidRPr="00000000">
              <w:rPr>
                <w:rtl w:val="0"/>
              </w:rPr>
              <w:t xml:space="preserve">2</w:t>
            </w:r>
          </w:p>
        </w:tc>
        <w:tc>
          <w:tcPr/>
          <w:p w:rsidR="00000000" w:rsidDel="00000000" w:rsidP="00000000" w:rsidRDefault="00000000" w:rsidRPr="00000000" w14:paraId="00000017">
            <w:pPr>
              <w:rPr/>
            </w:pPr>
            <w:r w:rsidDel="00000000" w:rsidR="00000000" w:rsidRPr="00000000">
              <w:rPr>
                <w:rtl w:val="0"/>
              </w:rPr>
              <w:t xml:space="preserve">Data Processing </w:t>
            </w:r>
          </w:p>
        </w:tc>
        <w:tc>
          <w:tcPr/>
          <w:p w:rsidR="00000000" w:rsidDel="00000000" w:rsidP="00000000" w:rsidRDefault="00000000" w:rsidRPr="00000000" w14:paraId="00000018">
            <w:pPr>
              <w:rPr/>
            </w:pPr>
            <w:r>
              <w:rPr>
                <w:rtl w:val="0"/>
              </w:rPr>
              <w:t>Clean and standardise fields (data types, categories, manufacturer and country names, model year), handle null or duplicate records, and create calculated fields such as annual sales, market share % and year-over-year growth %.</w:t>
            </w:r>
          </w:p>
        </w:tc>
        <w:tc>
          <w:tcPr/>
          <w:p w:rsidR="00000000" w:rsidDel="00000000" w:rsidP="00000000" w:rsidRDefault="00000000" w:rsidRPr="00000000" w14:paraId="00000019">
            <w:pPr>
              <w:rPr/>
            </w:pPr>
            <w:r>
              <w:rPr>
                <w:rtl w:val="0"/>
              </w:rPr>
              <w:t>High</w:t>
            </w:r>
          </w:p>
        </w:tc>
      </w:tr>
      <w:tr>
        <w:trPr>
          <w:cantSplit w:val="0"/>
          <w:trHeight w:val="760.6640625" w:hRule="atLeast"/>
          <w:tblHeader w:val="0"/>
        </w:trPr>
        <w:tc>
          <w:tcPr/>
          <w:p w:rsidR="00000000" w:rsidDel="00000000" w:rsidP="00000000" w:rsidRDefault="00000000" w:rsidRPr="00000000" w14:paraId="0000001A">
            <w:pPr>
              <w:rPr/>
            </w:pPr>
            <w:r w:rsidDel="00000000" w:rsidR="00000000" w:rsidRPr="00000000">
              <w:rPr>
                <w:rtl w:val="0"/>
              </w:rPr>
              <w:t xml:space="preserve">3</w:t>
            </w:r>
          </w:p>
        </w:tc>
        <w:tc>
          <w:tcPr/>
          <w:p w:rsidR="00000000" w:rsidDel="00000000" w:rsidP="00000000" w:rsidRDefault="00000000" w:rsidRPr="00000000" w14:paraId="0000001B">
            <w:pPr>
              <w:rPr/>
            </w:pPr>
            <w:r w:rsidDel="00000000" w:rsidR="00000000" w:rsidRPr="00000000">
              <w:rPr>
                <w:rtl w:val="0"/>
              </w:rPr>
              <w:t xml:space="preserve">Business Analysis </w:t>
            </w:r>
          </w:p>
        </w:tc>
        <w:tc>
          <w:tcPr/>
          <w:p w:rsidR="00000000" w:rsidDel="00000000" w:rsidP="00000000" w:rsidRDefault="00000000" w:rsidRPr="00000000" w14:paraId="0000001C">
            <w:pPr>
              <w:rPr/>
            </w:pPr>
            <w:r>
              <w:rPr>
                <w:rtl w:val="0"/>
              </w:rPr>
              <w:t>Calculate KPIs: total sales, CO2 emissions prevented, sales by vehicle category, manufacturer market share, average range by category and battery type, average customer rating, and top 5 category sales growth by year.</w:t>
            </w:r>
          </w:p>
        </w:tc>
        <w:tc>
          <w:tcPr/>
          <w:p w:rsidR="00000000" w:rsidDel="00000000" w:rsidP="00000000" w:rsidRDefault="00000000" w:rsidRPr="00000000" w14:paraId="0000001D">
            <w:pPr>
              <w:rPr/>
            </w:pPr>
            <w:r>
              <w:rPr>
                <w:rtl w:val="0"/>
              </w:rPr>
              <w:t>High</w:t>
            </w:r>
          </w:p>
        </w:tc>
      </w:tr>
      <w:tr>
        <w:trPr>
          <w:cantSplit w:val="0"/>
          <w:trHeight w:val="489" w:hRule="atLeast"/>
          <w:tblHeader w:val="0"/>
        </w:trPr>
        <w:tc>
          <w:tcPr/>
          <w:p w:rsidR="00000000" w:rsidDel="00000000" w:rsidP="00000000" w:rsidRDefault="00000000" w:rsidRPr="00000000" w14:paraId="0000001E">
            <w:pPr>
              <w:rPr/>
            </w:pPr>
            <w:r w:rsidDel="00000000" w:rsidR="00000000" w:rsidRPr="00000000">
              <w:rPr>
                <w:rtl w:val="0"/>
              </w:rPr>
              <w:t xml:space="preserve">4</w:t>
            </w:r>
          </w:p>
        </w:tc>
        <w:tc>
          <w:tcPr/>
          <w:p w:rsidR="00000000" w:rsidDel="00000000" w:rsidP="00000000" w:rsidRDefault="00000000" w:rsidRPr="00000000" w14:paraId="0000001F">
            <w:pPr>
              <w:rPr/>
            </w:pPr>
            <w:r w:rsidDel="00000000" w:rsidR="00000000" w:rsidRPr="00000000">
              <w:rPr>
                <w:rtl w:val="0"/>
              </w:rPr>
              <w:t xml:space="preserve">Business Insights &amp; Analytical Outputs</w:t>
            </w:r>
          </w:p>
        </w:tc>
        <w:tc>
          <w:tcPr/>
          <w:p w:rsidR="00000000" w:rsidDel="00000000" w:rsidP="00000000" w:rsidRDefault="00000000" w:rsidRPr="00000000" w14:paraId="00000020">
            <w:pPr>
              <w:rPr/>
            </w:pPr>
            <w:r>
              <w:rPr>
                <w:rtl w:val="0"/>
              </w:rPr>
              <w:t>Provide dashboards and visuals: Electric Vehicle Market Analysis Dashboard (battery adoption treemap, range heatmap, sales by category, ratings by category, top 10 manufacturers, growth trend) and Manufacturer Competitive Analysis Dashboard (battery distribution, market share, manufacturing country map, sales trend, rating vs sales).</w:t>
            </w:r>
          </w:p>
        </w:tc>
        <w:tc>
          <w:tcPr/>
          <w:p w:rsidR="00000000" w:rsidDel="00000000" w:rsidP="00000000" w:rsidRDefault="00000000" w:rsidRPr="00000000" w14:paraId="00000021">
            <w:pPr>
              <w:rPr/>
            </w:pPr>
            <w:r>
              <w:rPr>
                <w:rtl w:val="0"/>
              </w:rPr>
              <w:t>High</w:t>
            </w:r>
          </w:p>
        </w:tc>
      </w:tr>
      <w:tr>
        <w:trPr>
          <w:cantSplit w:val="0"/>
          <w:trHeight w:val="489" w:hRule="atLeast"/>
          <w:tblHeader w:val="0"/>
        </w:trPr>
        <w:tc>
          <w:tcPr/>
          <w:p w:rsidR="00000000" w:rsidDel="00000000" w:rsidP="00000000" w:rsidRDefault="00000000" w:rsidRPr="00000000" w14:paraId="00000022">
            <w:pPr>
              <w:rPr/>
            </w:pPr>
            <w:r w:rsidDel="00000000" w:rsidR="00000000" w:rsidRPr="00000000">
              <w:rPr>
                <w:rtl w:val="0"/>
              </w:rPr>
              <w:t xml:space="preserve">5</w:t>
            </w:r>
          </w:p>
        </w:tc>
        <w:tc>
          <w:tcPr/>
          <w:p w:rsidR="00000000" w:rsidDel="00000000" w:rsidP="00000000" w:rsidRDefault="00000000" w:rsidRPr="00000000" w14:paraId="00000023">
            <w:pPr>
              <w:rPr/>
            </w:pPr>
            <w:r w:rsidDel="00000000" w:rsidR="00000000" w:rsidRPr="00000000">
              <w:rPr>
                <w:rtl w:val="0"/>
              </w:rPr>
              <w:t xml:space="preserve">User Interaction &amp; Analysis </w:t>
            </w:r>
          </w:p>
        </w:tc>
        <w:tc>
          <w:tcPr/>
          <w:p w:rsidR="00000000" w:rsidDel="00000000" w:rsidP="00000000" w:rsidRDefault="00000000" w:rsidRPr="00000000" w14:paraId="00000024">
            <w:pPr>
              <w:rPr/>
            </w:pPr>
            <w:r>
              <w:rPr>
                <w:rtl w:val="0"/>
              </w:rPr>
              <w:t>Allow users to filter, highlight and drill down by vehicle category, manufacturer, battery technology, model year and country; hover tooltips and dashboard actions let users compare manufacturers and categories and move between dashboards.</w:t>
            </w:r>
          </w:p>
        </w:tc>
        <w:tc>
          <w:tcPr/>
          <w:p w:rsidR="00000000" w:rsidDel="00000000" w:rsidP="00000000" w:rsidRDefault="00000000" w:rsidRPr="00000000" w14:paraId="00000025">
            <w:pPr>
              <w:rPr/>
            </w:pPr>
            <w:r>
              <w:rPr>
                <w:rtl w:val="0"/>
              </w:rPr>
              <w:t>Medium</w:t>
            </w:r>
          </w:p>
        </w:tc>
      </w:tr>
      <w:tr>
        <w:trPr>
          <w:cantSplit w:val="0"/>
          <w:trHeight w:val="489" w:hRule="atLeast"/>
          <w:tblHeader w:val="0"/>
        </w:trPr>
        <w:tc>
          <w:tcPr/>
          <w:p w:rsidR="00000000" w:rsidDel="00000000" w:rsidP="00000000" w:rsidRDefault="00000000" w:rsidRPr="00000000" w14:paraId="00000026">
            <w:pPr>
              <w:rPr/>
            </w:pPr>
            <w:r w:rsidDel="00000000" w:rsidR="00000000" w:rsidRPr="00000000">
              <w:rPr>
                <w:rtl w:val="0"/>
              </w:rPr>
              <w:t xml:space="preserve">6</w:t>
            </w:r>
          </w:p>
        </w:tc>
        <w:tc>
          <w:tcPr/>
          <w:p w:rsidR="00000000" w:rsidDel="00000000" w:rsidP="00000000" w:rsidRDefault="00000000" w:rsidRPr="00000000" w14:paraId="00000027">
            <w:pPr>
              <w:rPr>
                <w:color w:val="222222"/>
              </w:rPr>
            </w:pPr>
            <w:r w:rsidDel="00000000" w:rsidR="00000000" w:rsidRPr="00000000">
              <w:rPr>
                <w:color w:val="222222"/>
                <w:rtl w:val="0"/>
              </w:rPr>
              <w:t xml:space="preserve">Data Update &amp; Reporting </w:t>
            </w:r>
          </w:p>
        </w:tc>
        <w:tc>
          <w:tcPr/>
          <w:p w:rsidR="00000000" w:rsidDel="00000000" w:rsidP="00000000" w:rsidRDefault="00000000" w:rsidRPr="00000000" w14:paraId="00000028">
            <w:pPr>
              <w:rPr/>
            </w:pPr>
            <w:r>
              <w:rPr>
                <w:rtl w:val="0"/>
              </w:rPr>
              <w:t>Refresh the data source when new records are added and republish the dashboards so KPIs update automatically; allow dashboards to be shared or exported as image/PDF for executive reporting.</w:t>
            </w:r>
          </w:p>
        </w:tc>
        <w:tc>
          <w:tcPr/>
          <w:p w:rsidR="00000000" w:rsidDel="00000000" w:rsidP="00000000" w:rsidRDefault="00000000" w:rsidRPr="00000000" w14:paraId="00000029">
            <w:pPr>
              <w:rPr/>
            </w:pPr>
            <w:r>
              <w:rPr>
                <w:rtl w:val="0"/>
              </w:rPr>
              <w:t>Medium</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C">
      <w:pPr>
        <w:spacing w:after="0" w:lineRule="auto"/>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Non-Functional Requirement</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Description</w:t>
            </w:r>
          </w:p>
        </w:tc>
      </w:tr>
      <w:tr>
        <w:trPr>
          <w:cantSplit w:val="0"/>
          <w:trHeight w:val="489" w:hRule="atLeast"/>
          <w:tblHeader w:val="0"/>
        </w:trPr>
        <w:tc>
          <w:tcPr/>
          <w:p w:rsidR="00000000" w:rsidDel="00000000" w:rsidP="00000000" w:rsidRDefault="00000000" w:rsidRPr="00000000" w14:paraId="00000030">
            <w:pPr>
              <w:rPr/>
            </w:pPr>
            <w:r w:rsidDel="00000000" w:rsidR="00000000" w:rsidRPr="00000000">
              <w:rPr>
                <w:rtl w:val="0"/>
              </w:rPr>
              <w:t xml:space="preserve">NFR-1</w:t>
            </w:r>
          </w:p>
        </w:tc>
        <w:tc>
          <w:tcPr/>
          <w:p w:rsidR="00000000" w:rsidDel="00000000" w:rsidP="00000000" w:rsidRDefault="00000000" w:rsidRPr="00000000" w14:paraId="00000031">
            <w:pPr>
              <w:rPr/>
            </w:pPr>
            <w:r w:rsidDel="00000000" w:rsidR="00000000" w:rsidRPr="00000000">
              <w:rPr>
                <w:b w:val="1"/>
                <w:bCs w:val="1"/>
                <w:rtl w:val="0"/>
              </w:rPr>
              <w:t xml:space="preserve">Usability</w:t>
            </w:r>
            <w:r w:rsidDel="00000000" w:rsidR="00000000" w:rsidRPr="00000000">
              <w:rPr>
                <w:rtl w:val="0"/>
              </w:rPr>
            </w:r>
          </w:p>
        </w:tc>
        <w:tc>
          <w:tcPr/>
          <w:p w:rsidR="00000000" w:rsidDel="00000000" w:rsidP="00000000" w:rsidRDefault="00000000" w:rsidRPr="00000000" w14:paraId="00000032">
            <w:pPr>
              <w:rPr/>
            </w:pPr>
            <w:r>
              <w:rPr>
                <w:rtl w:val="0"/>
              </w:rPr>
              <w:t>Dashboards use clear titles, KPI cards, consistent colours and labelled charts so executives can understand market trends without technical training; layouts work for Default and Phone views.</w:t>
            </w:r>
          </w:p>
        </w:tc>
      </w:tr>
      <w:tr>
        <w:trPr>
          <w:cantSplit w:val="0"/>
          <w:trHeight w:val="489" w:hRule="atLeast"/>
          <w:tblHeader w:val="0"/>
        </w:trPr>
        <w:tc>
          <w:tcPr/>
          <w:p w:rsidR="00000000" w:rsidDel="00000000" w:rsidP="00000000" w:rsidRDefault="00000000" w:rsidRPr="00000000" w14:paraId="00000033">
            <w:pPr>
              <w:rPr/>
            </w:pPr>
            <w:r w:rsidDel="00000000" w:rsidR="00000000" w:rsidRPr="00000000">
              <w:rPr>
                <w:rtl w:val="0"/>
              </w:rPr>
              <w:t xml:space="preserve">NFR-2</w:t>
            </w:r>
          </w:p>
        </w:tc>
        <w:tc>
          <w:tcPr/>
          <w:p w:rsidR="00000000" w:rsidDel="00000000" w:rsidP="00000000" w:rsidRDefault="00000000" w:rsidRPr="00000000" w14:paraId="00000034">
            <w:pPr>
              <w:rPr/>
            </w:pPr>
            <w:r w:rsidDel="00000000" w:rsidR="00000000" w:rsidRPr="00000000">
              <w:rPr>
                <w:b w:val="1"/>
                <w:bCs w:val="1"/>
                <w:rtl w:val="0"/>
              </w:rPr>
              <w:t xml:space="preserve">Security</w:t>
            </w:r>
            <w:r w:rsidDel="00000000" w:rsidR="00000000" w:rsidRPr="00000000">
              <w:rPr>
                <w:rtl w:val="0"/>
              </w:rPr>
            </w:r>
          </w:p>
        </w:tc>
        <w:tc>
          <w:tcPr/>
          <w:p w:rsidR="00000000" w:rsidDel="00000000" w:rsidP="00000000" w:rsidRDefault="00000000" w:rsidRPr="00000000" w14:paraId="00000035">
            <w:pPr>
              <w:rPr/>
            </w:pPr>
            <w:r>
              <w:rPr>
                <w:rtl w:val="0"/>
              </w:rPr>
              <w:t>Access to published dashboards is restricted to authorised users; only aggregated market data is shown (no personal customer data), and edit rights are limited to the dashboard owner.</w:t>
            </w:r>
          </w:p>
        </w:tc>
      </w:tr>
      <w:tr>
        <w:trPr>
          <w:cantSplit w:val="0"/>
          <w:trHeight w:val="470" w:hRule="atLeast"/>
          <w:tblHeader w:val="0"/>
        </w:trPr>
        <w:tc>
          <w:tcPr/>
          <w:p w:rsidR="00000000" w:rsidDel="00000000" w:rsidP="00000000" w:rsidRDefault="00000000" w:rsidRPr="00000000" w14:paraId="00000036">
            <w:pPr>
              <w:rPr/>
            </w:pPr>
            <w:r w:rsidDel="00000000" w:rsidR="00000000" w:rsidRPr="00000000">
              <w:rPr>
                <w:rtl w:val="0"/>
              </w:rPr>
              <w:t xml:space="preserve">NFR-3</w:t>
            </w:r>
          </w:p>
        </w:tc>
        <w:tc>
          <w:tcPr/>
          <w:p w:rsidR="00000000" w:rsidDel="00000000" w:rsidP="00000000" w:rsidRDefault="00000000" w:rsidRPr="00000000" w14:paraId="00000037">
            <w:pPr>
              <w:rPr/>
            </w:pPr>
            <w:r w:rsidDel="00000000" w:rsidR="00000000" w:rsidRPr="00000000">
              <w:rPr>
                <w:b w:val="1"/>
                <w:bCs w:val="1"/>
                <w:rtl w:val="0"/>
              </w:rPr>
              <w:t xml:space="preserve">Reliability</w:t>
            </w:r>
            <w:r w:rsidDel="00000000" w:rsidR="00000000" w:rsidRPr="00000000">
              <w:rPr>
                <w:rtl w:val="0"/>
              </w:rPr>
            </w:r>
          </w:p>
        </w:tc>
        <w:tc>
          <w:tcPr/>
          <w:p w:rsidR="00000000" w:rsidDel="00000000" w:rsidP="00000000" w:rsidRDefault="00000000" w:rsidRPr="00000000" w14:paraId="00000038">
            <w:pPr>
              <w:rPr/>
            </w:pPr>
            <w:r>
              <w:rPr>
                <w:rtl w:val="0"/>
              </w:rPr>
              <w:t>Calculations and KPIs return consistent, accurate values across all dashboards because every view uses one validated data source; totals are cross-checked against the source dataset.</w:t>
            </w:r>
          </w:p>
        </w:tc>
      </w:tr>
      <w:tr>
        <w:trPr>
          <w:cantSplit w:val="0"/>
          <w:trHeight w:val="489" w:hRule="atLeast"/>
          <w:tblHeader w:val="0"/>
        </w:trPr>
        <w:tc>
          <w:tcPr/>
          <w:p w:rsidR="00000000" w:rsidDel="00000000" w:rsidP="00000000" w:rsidRDefault="00000000" w:rsidRPr="00000000" w14:paraId="00000039">
            <w:pPr>
              <w:rPr/>
            </w:pPr>
            <w:r w:rsidDel="00000000" w:rsidR="00000000" w:rsidRPr="00000000">
              <w:rPr>
                <w:rtl w:val="0"/>
              </w:rPr>
              <w:t xml:space="preserve">NFR-4</w:t>
            </w:r>
          </w:p>
        </w:tc>
        <w:tc>
          <w:tcPr/>
          <w:p w:rsidR="00000000" w:rsidDel="00000000" w:rsidP="00000000" w:rsidRDefault="00000000" w:rsidRPr="00000000" w14:paraId="0000003A">
            <w:pPr>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03B">
            <w:pPr>
              <w:rPr/>
            </w:pPr>
            <w:r>
              <w:rPr>
                <w:rtl w:val="0"/>
              </w:rPr>
              <w:t>Dashboards load and respond to filters quickly by using a Tableau extract, aggregated views and a limited number of marks per chart.</w:t>
            </w:r>
          </w:p>
        </w:tc>
      </w:tr>
      <w:tr>
        <w:trPr>
          <w:cantSplit w:val="0"/>
          <w:trHeight w:val="489" w:hRule="atLeast"/>
          <w:tblHeader w:val="0"/>
        </w:trPr>
        <w:tc>
          <w:tcPr/>
          <w:p w:rsidR="00000000" w:rsidDel="00000000" w:rsidP="00000000" w:rsidRDefault="00000000" w:rsidRPr="00000000" w14:paraId="0000003C">
            <w:pPr>
              <w:rPr/>
            </w:pPr>
            <w:r w:rsidDel="00000000" w:rsidR="00000000" w:rsidRPr="00000000">
              <w:rPr>
                <w:rtl w:val="0"/>
              </w:rPr>
              <w:t xml:space="preserve">NFR-5</w:t>
            </w:r>
          </w:p>
        </w:tc>
        <w:tc>
          <w:tcPr/>
          <w:p w:rsidR="00000000" w:rsidDel="00000000" w:rsidP="00000000" w:rsidRDefault="00000000" w:rsidRPr="00000000" w14:paraId="0000003D">
            <w:pPr>
              <w:rPr/>
            </w:pPr>
            <w:r w:rsidDel="00000000" w:rsidR="00000000" w:rsidRPr="00000000">
              <w:rPr>
                <w:b w:val="1"/>
                <w:bCs w:val="1"/>
                <w:rtl w:val="0"/>
              </w:rPr>
              <w:t xml:space="preserve">Availability</w:t>
            </w:r>
            <w:r w:rsidDel="00000000" w:rsidR="00000000" w:rsidRPr="00000000">
              <w:rPr>
                <w:rtl w:val="0"/>
              </w:rPr>
            </w:r>
          </w:p>
        </w:tc>
        <w:tc>
          <w:tcPr/>
          <w:p w:rsidR="00000000" w:rsidDel="00000000" w:rsidP="00000000" w:rsidRDefault="00000000" w:rsidRPr="00000000" w14:paraId="0000003E">
            <w:pPr>
              <w:rPr/>
            </w:pPr>
            <w:r>
              <w:rPr>
                <w:rtl w:val="0"/>
              </w:rPr>
              <w:t>Published dashboards are available to users whenever needed through the Tableau platform; data refresh is scheduled so users always see current figures.</w:t>
            </w:r>
          </w:p>
        </w:tc>
      </w:tr>
      <w:tr>
        <w:trPr>
          <w:cantSplit w:val="0"/>
          <w:trHeight w:val="489" w:hRule="atLeast"/>
          <w:tblHeader w:val="0"/>
        </w:trPr>
        <w:tc>
          <w:tcPr/>
          <w:p w:rsidR="00000000" w:rsidDel="00000000" w:rsidP="00000000" w:rsidRDefault="00000000" w:rsidRPr="00000000" w14:paraId="0000003F">
            <w:pPr>
              <w:rPr/>
            </w:pPr>
            <w:r w:rsidDel="00000000" w:rsidR="00000000" w:rsidRPr="00000000">
              <w:rPr>
                <w:rtl w:val="0"/>
              </w:rPr>
              <w:t xml:space="preserve">NFR-6</w:t>
            </w:r>
          </w:p>
        </w:tc>
        <w:tc>
          <w:tcPr/>
          <w:p w:rsidR="00000000" w:rsidDel="00000000" w:rsidP="00000000" w:rsidRDefault="00000000" w:rsidRPr="00000000" w14:paraId="00000040">
            <w:pPr>
              <w:rPr>
                <w:color w:val="222222"/>
              </w:rPr>
            </w:pPr>
            <w:r w:rsidDel="00000000" w:rsidR="00000000" w:rsidRPr="00000000">
              <w:rPr>
                <w:b w:val="1"/>
                <w:bCs w:val="1"/>
                <w:color w:val="222222"/>
                <w:rtl w:val="0"/>
              </w:rPr>
              <w:t xml:space="preserve">Scalability</w:t>
            </w:r>
            <w:r w:rsidDel="00000000" w:rsidR="00000000" w:rsidRPr="00000000">
              <w:rPr>
                <w:rtl w:val="0"/>
              </w:rPr>
            </w:r>
          </w:p>
        </w:tc>
        <w:tc>
          <w:tcPr/>
          <w:p w:rsidR="00000000" w:rsidDel="00000000" w:rsidP="00000000" w:rsidRDefault="00000000" w:rsidRPr="00000000" w14:paraId="00000041">
            <w:pPr>
              <w:rPr/>
            </w:pPr>
            <w:r>
              <w:rPr>
                <w:rtl w:val="0"/>
              </w:rPr>
              <w:t>The solution can handle more model years, manufacturers, vehicle categories and regions as the dataset grows, without redesigning the dashboards.</w:t>
            </w:r>
          </w:p>
        </w:tc>
      </w:tr>
    </w:tbl>
    <w:p w:rsidR="00000000" w:rsidDel="00000000" w:rsidP="00000000" w:rsidRDefault="00000000" w:rsidRPr="00000000" w14:paraId="00000042">
      <w:pPr>
        <w:rPr/>
      </w:pP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6534150</wp:posOffset>
          </wp:positionH>
          <wp:positionV relativeFrom="page">
            <wp:posOffset>173355</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