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EV Market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Sales Performance Analysis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Market Strategy Director, I can view total sales and annual sales by vehicle category so that I can see which categories contribute most to annual sales.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Market Strategy Director, I can see the top 10 manufacturers by sales so that I can identify the leading manufacturers.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Customer Satisfaction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Market Strategy Director, I can compare average customer rating across vehicle categories so that I can evaluate satisfaction by product segment.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Growth &amp; Technology Trends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Market Strategy Director, I can view battery technology adoption and average range by vehicle category so that I can plan the product portfolio.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Market Strategy Director, I can view the top 5 sales growth by year so that I can identify high-growth market segments.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Manufacturer Competitive Analysis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BI Manager, I can see the market share of the top 10 manufacturers so that I can identify competitive advantages.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BI Manager, I can see sales by manufacturing country on a map so that I can understand geographical production trends.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BI Manager, I can compare rating vs sales for each manufacturer so that I can position products and recommend market entry to clients.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Battery &amp; Range Research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Research Analyst, I can compare battery technologies and their range over model years so that I can find technology trends.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Research Analyst, I can view the annual sales trend and CO2 emissions prevented so that I can assess the impact of EV adoption on sustainability.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Interaction &amp; Navigation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filter, highlight and navigate between the two dashboards so that I can explore the data for my own question.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Data Refresh &amp; Publishing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refresh the data source and republish the dashboards so that users always see updated figures.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Individual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26 Oct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31 Oct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02 Nov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07 Nov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09 Nov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14 Nov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For this project: sprint duration = 6 days, velocity = 20 story points per sprint, so the average velocity (AV) = 20 / 6 ≈ 3.33 story points per day. Total work = 60 story points over 3 sprints (18 days).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>
        <w:drawing>
          <wp:inline>
            <wp:extent cx="438912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