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02C77" w14:textId="77777777" w:rsidR="00D1158D" w:rsidRDefault="00000000">
      <w:pPr>
        <w:rPr>
          <w:rFonts w:ascii="Cambria" w:eastAsia="Cambria" w:hAnsi="Cambria" w:cs="Cambria"/>
          <w:b/>
          <w:bCs/>
          <w:sz w:val="32"/>
          <w:szCs w:val="32"/>
          <w:highlight w:val="white"/>
        </w:rPr>
      </w:pPr>
      <w:r>
        <w:rPr>
          <w:rFonts w:ascii="Cambria" w:eastAsia="Cambria" w:hAnsi="Cambria" w:cs="Cambria"/>
          <w:b/>
          <w:bCs/>
          <w:noProof/>
          <w:sz w:val="32"/>
          <w:szCs w:val="32"/>
          <w:highlight w:val="white"/>
        </w:rPr>
        <w:drawing>
          <wp:anchor distT="114300" distB="114300" distL="114300" distR="114300" simplePos="0" relativeHeight="251658240" behindDoc="0" locked="0" layoutInCell="1" hidden="0" allowOverlap="1" wp14:anchorId="46299212" wp14:editId="43D58A9E">
            <wp:simplePos x="0" y="0"/>
            <wp:positionH relativeFrom="page">
              <wp:posOffset>428625</wp:posOffset>
            </wp:positionH>
            <wp:positionV relativeFrom="page">
              <wp:posOffset>114300</wp:posOffset>
            </wp:positionV>
            <wp:extent cx="1376363" cy="58987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376363" cy="589870"/>
                    </a:xfrm>
                    <a:prstGeom prst="rect">
                      <a:avLst/>
                    </a:prstGeom>
                    <a:ln/>
                  </pic:spPr>
                </pic:pic>
              </a:graphicData>
            </a:graphic>
          </wp:anchor>
        </w:drawing>
      </w:r>
      <w:r>
        <w:rPr>
          <w:rFonts w:ascii="Cambria" w:eastAsia="Cambria" w:hAnsi="Cambria" w:cs="Cambria"/>
          <w:b/>
          <w:bCs/>
          <w:color w:val="000000"/>
          <w:sz w:val="32"/>
          <w:szCs w:val="32"/>
          <w:highlight w:val="white"/>
        </w:rPr>
        <w:t xml:space="preserve">                                      Dashboard Design</w:t>
      </w:r>
    </w:p>
    <w:p w14:paraId="7FE6975C" w14:textId="77777777" w:rsidR="00D1158D" w:rsidRDefault="00D1158D">
      <w:pPr>
        <w:widowControl w:val="0"/>
        <w:spacing w:before="39" w:after="0" w:line="240" w:lineRule="auto"/>
        <w:ind w:left="2701"/>
        <w:rPr>
          <w:b/>
          <w:bCs/>
          <w:sz w:val="28"/>
          <w:szCs w:val="28"/>
        </w:rPr>
      </w:pPr>
    </w:p>
    <w:tbl>
      <w:tblPr>
        <w:tblStyle w:val="a1"/>
        <w:tblW w:w="90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7"/>
        <w:gridCol w:w="4511"/>
      </w:tblGrid>
      <w:tr w:rsidR="00D1158D" w14:paraId="7FC71D7E" w14:textId="77777777">
        <w:trPr>
          <w:trHeight w:val="278"/>
        </w:trPr>
        <w:tc>
          <w:tcPr>
            <w:tcW w:w="4507" w:type="dxa"/>
            <w:tcMar>
              <w:top w:w="100" w:type="dxa"/>
              <w:left w:w="100" w:type="dxa"/>
              <w:bottom w:w="100" w:type="dxa"/>
              <w:right w:w="100" w:type="dxa"/>
            </w:tcMar>
          </w:tcPr>
          <w:p w14:paraId="4C49A539" w14:textId="77777777" w:rsidR="00D1158D" w:rsidRDefault="00000000">
            <w:pPr>
              <w:widowControl w:val="0"/>
              <w:spacing w:after="0" w:line="240" w:lineRule="auto"/>
              <w:ind w:left="131"/>
            </w:pPr>
            <w:r>
              <w:t xml:space="preserve">Date </w:t>
            </w:r>
          </w:p>
        </w:tc>
        <w:tc>
          <w:tcPr>
            <w:tcW w:w="4511" w:type="dxa"/>
            <w:tcMar>
              <w:top w:w="100" w:type="dxa"/>
              <w:left w:w="100" w:type="dxa"/>
              <w:bottom w:w="100" w:type="dxa"/>
              <w:right w:w="100" w:type="dxa"/>
            </w:tcMar>
          </w:tcPr>
          <w:p w14:paraId="40545ED6" w14:textId="77777777" w:rsidR="00D1158D" w:rsidRDefault="00000000">
            <w:pPr>
              <w:widowControl w:val="0"/>
              <w:spacing w:after="0" w:line="240" w:lineRule="auto"/>
              <w:ind w:left="131"/>
            </w:pPr>
            <w:r>
              <w:t>25 October 2026</w:t>
            </w:r>
          </w:p>
        </w:tc>
      </w:tr>
      <w:tr w:rsidR="00D1158D" w14:paraId="6104AB9E" w14:textId="77777777">
        <w:trPr>
          <w:trHeight w:val="278"/>
        </w:trPr>
        <w:tc>
          <w:tcPr>
            <w:tcW w:w="4507" w:type="dxa"/>
            <w:tcMar>
              <w:top w:w="100" w:type="dxa"/>
              <w:left w:w="100" w:type="dxa"/>
              <w:bottom w:w="100" w:type="dxa"/>
              <w:right w:w="100" w:type="dxa"/>
            </w:tcMar>
          </w:tcPr>
          <w:p w14:paraId="14C35E3E" w14:textId="77777777" w:rsidR="00D1158D" w:rsidRDefault="00000000">
            <w:pPr>
              <w:widowControl w:val="0"/>
              <w:spacing w:after="0" w:line="240" w:lineRule="auto"/>
              <w:ind w:left="114"/>
            </w:pPr>
            <w:r>
              <w:t xml:space="preserve">Team ID </w:t>
            </w:r>
          </w:p>
        </w:tc>
        <w:tc>
          <w:tcPr>
            <w:tcW w:w="4511" w:type="dxa"/>
            <w:tcMar>
              <w:top w:w="100" w:type="dxa"/>
              <w:left w:w="100" w:type="dxa"/>
              <w:bottom w:w="100" w:type="dxa"/>
              <w:right w:w="100" w:type="dxa"/>
            </w:tcMar>
          </w:tcPr>
          <w:p w14:paraId="2603208E" w14:textId="77777777" w:rsidR="00D1158D" w:rsidRDefault="00000000">
            <w:pPr>
              <w:widowControl w:val="0"/>
              <w:spacing w:after="0" w:line="240" w:lineRule="auto"/>
              <w:ind w:left="131"/>
            </w:pPr>
            <w:r>
              <w:t>Individual</w:t>
            </w:r>
          </w:p>
        </w:tc>
      </w:tr>
      <w:tr w:rsidR="00D1158D" w14:paraId="3B79FFBA" w14:textId="77777777">
        <w:trPr>
          <w:trHeight w:val="278"/>
        </w:trPr>
        <w:tc>
          <w:tcPr>
            <w:tcW w:w="4507" w:type="dxa"/>
            <w:tcMar>
              <w:top w:w="100" w:type="dxa"/>
              <w:left w:w="100" w:type="dxa"/>
              <w:bottom w:w="100" w:type="dxa"/>
              <w:right w:w="100" w:type="dxa"/>
            </w:tcMar>
          </w:tcPr>
          <w:p w14:paraId="0B38C9E8" w14:textId="77777777" w:rsidR="00D1158D" w:rsidRDefault="00000000">
            <w:pPr>
              <w:widowControl w:val="0"/>
              <w:spacing w:after="0" w:line="240" w:lineRule="auto"/>
              <w:ind w:left="131"/>
            </w:pPr>
            <w:r>
              <w:t xml:space="preserve">Project Name </w:t>
            </w:r>
          </w:p>
        </w:tc>
        <w:tc>
          <w:tcPr>
            <w:tcW w:w="4511" w:type="dxa"/>
            <w:tcMar>
              <w:top w:w="100" w:type="dxa"/>
              <w:left w:w="100" w:type="dxa"/>
              <w:bottom w:w="100" w:type="dxa"/>
              <w:right w:w="100" w:type="dxa"/>
            </w:tcMar>
          </w:tcPr>
          <w:p w14:paraId="1CA68646" w14:textId="77777777" w:rsidR="00D1158D" w:rsidRDefault="00000000">
            <w:pPr>
              <w:widowControl w:val="0"/>
              <w:spacing w:after="0" w:line="240" w:lineRule="auto"/>
              <w:ind w:left="131"/>
            </w:pPr>
            <w:r>
              <w:t>EV Market Analysis</w:t>
            </w:r>
          </w:p>
        </w:tc>
      </w:tr>
      <w:tr w:rsidR="00D1158D" w14:paraId="737D0EF1" w14:textId="77777777">
        <w:trPr>
          <w:trHeight w:val="278"/>
        </w:trPr>
        <w:tc>
          <w:tcPr>
            <w:tcW w:w="4507" w:type="dxa"/>
            <w:tcMar>
              <w:top w:w="100" w:type="dxa"/>
              <w:left w:w="100" w:type="dxa"/>
              <w:bottom w:w="100" w:type="dxa"/>
              <w:right w:w="100" w:type="dxa"/>
            </w:tcMar>
          </w:tcPr>
          <w:p w14:paraId="5254434F" w14:textId="77777777" w:rsidR="00D1158D" w:rsidRDefault="00000000">
            <w:pPr>
              <w:widowControl w:val="0"/>
              <w:spacing w:after="0" w:line="240" w:lineRule="auto"/>
              <w:ind w:left="131"/>
            </w:pPr>
            <w:r>
              <w:t xml:space="preserve">Maximum Marks </w:t>
            </w:r>
          </w:p>
        </w:tc>
        <w:tc>
          <w:tcPr>
            <w:tcW w:w="4511" w:type="dxa"/>
            <w:tcMar>
              <w:top w:w="100" w:type="dxa"/>
              <w:left w:w="100" w:type="dxa"/>
              <w:bottom w:w="100" w:type="dxa"/>
              <w:right w:w="100" w:type="dxa"/>
            </w:tcMar>
          </w:tcPr>
          <w:p w14:paraId="05A70525" w14:textId="77777777" w:rsidR="00D1158D" w:rsidRDefault="00000000">
            <w:pPr>
              <w:widowControl w:val="0"/>
              <w:spacing w:after="0" w:line="240" w:lineRule="auto"/>
              <w:ind w:left="125"/>
            </w:pPr>
            <w:proofErr w:type="gramStart"/>
            <w:r>
              <w:t>5  Marks</w:t>
            </w:r>
            <w:proofErr w:type="gramEnd"/>
          </w:p>
        </w:tc>
      </w:tr>
    </w:tbl>
    <w:p w14:paraId="1FB31DBA" w14:textId="77777777" w:rsidR="00D1158D" w:rsidRDefault="00D1158D">
      <w:pPr>
        <w:widowControl w:val="0"/>
        <w:spacing w:after="0" w:line="276" w:lineRule="auto"/>
        <w:rPr>
          <w:rFonts w:ascii="Cambria" w:eastAsia="Cambria" w:hAnsi="Cambria" w:cs="Cambria"/>
          <w:b/>
          <w:bCs/>
          <w:sz w:val="32"/>
          <w:szCs w:val="32"/>
          <w:highlight w:val="white"/>
        </w:rPr>
      </w:pPr>
    </w:p>
    <w:p w14:paraId="35882AE2" w14:textId="77777777" w:rsidR="00D1158D" w:rsidRDefault="00000000">
      <w:pP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Creating an effective dashboard involves thoughtful design to ensure that the presented information is clear, relevant, and easily understandable for the intended audience. Here are some key principles and best practices for dashboard design</w:t>
      </w:r>
    </w:p>
    <w:p w14:paraId="43E1F06D" w14:textId="77777777" w:rsidR="00D1158D" w:rsidRDefault="00000000">
      <w:pPr>
        <w:rPr>
          <w:rFonts w:ascii="Cambria" w:eastAsia="Cambria" w:hAnsi="Cambria" w:cs="Cambria"/>
          <w:b/>
          <w:bCs/>
          <w:color w:val="000000"/>
          <w:sz w:val="24"/>
          <w:szCs w:val="24"/>
          <w:highlight w:val="white"/>
        </w:rPr>
      </w:pPr>
      <w:r>
        <w:rPr>
          <w:rFonts w:ascii="Cambria" w:eastAsia="Cambria" w:hAnsi="Cambria" w:cs="Cambria"/>
          <w:b/>
          <w:bCs/>
          <w:color w:val="000000"/>
          <w:sz w:val="32"/>
          <w:szCs w:val="32"/>
          <w:highlight w:val="white"/>
        </w:rPr>
        <w:tab/>
      </w:r>
      <w:r>
        <w:rPr>
          <w:rFonts w:ascii="Cambria" w:eastAsia="Cambria" w:hAnsi="Cambria" w:cs="Cambria"/>
          <w:b/>
          <w:bCs/>
          <w:color w:val="000000"/>
          <w:sz w:val="24"/>
          <w:szCs w:val="24"/>
          <w:highlight w:val="white"/>
        </w:rPr>
        <w:t xml:space="preserve">Activity 1: Interactive and visually appealing dashboards </w:t>
      </w:r>
    </w:p>
    <w:p w14:paraId="4DD154A6" w14:textId="77777777" w:rsidR="00D1158D" w:rsidRDefault="00000000">
      <w:pPr>
        <w:ind w:left="72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below points</w:t>
      </w:r>
    </w:p>
    <w:p w14:paraId="72A92FFB" w14:textId="77777777" w:rsidR="00D1158D" w:rsidRDefault="00000000">
      <w:pPr>
        <w:numPr>
          <w:ilvl w:val="0"/>
          <w:numId w:val="2"/>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Clear and Intuitive Layout</w:t>
      </w:r>
    </w:p>
    <w:p w14:paraId="5FA29B8E" w14:textId="77777777" w:rsidR="00D1158D" w:rsidRDefault="00000000">
      <w:pPr>
        <w:numPr>
          <w:ilvl w:val="0"/>
          <w:numId w:val="2"/>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Use Appropriate Visualizations</w:t>
      </w:r>
    </w:p>
    <w:p w14:paraId="7C367BA9" w14:textId="77777777" w:rsidR="00D1158D" w:rsidRDefault="00000000">
      <w:pPr>
        <w:numPr>
          <w:ilvl w:val="0"/>
          <w:numId w:val="2"/>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Colour and Theming</w:t>
      </w:r>
    </w:p>
    <w:p w14:paraId="513303DF" w14:textId="77777777" w:rsidR="00D1158D" w:rsidRDefault="00000000">
      <w:pPr>
        <w:numPr>
          <w:ilvl w:val="0"/>
          <w:numId w:val="2"/>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Interactive Filters and Slicers</w:t>
      </w:r>
    </w:p>
    <w:p w14:paraId="2D28570F" w14:textId="77777777" w:rsidR="00D1158D" w:rsidRDefault="00000000">
      <w:pPr>
        <w:numPr>
          <w:ilvl w:val="0"/>
          <w:numId w:val="2"/>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Drill-Down Capabilities</w:t>
      </w:r>
    </w:p>
    <w:p w14:paraId="7FA09424" w14:textId="77777777" w:rsidR="00D1158D" w:rsidRDefault="00000000">
      <w:pPr>
        <w:numPr>
          <w:ilvl w:val="0"/>
          <w:numId w:val="2"/>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Responsive Design</w:t>
      </w:r>
    </w:p>
    <w:p w14:paraId="4E602409" w14:textId="77777777" w:rsidR="00D1158D" w:rsidRDefault="00000000">
      <w:pPr>
        <w:numPr>
          <w:ilvl w:val="0"/>
          <w:numId w:val="2"/>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Custom Visuals and Icons</w:t>
      </w:r>
    </w:p>
    <w:p w14:paraId="595349F4" w14:textId="77777777" w:rsidR="00D1158D" w:rsidRDefault="00000000">
      <w:pPr>
        <w:numPr>
          <w:ilvl w:val="0"/>
          <w:numId w:val="2"/>
        </w:numPr>
        <w:pBdr>
          <w:top w:val="nil"/>
          <w:left w:val="nil"/>
          <w:bottom w:val="nil"/>
          <w:right w:val="nil"/>
          <w:between w:val="nil"/>
        </w:pBd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Use of Infographics</w:t>
      </w:r>
    </w:p>
    <w:p w14:paraId="6B4909ED" w14:textId="77777777" w:rsidR="00D1158D" w:rsidRDefault="00D1158D">
      <w:pPr>
        <w:pBdr>
          <w:top w:val="nil"/>
          <w:left w:val="nil"/>
          <w:bottom w:val="nil"/>
          <w:right w:val="nil"/>
          <w:between w:val="nil"/>
        </w:pBdr>
        <w:spacing w:line="240" w:lineRule="auto"/>
        <w:ind w:left="1080"/>
        <w:rPr>
          <w:rFonts w:ascii="Arial" w:eastAsia="Arial" w:hAnsi="Arial" w:cs="Arial"/>
          <w:color w:val="333333"/>
          <w:sz w:val="20"/>
          <w:szCs w:val="20"/>
        </w:rPr>
      </w:pPr>
    </w:p>
    <w:p w14:paraId="6C0EC5B3" w14:textId="77777777" w:rsidR="00D1158D" w:rsidRDefault="00000000">
      <w:pPr>
        <w:spacing w:after="200" w:line="240" w:lineRule="auto"/>
        <w:rPr>
          <w:rFonts w:ascii="Arial" w:eastAsia="Arial" w:hAnsi="Arial" w:cs="Arial"/>
          <w:sz w:val="20"/>
          <w:szCs w:val="20"/>
        </w:rPr>
      </w:pPr>
      <w:r>
        <w:rPr>
          <w:noProof/>
        </w:rPr>
        <w:lastRenderedPageBreak/>
        <w:drawing>
          <wp:inline distT="0" distB="0" distL="0" distR="0" wp14:anchorId="7233A437" wp14:editId="422FC37F">
            <wp:extent cx="5669280" cy="3521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1.png"/>
                    <pic:cNvPicPr/>
                  </pic:nvPicPr>
                  <pic:blipFill>
                    <a:blip r:embed="rId7"/>
                    <a:stretch>
                      <a:fillRect/>
                    </a:stretch>
                  </pic:blipFill>
                  <pic:spPr>
                    <a:xfrm>
                      <a:off x="0" y="0"/>
                      <a:ext cx="5669280" cy="3521825"/>
                    </a:xfrm>
                    <a:prstGeom prst="rect">
                      <a:avLst/>
                    </a:prstGeom>
                  </pic:spPr>
                </pic:pic>
              </a:graphicData>
            </a:graphic>
          </wp:inline>
        </w:drawing>
      </w:r>
    </w:p>
    <w:p w14:paraId="0DC366EE" w14:textId="77777777" w:rsidR="00D1158D" w:rsidRDefault="00000000">
      <w:pPr>
        <w:spacing w:line="240" w:lineRule="auto"/>
        <w:rPr>
          <w:rFonts w:ascii="Arial" w:eastAsia="Arial" w:hAnsi="Arial" w:cs="Arial"/>
          <w:sz w:val="20"/>
          <w:szCs w:val="20"/>
        </w:rPr>
      </w:pPr>
      <w:r>
        <w:rPr>
          <w:noProof/>
        </w:rPr>
        <w:drawing>
          <wp:inline distT="0" distB="0" distL="0" distR="0" wp14:anchorId="3D6BC02B" wp14:editId="69B81413">
            <wp:extent cx="5669280" cy="35218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2.png"/>
                    <pic:cNvPicPr/>
                  </pic:nvPicPr>
                  <pic:blipFill>
                    <a:blip r:embed="rId8"/>
                    <a:stretch>
                      <a:fillRect/>
                    </a:stretch>
                  </pic:blipFill>
                  <pic:spPr>
                    <a:xfrm>
                      <a:off x="0" y="0"/>
                      <a:ext cx="5669280" cy="3521825"/>
                    </a:xfrm>
                    <a:prstGeom prst="rect">
                      <a:avLst/>
                    </a:prstGeom>
                  </pic:spPr>
                </pic:pic>
              </a:graphicData>
            </a:graphic>
          </wp:inline>
        </w:drawing>
      </w:r>
    </w:p>
    <w:p w14:paraId="1C507887" w14:textId="77777777" w:rsidR="00D1158D" w:rsidRDefault="00000000">
      <w:pPr>
        <w:spacing w:after="200" w:line="240" w:lineRule="auto"/>
      </w:pPr>
      <w:r>
        <w:t>Major outcomes from the Electric Vehicle Market Analysis and Manufacturer Competitive Analysis dashboards:</w:t>
      </w:r>
    </w:p>
    <w:p w14:paraId="562C9222" w14:textId="77777777" w:rsidR="00D1158D" w:rsidRDefault="00000000">
      <w:pPr>
        <w:numPr>
          <w:ilvl w:val="0"/>
          <w:numId w:val="1"/>
        </w:numPr>
        <w:spacing w:before="240" w:after="0" w:line="240" w:lineRule="auto"/>
      </w:pPr>
      <w:r>
        <w:rPr>
          <w:b/>
        </w:rPr>
        <w:t xml:space="preserve">Sales and Sustainability Overview: </w:t>
      </w:r>
      <w:r>
        <w:t>The dashboards report total sales of 1,550.70M units and 737.93K of CO2 emission prevented, showing the overall scale and environmental impact of the EV market.</w:t>
      </w:r>
    </w:p>
    <w:p w14:paraId="06EEF9F2" w14:textId="77777777" w:rsidR="00D1158D" w:rsidRDefault="00000000">
      <w:pPr>
        <w:numPr>
          <w:ilvl w:val="0"/>
          <w:numId w:val="1"/>
        </w:numPr>
        <w:spacing w:before="240" w:after="0" w:line="240" w:lineRule="auto"/>
      </w:pPr>
      <w:r>
        <w:rPr>
          <w:b/>
        </w:rPr>
        <w:t xml:space="preserve">Top-Selling Categories: </w:t>
      </w:r>
      <w:r>
        <w:t>Two-Wheeler Scooter, Hatchback, Compact SUV and Sedan lead annual sales, while Electric Truck, Pickup Truck and Electric Bus have the lowest sales.</w:t>
      </w:r>
    </w:p>
    <w:p w14:paraId="18F7795B" w14:textId="77777777" w:rsidR="00D1158D" w:rsidRDefault="00000000">
      <w:pPr>
        <w:numPr>
          <w:ilvl w:val="0"/>
          <w:numId w:val="1"/>
        </w:numPr>
        <w:spacing w:before="240" w:after="0" w:line="240" w:lineRule="auto"/>
      </w:pPr>
      <w:r>
        <w:rPr>
          <w:b/>
        </w:rPr>
        <w:lastRenderedPageBreak/>
        <w:t xml:space="preserve">Battery Technology Adoption: </w:t>
      </w:r>
      <w:r>
        <w:t>NMC (33.80%) and LFP (31.99%) dominate the market, followed by NCA (17.23%) and Sodium-Ion (9.88%). Average range stays close to 320-331 across battery types and model years.</w:t>
      </w:r>
    </w:p>
    <w:p w14:paraId="68F753A0" w14:textId="77777777" w:rsidR="00D1158D" w:rsidRDefault="00000000">
      <w:pPr>
        <w:numPr>
          <w:ilvl w:val="0"/>
          <w:numId w:val="1"/>
        </w:numPr>
        <w:spacing w:before="240" w:after="0" w:line="240" w:lineRule="auto"/>
      </w:pPr>
      <w:r>
        <w:rPr>
          <w:b/>
        </w:rPr>
        <w:t xml:space="preserve">Range Leaders: </w:t>
      </w:r>
      <w:r>
        <w:t>Luxury Sedan (550.6) and Luxury SUV (524.8) have the highest average range, while Two-Wheeler Scooter (105.0) and Three-Wheeler (130.3) have the lowest.</w:t>
      </w:r>
    </w:p>
    <w:p w14:paraId="73500A79" w14:textId="77777777" w:rsidR="00D1158D" w:rsidRDefault="00000000">
      <w:pPr>
        <w:numPr>
          <w:ilvl w:val="0"/>
          <w:numId w:val="1"/>
        </w:numPr>
        <w:spacing w:before="240" w:after="0" w:line="240" w:lineRule="auto"/>
      </w:pPr>
      <w:r>
        <w:rPr>
          <w:b/>
        </w:rPr>
        <w:t xml:space="preserve">Evenly Spread Manufacturer Market: </w:t>
      </w:r>
      <w:proofErr w:type="spellStart"/>
      <w:r>
        <w:t>AmpereWorks</w:t>
      </w:r>
      <w:proofErr w:type="spellEnd"/>
      <w:r>
        <w:t xml:space="preserve"> leads in sales and market share (0.61%), followed by </w:t>
      </w:r>
      <w:proofErr w:type="spellStart"/>
      <w:r>
        <w:t>CircuitWorks</w:t>
      </w:r>
      <w:proofErr w:type="spellEnd"/>
      <w:r>
        <w:t xml:space="preserve"> and </w:t>
      </w:r>
      <w:proofErr w:type="spellStart"/>
      <w:r>
        <w:t>MomentumMobility</w:t>
      </w:r>
      <w:proofErr w:type="spellEnd"/>
      <w:r>
        <w:t>, but the top 10 manufacturers all sit between about 0.56% and 0.61%.</w:t>
      </w:r>
    </w:p>
    <w:p w14:paraId="60AEACA1" w14:textId="77777777" w:rsidR="00D1158D" w:rsidRDefault="00000000">
      <w:pPr>
        <w:numPr>
          <w:ilvl w:val="0"/>
          <w:numId w:val="1"/>
        </w:numPr>
        <w:spacing w:before="240" w:after="0" w:line="240" w:lineRule="auto"/>
      </w:pPr>
      <w:r>
        <w:rPr>
          <w:b/>
        </w:rPr>
        <w:t xml:space="preserve">Customer Satisfaction and Production: </w:t>
      </w:r>
      <w:r>
        <w:t xml:space="preserve">Customer ratings are tightly grouped (about 4.08 to 4.11), with </w:t>
      </w:r>
      <w:proofErr w:type="spellStart"/>
      <w:r>
        <w:t>MomentumMobility</w:t>
      </w:r>
      <w:proofErr w:type="spellEnd"/>
      <w:r>
        <w:t xml:space="preserve"> rated highest among top manufacturers, and manufacturing sales are spread across countries, with India highest at 159.24M.</w:t>
      </w:r>
    </w:p>
    <w:p w14:paraId="28219340" w14:textId="77777777" w:rsidR="00D1158D" w:rsidRDefault="00D1158D">
      <w:pPr>
        <w:spacing w:before="240" w:after="240" w:line="240" w:lineRule="auto"/>
      </w:pPr>
    </w:p>
    <w:p w14:paraId="2B1AD445" w14:textId="77777777" w:rsidR="00D1158D" w:rsidRDefault="00D1158D">
      <w:pPr>
        <w:spacing w:before="240" w:after="240" w:line="240" w:lineRule="auto"/>
      </w:pPr>
    </w:p>
    <w:p w14:paraId="3F4E22A0" w14:textId="77777777" w:rsidR="00D1158D" w:rsidRDefault="00000000">
      <w:pPr>
        <w:spacing w:after="200" w:line="240" w:lineRule="auto"/>
        <w:rPr>
          <w:b/>
          <w:bCs/>
          <w:sz w:val="28"/>
          <w:szCs w:val="28"/>
        </w:rPr>
      </w:pPr>
      <w:r>
        <w:rPr>
          <w:b/>
          <w:bCs/>
          <w:sz w:val="28"/>
          <w:szCs w:val="28"/>
        </w:rPr>
        <w:t>Activity 2</w:t>
      </w:r>
    </w:p>
    <w:p w14:paraId="33931982" w14:textId="77777777" w:rsidR="00D1158D" w:rsidRDefault="00000000">
      <w:pPr>
        <w:spacing w:after="200" w:line="240" w:lineRule="auto"/>
        <w:rPr>
          <w:sz w:val="28"/>
          <w:szCs w:val="28"/>
        </w:rPr>
      </w:pPr>
      <w:r>
        <w:rPr>
          <w:sz w:val="28"/>
          <w:szCs w:val="28"/>
        </w:rPr>
        <w:t>Publish Dashboard on Tableau Public and Paste the Dashboard Public link below:</w:t>
      </w:r>
    </w:p>
    <w:p w14:paraId="2D4671B6" w14:textId="77777777" w:rsidR="00D1158D" w:rsidRDefault="00000000">
      <w:pPr>
        <w:spacing w:after="200" w:line="240" w:lineRule="auto"/>
        <w:rPr>
          <w:sz w:val="28"/>
          <w:szCs w:val="28"/>
        </w:rPr>
      </w:pPr>
      <w:r>
        <w:rPr>
          <w:sz w:val="28"/>
          <w:szCs w:val="28"/>
        </w:rPr>
        <w:t>Example</w:t>
      </w:r>
    </w:p>
    <w:p w14:paraId="028512A9" w14:textId="40386080" w:rsidR="00D1158D" w:rsidRDefault="00BA7D75">
      <w:pPr>
        <w:spacing w:after="200" w:line="240" w:lineRule="auto"/>
        <w:rPr>
          <w:sz w:val="28"/>
          <w:szCs w:val="28"/>
        </w:rPr>
      </w:pPr>
      <w:hyperlink r:id="rId9" w:history="1">
        <w:r w:rsidR="002501E7" w:rsidRPr="00BA7D75">
          <w:rPr>
            <w:rStyle w:val="Hyperlink"/>
            <w:sz w:val="28"/>
            <w:szCs w:val="28"/>
          </w:rPr>
          <w:t>https://public.tableau.com/app/profile/hussain.saifee5441/viz/EVMarketAnalysis_17930983632520/ElectricVehicleMarketAnalysisDashboard?publish=yes&amp;showOnboarding=true</w:t>
        </w:r>
      </w:hyperlink>
    </w:p>
    <w:sectPr w:rsidR="00D1158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A94BB9AE-4603-4F54-B9EA-6EE972F6511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73F62F5-EAA0-4839-9CBD-7AD7F7704F4D}"/>
    <w:embedBold r:id="rId3" w:fontKey="{8AF22E17-C05C-472F-8FF4-8F3153DAD873}"/>
  </w:font>
  <w:font w:name="Georgia">
    <w:panose1 w:val="02040502050405020303"/>
    <w:charset w:val="00"/>
    <w:family w:val="roman"/>
    <w:pitch w:val="variable"/>
    <w:sig w:usb0="00000287" w:usb1="00000000" w:usb2="00000000" w:usb3="00000000" w:csb0="0000009F" w:csb1="00000000"/>
    <w:embedItalic r:id="rId4" w:fontKey="{21BE4941-4AFE-4D16-B997-BE22C33E1AD9}"/>
  </w:font>
  <w:font w:name="Cambria">
    <w:panose1 w:val="02040503050406030204"/>
    <w:charset w:val="00"/>
    <w:family w:val="roman"/>
    <w:pitch w:val="variable"/>
    <w:sig w:usb0="E00006FF" w:usb1="420024FF" w:usb2="02000000" w:usb3="00000000" w:csb0="0000019F" w:csb1="00000000"/>
    <w:embedRegular r:id="rId5" w:fontKey="{4A561369-47FE-4EC5-83E4-CB501F3E31A8}"/>
    <w:embedBold r:id="rId6" w:fontKey="{8639F76B-9BAD-4B71-B680-B5B24DE868C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0C656A16-99AB-401D-A238-86B7A745D1D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40677"/>
    <w:multiLevelType w:val="multilevel"/>
    <w:tmpl w:val="BBFC6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0871166"/>
    <w:multiLevelType w:val="multilevel"/>
    <w:tmpl w:val="384AB6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1273172585">
    <w:abstractNumId w:val="0"/>
  </w:num>
  <w:num w:numId="2" w16cid:durableId="3153839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58D"/>
    <w:rsid w:val="002501E7"/>
    <w:rsid w:val="009E6A30"/>
    <w:rsid w:val="00BA7D75"/>
    <w:rsid w:val="00D1158D"/>
    <w:rsid w:val="00D52F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C5888"/>
  <w15:docId w15:val="{00D2B93E-40EA-44DC-A283-BB5D38FBB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basedOn w:val="DefaultParagraphFont"/>
    <w:uiPriority w:val="99"/>
    <w:unhideWhenUsed/>
    <w:rsid w:val="007E317E"/>
    <w:rPr>
      <w:color w:val="0563C1" w:themeColor="hyperlink"/>
      <w:u w:val="single"/>
    </w:rPr>
  </w:style>
  <w:style w:type="paragraph" w:styleId="ListParagraph">
    <w:name w:val="List Paragraph"/>
    <w:basedOn w:val="Normal"/>
    <w:uiPriority w:val="1"/>
    <w:qFormat/>
    <w:rsid w:val="007E317E"/>
    <w:pPr>
      <w:ind w:left="720"/>
      <w:contextualSpacing/>
    </w:p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tblPr>
      <w:tblStyleRowBandSize w:val="1"/>
      <w:tblStyleColBandSize w:val="1"/>
    </w:tblPr>
  </w:style>
  <w:style w:type="character" w:styleId="UnresolvedMention">
    <w:name w:val="Unresolved Mention"/>
    <w:basedOn w:val="DefaultParagraphFont"/>
    <w:uiPriority w:val="99"/>
    <w:semiHidden/>
    <w:unhideWhenUsed/>
    <w:rsid w:val="00BA7D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ublic.tableau.com/app/profile/hussain.saifee5441/viz/EVMarketAnalysis_17930983632520/ElectricVehicleMarketAnalysisDashboard#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s4vCULXRgly0WckE8H7dAefINg==">CgMxLjA4AHIhMVRXTzg5Tkp0X1p2X0xPZFJxbm5Ja2lDNzgxalY3SjlW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401</Words>
  <Characters>2286</Characters>
  <Application>Microsoft Office Word</Application>
  <DocSecurity>0</DocSecurity>
  <Lines>19</Lines>
  <Paragraphs>5</Paragraphs>
  <ScaleCrop>false</ScaleCrop>
  <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Hussain Saifee</cp:lastModifiedBy>
  <cp:revision>3</cp:revision>
  <dcterms:created xsi:type="dcterms:W3CDTF">2024-01-13T08:54:00Z</dcterms:created>
  <dcterms:modified xsi:type="dcterms:W3CDTF">2026-10-27T11:08:00Z</dcterms:modified>
</cp:coreProperties>
</file>