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2646" w14:textId="77777777" w:rsidR="00E47D76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7433096F" wp14:editId="64FDD3D2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607EFBC2" w14:textId="77777777" w:rsidR="00E47D76" w:rsidRDefault="00E47D7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47D76" w14:paraId="5E804D9E" w14:textId="77777777">
        <w:trPr>
          <w:jc w:val="center"/>
        </w:trPr>
        <w:tc>
          <w:tcPr>
            <w:tcW w:w="4508" w:type="dxa"/>
          </w:tcPr>
          <w:p w14:paraId="028D2164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46999E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October 2026</w:t>
            </w:r>
          </w:p>
        </w:tc>
      </w:tr>
      <w:tr w:rsidR="00E47D76" w14:paraId="112E4CBE" w14:textId="77777777">
        <w:trPr>
          <w:jc w:val="center"/>
        </w:trPr>
        <w:tc>
          <w:tcPr>
            <w:tcW w:w="4508" w:type="dxa"/>
          </w:tcPr>
          <w:p w14:paraId="7B2E83AE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27EAFE2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Individual</w:t>
            </w:r>
          </w:p>
        </w:tc>
      </w:tr>
      <w:tr w:rsidR="00E47D76" w14:paraId="366B7F2D" w14:textId="77777777">
        <w:trPr>
          <w:jc w:val="center"/>
        </w:trPr>
        <w:tc>
          <w:tcPr>
            <w:tcW w:w="4508" w:type="dxa"/>
          </w:tcPr>
          <w:p w14:paraId="3842CE1F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EA3E78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 Market Analysis</w:t>
            </w:r>
          </w:p>
        </w:tc>
      </w:tr>
      <w:tr w:rsidR="00E47D76" w14:paraId="7B632D7C" w14:textId="77777777">
        <w:trPr>
          <w:jc w:val="center"/>
        </w:trPr>
        <w:tc>
          <w:tcPr>
            <w:tcW w:w="4508" w:type="dxa"/>
          </w:tcPr>
          <w:p w14:paraId="54FAA54F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EA497E0" w14:textId="77777777" w:rsidR="00E47D7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6D4E855" w14:textId="77777777" w:rsidR="00E47D76" w:rsidRDefault="00E47D76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50E1C923" w14:textId="77777777" w:rsidR="00E47D7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</w:pPr>
      <w:r>
        <w:t xml:space="preserve">By using stories in Tableau, you can effectively communicate complex data in a way that is both interactive and engaging, making it easier for the audience to follow along and understand the insights. It’s a tool for </w:t>
      </w:r>
      <w:r>
        <w:rPr>
          <w:b/>
          <w:bCs/>
        </w:rPr>
        <w:t>data storytelling</w:t>
      </w:r>
      <w:r>
        <w:t>, allowing you to present insights in a cohesive, engaging way that takes viewers through a logical progression of findings or analyses.</w:t>
      </w:r>
    </w:p>
    <w:p w14:paraId="00EE2FC4" w14:textId="77777777" w:rsidR="00E47D7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  <w:rPr>
          <w:sz w:val="20"/>
          <w:szCs w:val="20"/>
          <w:highlight w:val="white"/>
        </w:rPr>
      </w:pPr>
      <w:r>
        <w:t xml:space="preserve">In Tableau, </w:t>
      </w:r>
      <w:r>
        <w:rPr>
          <w:b/>
          <w:bCs/>
        </w:rPr>
        <w:t>Story</w:t>
      </w:r>
      <w: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sz w:val="20"/>
          <w:szCs w:val="20"/>
        </w:rPr>
        <w:t xml:space="preserve">                   </w:t>
      </w:r>
    </w:p>
    <w:p w14:paraId="4CAB22D5" w14:textId="77777777" w:rsidR="00E47D76" w:rsidRDefault="00E47D7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5C641ACC" w14:textId="77777777" w:rsidR="00E47D7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8B3F9B9" wp14:editId="2B8037A1">
            <wp:extent cx="5669280" cy="1741179"/>
            <wp:effectExtent l="0" t="0" r="0" b="0"/>
            <wp:docPr id="1507075289" name="Picture 1507075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EC1D" w14:textId="77777777" w:rsidR="00E47D76" w:rsidRDefault="00E47D7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5C2CC82" w14:textId="77777777" w:rsidR="00E47D7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Observations:</w:t>
      </w:r>
    </w:p>
    <w:p w14:paraId="5D2C6500" w14:textId="77777777" w:rsidR="00E47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Two-Wheeler Scooter Leads Category Sales: </w:t>
      </w:r>
      <w:r>
        <w:rPr>
          <w:rFonts w:ascii="Arial" w:eastAsia="Arial" w:hAnsi="Arial" w:cs="Arial"/>
          <w:sz w:val="20"/>
          <w:szCs w:val="20"/>
        </w:rPr>
        <w:t>Two-Wheeler Scooter, Hatchback, Compact SUV and Sedan generate the highest annual sales, while Electric Bus, Pickup Truck and Electric Truck are the smallest categories.</w:t>
      </w:r>
    </w:p>
    <w:p w14:paraId="0B2B9FAC" w14:textId="77777777" w:rsidR="00E47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Battery Technology Split: </w:t>
      </w:r>
      <w:r>
        <w:rPr>
          <w:rFonts w:ascii="Arial" w:eastAsia="Arial" w:hAnsi="Arial" w:cs="Arial"/>
          <w:sz w:val="20"/>
          <w:szCs w:val="20"/>
        </w:rPr>
        <w:t>NMC (33.80%) and LFP (31.99%) together account for about two thirds of the market, with NCA at 17.23% and Sodium-Ion at 9.88%.</w:t>
      </w:r>
    </w:p>
    <w:p w14:paraId="239947D4" w14:textId="77777777" w:rsidR="00E47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Luxury Vehicles Offer the Longest Range: </w:t>
      </w:r>
      <w:r>
        <w:rPr>
          <w:rFonts w:ascii="Arial" w:eastAsia="Arial" w:hAnsi="Arial" w:cs="Arial"/>
          <w:sz w:val="20"/>
          <w:szCs w:val="20"/>
        </w:rPr>
        <w:t>Luxury Sedan (550.6) and Luxury SUV (524.8) have the highest average range, while Two-Wheeler Scooter has the lowest at 105.0.</w:t>
      </w:r>
    </w:p>
    <w:p w14:paraId="4A654849" w14:textId="77777777" w:rsidR="00E47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Competitive and Balanced Manufacturer Market: </w:t>
      </w:r>
      <w:proofErr w:type="spellStart"/>
      <w:r>
        <w:rPr>
          <w:rFonts w:ascii="Arial" w:eastAsia="Arial" w:hAnsi="Arial" w:cs="Arial"/>
          <w:sz w:val="20"/>
          <w:szCs w:val="20"/>
        </w:rPr>
        <w:t>AmpereWorks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leads in sales and market share at 0.61%, but the top 10 manufacturers are all within a narrow share range of about 0.56% to 0.61%.</w:t>
      </w:r>
    </w:p>
    <w:p w14:paraId="2A93022C" w14:textId="77777777" w:rsidR="00E47D76" w:rsidRDefault="00E47D7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64C709CE" w14:textId="77777777" w:rsidR="00E47D76" w:rsidRDefault="00E47D7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42D00A0A" w14:textId="77777777" w:rsidR="00E47D7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 w14:paraId="421DF22E" w14:textId="77777777" w:rsidR="00E47D7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Publish Story on Tableau Public and Paste Public link below</w:t>
      </w:r>
    </w:p>
    <w:p w14:paraId="11E0B2AB" w14:textId="2628F525" w:rsidR="00E47D76" w:rsidRDefault="002D762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hyperlink r:id="rId8" w:history="1">
        <w:r w:rsidR="001B7DC6" w:rsidRPr="002D7627">
          <w:rPr>
            <w:rStyle w:val="Hyperlink"/>
          </w:rPr>
          <w:t>https://public.tableau.com/app/profile/hussain.saifee5441/viz/EVMarketAnalysis_17930983632520/ElectricVehicleMarketAnalysisDashboard?publish=yes&amp;showOnboarding=true</w:t>
        </w:r>
      </w:hyperlink>
    </w:p>
    <w:sectPr w:rsidR="00E47D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D911351-D366-4059-B978-7FAA553C49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5C3CE5-C25B-49DD-B6A5-3C7AD3F81FCF}"/>
    <w:embedBold r:id="rId3" w:fontKey="{AFA6EC42-F989-4E28-B76D-F684F4B288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5713E7-C75F-43EC-9E21-BC9864F360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BB7547-9D7E-4544-B755-B95CAA8A59B2}"/>
    <w:embedBold r:id="rId6" w:fontKey="{F9BE4101-7853-4ADA-B6E1-BAF58DDF9F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73B45CD-3D6D-4D0A-8F2F-173C379F1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06B"/>
    <w:multiLevelType w:val="multilevel"/>
    <w:tmpl w:val="54FA8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56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76"/>
    <w:rsid w:val="001B7DC6"/>
    <w:rsid w:val="002D7627"/>
    <w:rsid w:val="00E47D76"/>
    <w:rsid w:val="00E9667D"/>
    <w:rsid w:val="00F1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1976"/>
  <w15:docId w15:val="{19CF4002-D0E4-4A5C-8587-33B68214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2D7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hussain.saifee5441/viz/EVMarketAnalysis_17930983632520/ElectricVehicleMarketAnalysisDashboard#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Hussain Saifee</cp:lastModifiedBy>
  <cp:revision>3</cp:revision>
  <dcterms:created xsi:type="dcterms:W3CDTF">2024-01-13T08:53:00Z</dcterms:created>
  <dcterms:modified xsi:type="dcterms:W3CDTF">2026-10-27T11:08:00Z</dcterms:modified>
</cp:coreProperties>
</file>