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3m0bh7q6h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تطبيق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منصة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شاملة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للاستشارات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الأسرية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والتطوير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الذاتي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fy5s8xlh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هو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تطبيق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المؤهلين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والمهني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xuvull3ih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للعملاء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والمستخدمين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k7j7itsip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لماذا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تحتاج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والتنمر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z5cpvgyt5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كيف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يمكنك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الاستفادة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rmb68vup5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الذي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يميز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غيره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الاستشارية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والسهولة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الاستشاريين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wq07p8w8z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للإستشارين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w5bnugluy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لماذا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تنضم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مستشار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2hcngn5mc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كيف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تنضم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فريق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لموقعك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avkqjvfm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هي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الشهادات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والمتطلبات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المطلوبة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المؤهلين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لأطباء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خارج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ماجستير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دكتوراه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10pcf83lj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أسئلة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شاملة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للجميع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kkb4xffwe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ماذا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يقدم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تطبيق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تربوي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v63lvxenq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هم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للإستشارين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بفريقنا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المستشارين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2an7b4u5a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كيف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أبدأ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شوراشا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مستشار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مستشار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c2of3t9s8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دعوة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لجميع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الفئات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للمستشارين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للعملاء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للتواصل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: 66191972 / 55264002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shorasha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إنستغرام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shorasha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qtr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