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B1E67" w14:textId="77777777" w:rsidR="00324A97" w:rsidRPr="00C6491A" w:rsidRDefault="008D330B">
      <w:pPr>
        <w:rPr>
          <w:rFonts w:ascii="Times New Roman" w:hAnsi="Times New Roman" w:cs="Times New Roman"/>
          <w:sz w:val="24"/>
          <w:szCs w:val="24"/>
        </w:rPr>
      </w:pPr>
      <w:bookmarkStart w:id="0" w:name="_GoBack"/>
      <w:bookmarkEnd w:id="0"/>
      <w:r w:rsidRPr="00C6491A">
        <w:rPr>
          <w:rFonts w:ascii="Times New Roman" w:hAnsi="Times New Roman" w:cs="Times New Roman"/>
          <w:sz w:val="24"/>
          <w:szCs w:val="24"/>
        </w:rPr>
        <w:t xml:space="preserve">Oxygen consumption of </w:t>
      </w:r>
      <w:r w:rsidR="00E35AD7">
        <w:rPr>
          <w:rFonts w:ascii="Times New Roman" w:hAnsi="Times New Roman" w:cs="Times New Roman"/>
          <w:sz w:val="24"/>
          <w:szCs w:val="24"/>
        </w:rPr>
        <w:t>yeast cell mitochondria</w:t>
      </w:r>
      <w:r w:rsidRPr="00C6491A">
        <w:rPr>
          <w:rFonts w:ascii="Times New Roman" w:hAnsi="Times New Roman" w:cs="Times New Roman"/>
          <w:sz w:val="24"/>
          <w:szCs w:val="24"/>
        </w:rPr>
        <w:t xml:space="preserve"> </w:t>
      </w:r>
      <w:r w:rsidR="0099031D" w:rsidRPr="00C6491A">
        <w:rPr>
          <w:rFonts w:ascii="Times New Roman" w:hAnsi="Times New Roman" w:cs="Times New Roman"/>
          <w:sz w:val="24"/>
          <w:szCs w:val="24"/>
        </w:rPr>
        <w:t>in the presence of antioxidants</w:t>
      </w:r>
      <w:r w:rsidRPr="00C6491A">
        <w:rPr>
          <w:rFonts w:ascii="Times New Roman" w:hAnsi="Times New Roman" w:cs="Times New Roman"/>
          <w:sz w:val="24"/>
          <w:szCs w:val="24"/>
        </w:rPr>
        <w:t xml:space="preserve"> to determine the role of reactive oxygen species and </w:t>
      </w:r>
      <w:proofErr w:type="spellStart"/>
      <w:r w:rsidRPr="00C6491A">
        <w:rPr>
          <w:rFonts w:ascii="Times New Roman" w:hAnsi="Times New Roman" w:cs="Times New Roman"/>
          <w:sz w:val="24"/>
          <w:szCs w:val="24"/>
        </w:rPr>
        <w:t>superoxidase</w:t>
      </w:r>
      <w:proofErr w:type="spellEnd"/>
      <w:r w:rsidRPr="00C6491A">
        <w:rPr>
          <w:rFonts w:ascii="Times New Roman" w:hAnsi="Times New Roman" w:cs="Times New Roman"/>
          <w:sz w:val="24"/>
          <w:szCs w:val="24"/>
        </w:rPr>
        <w:t xml:space="preserve"> dismutase</w:t>
      </w:r>
    </w:p>
    <w:p w14:paraId="62DA36BF" w14:textId="77777777" w:rsidR="0035087B" w:rsidRPr="00C6491A" w:rsidRDefault="0035087B">
      <w:pPr>
        <w:rPr>
          <w:rFonts w:ascii="Times New Roman" w:hAnsi="Times New Roman" w:cs="Times New Roman"/>
          <w:sz w:val="24"/>
          <w:szCs w:val="24"/>
        </w:rPr>
      </w:pPr>
      <w:r w:rsidRPr="00C6491A">
        <w:rPr>
          <w:rFonts w:ascii="Times New Roman" w:hAnsi="Times New Roman" w:cs="Times New Roman"/>
          <w:sz w:val="24"/>
          <w:szCs w:val="24"/>
        </w:rPr>
        <w:t>Abstract</w:t>
      </w:r>
    </w:p>
    <w:p w14:paraId="68733BB7" w14:textId="77777777" w:rsidR="006319C0" w:rsidRPr="00C6491A" w:rsidRDefault="006319C0">
      <w:pPr>
        <w:rPr>
          <w:rFonts w:ascii="Times New Roman" w:hAnsi="Times New Roman" w:cs="Times New Roman"/>
          <w:sz w:val="24"/>
          <w:szCs w:val="24"/>
        </w:rPr>
      </w:pPr>
      <w:r w:rsidRPr="00C6491A">
        <w:rPr>
          <w:rFonts w:ascii="Times New Roman" w:hAnsi="Times New Roman" w:cs="Times New Roman"/>
          <w:sz w:val="24"/>
          <w:szCs w:val="24"/>
        </w:rPr>
        <w:t>Antioxidants play an important role in mitochondrial function in the presence of reactive oxygen species (ROS).</w:t>
      </w:r>
      <w:r w:rsidR="00C6491A" w:rsidRPr="00C6491A">
        <w:rPr>
          <w:rFonts w:ascii="Times New Roman" w:hAnsi="Times New Roman" w:cs="Times New Roman"/>
          <w:sz w:val="24"/>
          <w:szCs w:val="24"/>
        </w:rPr>
        <w:t xml:space="preserve"> For example deficiency </w:t>
      </w:r>
      <w:r w:rsidR="00647894" w:rsidRPr="00C6491A">
        <w:rPr>
          <w:rFonts w:ascii="Times New Roman" w:hAnsi="Times New Roman" w:cs="Times New Roman"/>
          <w:sz w:val="24"/>
          <w:szCs w:val="24"/>
        </w:rPr>
        <w:t>of</w:t>
      </w:r>
      <w:r w:rsidR="00C6491A" w:rsidRPr="00C6491A">
        <w:rPr>
          <w:rFonts w:ascii="Times New Roman" w:hAnsi="Times New Roman" w:cs="Times New Roman"/>
          <w:sz w:val="24"/>
          <w:szCs w:val="24"/>
        </w:rPr>
        <w:t xml:space="preserve"> the antioxidant glutathione has been shown to cause oxidative stress in different types of dialysis patients (Ross).</w:t>
      </w:r>
      <w:r w:rsidRPr="00C6491A">
        <w:rPr>
          <w:rFonts w:ascii="Times New Roman" w:hAnsi="Times New Roman" w:cs="Times New Roman"/>
          <w:sz w:val="24"/>
          <w:szCs w:val="24"/>
        </w:rPr>
        <w:t xml:space="preserve"> ROS are naturally produced as byproducts of </w:t>
      </w:r>
      <w:r w:rsidR="00CF13D6" w:rsidRPr="00C6491A">
        <w:rPr>
          <w:rFonts w:ascii="Times New Roman" w:hAnsi="Times New Roman" w:cs="Times New Roman"/>
          <w:sz w:val="24"/>
          <w:szCs w:val="24"/>
        </w:rPr>
        <w:t>various</w:t>
      </w:r>
      <w:r w:rsidRPr="00C6491A">
        <w:rPr>
          <w:rFonts w:ascii="Times New Roman" w:hAnsi="Times New Roman" w:cs="Times New Roman"/>
          <w:sz w:val="24"/>
          <w:szCs w:val="24"/>
        </w:rPr>
        <w:t xml:space="preserve"> cellular processes such as respiration and develop in greater </w:t>
      </w:r>
      <w:r w:rsidR="00CF13D6" w:rsidRPr="00C6491A">
        <w:rPr>
          <w:rFonts w:ascii="Times New Roman" w:hAnsi="Times New Roman" w:cs="Times New Roman"/>
          <w:sz w:val="24"/>
          <w:szCs w:val="24"/>
        </w:rPr>
        <w:t>amounts</w:t>
      </w:r>
      <w:r w:rsidRPr="00C6491A">
        <w:rPr>
          <w:rFonts w:ascii="Times New Roman" w:hAnsi="Times New Roman" w:cs="Times New Roman"/>
          <w:sz w:val="24"/>
          <w:szCs w:val="24"/>
        </w:rPr>
        <w:t xml:space="preserve"> under </w:t>
      </w:r>
      <w:r w:rsidR="00CF13D6" w:rsidRPr="00C6491A">
        <w:rPr>
          <w:rFonts w:ascii="Times New Roman" w:hAnsi="Times New Roman" w:cs="Times New Roman"/>
          <w:sz w:val="24"/>
          <w:szCs w:val="24"/>
        </w:rPr>
        <w:t>situations</w:t>
      </w:r>
      <w:r w:rsidRPr="00C6491A">
        <w:rPr>
          <w:rFonts w:ascii="Times New Roman" w:hAnsi="Times New Roman" w:cs="Times New Roman"/>
          <w:sz w:val="24"/>
          <w:szCs w:val="24"/>
        </w:rPr>
        <w:t xml:space="preserve"> of environmental stress. Common ROs include </w:t>
      </w:r>
      <w:r w:rsidRPr="00C6491A">
        <w:rPr>
          <w:rFonts w:ascii="Times New Roman" w:eastAsia="Arial Unicode MS" w:hAnsi="Times New Roman" w:cs="Times New Roman"/>
          <w:noProof/>
          <w:sz w:val="24"/>
          <w:szCs w:val="24"/>
          <w:bdr w:val="none" w:sz="0" w:space="0" w:color="auto" w:frame="1"/>
          <w:shd w:val="clear" w:color="auto" w:fill="FFFFFF"/>
          <w:vertAlign w:val="superscript"/>
        </w:rPr>
        <w:drawing>
          <wp:inline distT="0" distB="0" distL="0" distR="0" wp14:anchorId="5C867B3D" wp14:editId="2E32BF5C">
            <wp:extent cx="42545" cy="31750"/>
            <wp:effectExtent l="0" t="0" r="0" b="6350"/>
            <wp:docPr id="13" name="Picture 13" descr="radical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dical d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sidRPr="00C6491A">
        <w:rPr>
          <w:rFonts w:ascii="Times New Roman" w:hAnsi="Times New Roman" w:cs="Times New Roman"/>
          <w:sz w:val="24"/>
          <w:szCs w:val="24"/>
        </w:rPr>
        <w:t>O</w:t>
      </w:r>
      <w:r w:rsidRPr="00C6491A">
        <w:rPr>
          <w:rFonts w:ascii="Times New Roman" w:hAnsi="Times New Roman" w:cs="Times New Roman"/>
          <w:sz w:val="24"/>
          <w:szCs w:val="24"/>
          <w:vertAlign w:val="subscript"/>
        </w:rPr>
        <w:t>2</w:t>
      </w:r>
      <w:r w:rsidRPr="00C6491A">
        <w:rPr>
          <w:rFonts w:ascii="Times New Roman" w:hAnsi="Times New Roman" w:cs="Times New Roman"/>
          <w:sz w:val="24"/>
          <w:szCs w:val="24"/>
          <w:vertAlign w:val="superscript"/>
        </w:rPr>
        <w:t xml:space="preserve">- </w:t>
      </w:r>
      <w:r w:rsidRPr="00C6491A">
        <w:rPr>
          <w:rFonts w:ascii="Times New Roman" w:hAnsi="Times New Roman" w:cs="Times New Roman"/>
          <w:sz w:val="24"/>
          <w:szCs w:val="24"/>
        </w:rPr>
        <w:t xml:space="preserve">, </w:t>
      </w:r>
      <w:r w:rsidRPr="00C6491A">
        <w:rPr>
          <w:rFonts w:ascii="Times New Roman" w:eastAsia="Arial Unicode MS" w:hAnsi="Times New Roman" w:cs="Times New Roman"/>
          <w:noProof/>
          <w:sz w:val="24"/>
          <w:szCs w:val="24"/>
          <w:bdr w:val="none" w:sz="0" w:space="0" w:color="auto" w:frame="1"/>
          <w:shd w:val="clear" w:color="auto" w:fill="FFFFFF"/>
          <w:vertAlign w:val="superscript"/>
        </w:rPr>
        <w:drawing>
          <wp:inline distT="0" distB="0" distL="0" distR="0" wp14:anchorId="6BE3EAFC" wp14:editId="21BAB917">
            <wp:extent cx="42545" cy="31750"/>
            <wp:effectExtent l="0" t="0" r="0" b="6350"/>
            <wp:docPr id="14" name="Picture 14" descr="radical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dical d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sidRPr="00C6491A">
        <w:rPr>
          <w:rFonts w:ascii="Times New Roman" w:hAnsi="Times New Roman" w:cs="Times New Roman"/>
          <w:sz w:val="24"/>
          <w:szCs w:val="24"/>
        </w:rPr>
        <w:t>O</w:t>
      </w:r>
      <w:r w:rsidRPr="00C6491A">
        <w:rPr>
          <w:rFonts w:ascii="Times New Roman" w:hAnsi="Times New Roman" w:cs="Times New Roman"/>
          <w:sz w:val="24"/>
          <w:szCs w:val="24"/>
          <w:vertAlign w:val="subscript"/>
        </w:rPr>
        <w:t>2</w:t>
      </w:r>
      <w:r w:rsidRPr="00C6491A">
        <w:rPr>
          <w:rFonts w:ascii="Times New Roman" w:hAnsi="Times New Roman" w:cs="Times New Roman"/>
          <w:sz w:val="24"/>
          <w:szCs w:val="24"/>
          <w:vertAlign w:val="superscript"/>
        </w:rPr>
        <w:t>-2</w:t>
      </w:r>
      <w:r w:rsidRPr="00C6491A">
        <w:rPr>
          <w:rFonts w:ascii="Times New Roman" w:hAnsi="Times New Roman" w:cs="Times New Roman"/>
          <w:sz w:val="24"/>
          <w:szCs w:val="24"/>
        </w:rPr>
        <w:t xml:space="preserve">, </w:t>
      </w:r>
      <w:r w:rsidR="00CC4558" w:rsidRPr="00C6491A">
        <w:rPr>
          <w:rFonts w:ascii="Times New Roman" w:eastAsia="Arial Unicode MS" w:hAnsi="Times New Roman" w:cs="Times New Roman"/>
          <w:sz w:val="24"/>
          <w:szCs w:val="24"/>
          <w:bdr w:val="none" w:sz="0" w:space="0" w:color="auto" w:frame="1"/>
          <w:shd w:val="clear" w:color="auto" w:fill="FFFFFF"/>
        </w:rPr>
        <w:t>H</w:t>
      </w:r>
      <w:r w:rsidR="00CC4558" w:rsidRPr="00C6491A">
        <w:rPr>
          <w:rFonts w:ascii="Times New Roman" w:eastAsia="Arial Unicode MS" w:hAnsi="Times New Roman" w:cs="Times New Roman"/>
          <w:sz w:val="24"/>
          <w:szCs w:val="24"/>
          <w:bdr w:val="none" w:sz="0" w:space="0" w:color="auto" w:frame="1"/>
          <w:shd w:val="clear" w:color="auto" w:fill="FFFFFF"/>
          <w:vertAlign w:val="subscript"/>
        </w:rPr>
        <w:t>2</w:t>
      </w:r>
      <w:r w:rsidR="00CC4558" w:rsidRPr="00C6491A">
        <w:rPr>
          <w:rFonts w:ascii="Times New Roman" w:eastAsia="Arial Unicode MS" w:hAnsi="Times New Roman" w:cs="Times New Roman"/>
          <w:sz w:val="24"/>
          <w:szCs w:val="24"/>
          <w:bdr w:val="none" w:sz="0" w:space="0" w:color="auto" w:frame="1"/>
          <w:shd w:val="clear" w:color="auto" w:fill="FFFFFF"/>
        </w:rPr>
        <w:t>O</w:t>
      </w:r>
      <w:r w:rsidR="00CC4558" w:rsidRPr="00C6491A">
        <w:rPr>
          <w:rFonts w:ascii="Times New Roman" w:eastAsia="Arial Unicode MS" w:hAnsi="Times New Roman" w:cs="Times New Roman"/>
          <w:sz w:val="24"/>
          <w:szCs w:val="24"/>
          <w:bdr w:val="none" w:sz="0" w:space="0" w:color="auto" w:frame="1"/>
          <w:shd w:val="clear" w:color="auto" w:fill="FFFFFF"/>
          <w:vertAlign w:val="subscript"/>
        </w:rPr>
        <w:t xml:space="preserve">2, </w:t>
      </w:r>
      <w:r w:rsidR="00CC4558" w:rsidRPr="00C6491A">
        <w:rPr>
          <w:rFonts w:ascii="Times New Roman" w:eastAsia="Arial Unicode MS" w:hAnsi="Times New Roman" w:cs="Times New Roman"/>
          <w:noProof/>
          <w:sz w:val="24"/>
          <w:szCs w:val="24"/>
          <w:bdr w:val="none" w:sz="0" w:space="0" w:color="auto" w:frame="1"/>
          <w:shd w:val="clear" w:color="auto" w:fill="FFFFFF"/>
          <w:vertAlign w:val="superscript"/>
        </w:rPr>
        <w:drawing>
          <wp:inline distT="0" distB="0" distL="0" distR="0" wp14:anchorId="135B5E6E" wp14:editId="334268D8">
            <wp:extent cx="42545" cy="31750"/>
            <wp:effectExtent l="0" t="0" r="0" b="6350"/>
            <wp:docPr id="15" name="Picture 15" descr="radical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dical d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sidR="00CC4558" w:rsidRPr="00C6491A">
        <w:rPr>
          <w:rFonts w:ascii="Times New Roman" w:eastAsia="Arial Unicode MS" w:hAnsi="Times New Roman" w:cs="Times New Roman"/>
          <w:sz w:val="24"/>
          <w:szCs w:val="24"/>
          <w:bdr w:val="none" w:sz="0" w:space="0" w:color="auto" w:frame="1"/>
          <w:shd w:val="clear" w:color="auto" w:fill="FFFFFF"/>
        </w:rPr>
        <w:t>OH, and OH</w:t>
      </w:r>
      <w:r w:rsidR="00CC4558" w:rsidRPr="00C6491A">
        <w:rPr>
          <w:rFonts w:ascii="Times New Roman" w:eastAsia="Arial Unicode MS" w:hAnsi="Times New Roman" w:cs="Times New Roman"/>
          <w:sz w:val="24"/>
          <w:szCs w:val="24"/>
          <w:bdr w:val="none" w:sz="0" w:space="0" w:color="auto" w:frame="1"/>
          <w:shd w:val="clear" w:color="auto" w:fill="FFFFFF"/>
          <w:vertAlign w:val="superscript"/>
        </w:rPr>
        <w:t>-</w:t>
      </w:r>
      <w:r w:rsidR="00CC4558" w:rsidRPr="00C6491A">
        <w:rPr>
          <w:rFonts w:ascii="Times New Roman" w:eastAsia="Arial Unicode MS" w:hAnsi="Times New Roman" w:cs="Times New Roman"/>
          <w:sz w:val="24"/>
          <w:szCs w:val="24"/>
          <w:bdr w:val="none" w:sz="0" w:space="0" w:color="auto" w:frame="1"/>
          <w:shd w:val="clear" w:color="auto" w:fill="FFFFFF"/>
        </w:rPr>
        <w:t>.</w:t>
      </w:r>
      <w:r w:rsidR="00CC4558" w:rsidRPr="00C6491A">
        <w:rPr>
          <w:rFonts w:ascii="Times New Roman" w:hAnsi="Times New Roman" w:cs="Times New Roman"/>
          <w:sz w:val="24"/>
          <w:szCs w:val="24"/>
        </w:rPr>
        <w:t xml:space="preserve"> </w:t>
      </w:r>
      <w:r w:rsidRPr="00C6491A">
        <w:rPr>
          <w:rFonts w:ascii="Times New Roman" w:hAnsi="Times New Roman" w:cs="Times New Roman"/>
          <w:sz w:val="24"/>
          <w:szCs w:val="24"/>
        </w:rPr>
        <w:t xml:space="preserve">The dot </w:t>
      </w:r>
      <w:r w:rsidRPr="00C6491A">
        <w:rPr>
          <w:rFonts w:ascii="Times New Roman" w:eastAsia="Arial Unicode MS" w:hAnsi="Times New Roman" w:cs="Times New Roman"/>
          <w:noProof/>
          <w:sz w:val="24"/>
          <w:szCs w:val="24"/>
          <w:bdr w:val="none" w:sz="0" w:space="0" w:color="auto" w:frame="1"/>
          <w:shd w:val="clear" w:color="auto" w:fill="FFFFFF"/>
          <w:vertAlign w:val="superscript"/>
        </w:rPr>
        <w:drawing>
          <wp:inline distT="0" distB="0" distL="0" distR="0" wp14:anchorId="15BCF9DE" wp14:editId="0DCA737F">
            <wp:extent cx="42545" cy="31750"/>
            <wp:effectExtent l="0" t="0" r="0" b="6350"/>
            <wp:docPr id="11" name="Picture 11" descr="radical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dical d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sidRPr="00C6491A">
        <w:rPr>
          <w:rFonts w:ascii="Times New Roman" w:hAnsi="Times New Roman" w:cs="Times New Roman"/>
          <w:sz w:val="24"/>
          <w:szCs w:val="24"/>
        </w:rPr>
        <w:t xml:space="preserve"> represents an unpair</w:t>
      </w:r>
      <w:r w:rsidR="00CF13D6" w:rsidRPr="00C6491A">
        <w:rPr>
          <w:rFonts w:ascii="Times New Roman" w:hAnsi="Times New Roman" w:cs="Times New Roman"/>
          <w:sz w:val="24"/>
          <w:szCs w:val="24"/>
        </w:rPr>
        <w:t>ed electron in various formulas (Held).</w:t>
      </w:r>
    </w:p>
    <w:p w14:paraId="27C6BEC3" w14:textId="77777777" w:rsidR="00D56041" w:rsidRPr="00C6491A" w:rsidRDefault="0035087B" w:rsidP="00D56041">
      <w:pPr>
        <w:rPr>
          <w:rFonts w:ascii="Times New Roman" w:hAnsi="Times New Roman" w:cs="Times New Roman"/>
          <w:sz w:val="24"/>
          <w:szCs w:val="24"/>
        </w:rPr>
      </w:pPr>
      <w:r w:rsidRPr="00C6491A">
        <w:rPr>
          <w:rFonts w:ascii="Times New Roman" w:hAnsi="Times New Roman" w:cs="Times New Roman"/>
          <w:sz w:val="24"/>
          <w:szCs w:val="24"/>
        </w:rPr>
        <w:t xml:space="preserve">This experiment was </w:t>
      </w:r>
      <w:r w:rsidR="00CF13D6" w:rsidRPr="00C6491A">
        <w:rPr>
          <w:rFonts w:ascii="Times New Roman" w:hAnsi="Times New Roman" w:cs="Times New Roman"/>
          <w:sz w:val="24"/>
          <w:szCs w:val="24"/>
        </w:rPr>
        <w:t>performed</w:t>
      </w:r>
      <w:r w:rsidRPr="00C6491A">
        <w:rPr>
          <w:rFonts w:ascii="Times New Roman" w:hAnsi="Times New Roman" w:cs="Times New Roman"/>
          <w:sz w:val="24"/>
          <w:szCs w:val="24"/>
        </w:rPr>
        <w:t xml:space="preserve"> to determine the role of reactive oxygen species in the mitochondria of yeast cells. </w:t>
      </w:r>
      <w:r w:rsidR="00D56041" w:rsidRPr="00C6491A">
        <w:rPr>
          <w:rFonts w:ascii="Times New Roman" w:hAnsi="Times New Roman" w:cs="Times New Roman"/>
          <w:sz w:val="24"/>
          <w:szCs w:val="24"/>
        </w:rPr>
        <w:t xml:space="preserve">Yeast solutions were prepared with dextrose and broth to allow respiration to occur. Mitochondria were isolated from yeast cells that were mixed with </w:t>
      </w:r>
      <w:proofErr w:type="spellStart"/>
      <w:r w:rsidR="00D56041" w:rsidRPr="00C6491A">
        <w:rPr>
          <w:rFonts w:ascii="Times New Roman" w:hAnsi="Times New Roman" w:cs="Times New Roman"/>
          <w:sz w:val="24"/>
          <w:szCs w:val="24"/>
        </w:rPr>
        <w:t>quercetin</w:t>
      </w:r>
      <w:proofErr w:type="spellEnd"/>
      <w:r w:rsidR="00D56041" w:rsidRPr="00C6491A">
        <w:rPr>
          <w:rFonts w:ascii="Times New Roman" w:hAnsi="Times New Roman" w:cs="Times New Roman"/>
          <w:sz w:val="24"/>
          <w:szCs w:val="24"/>
        </w:rPr>
        <w:t xml:space="preserve"> and without </w:t>
      </w:r>
      <w:proofErr w:type="spellStart"/>
      <w:r w:rsidR="00D56041" w:rsidRPr="00C6491A">
        <w:rPr>
          <w:rFonts w:ascii="Times New Roman" w:hAnsi="Times New Roman" w:cs="Times New Roman"/>
          <w:sz w:val="24"/>
          <w:szCs w:val="24"/>
        </w:rPr>
        <w:t>quercetin</w:t>
      </w:r>
      <w:proofErr w:type="spellEnd"/>
      <w:r w:rsidR="00D56041" w:rsidRPr="00C6491A">
        <w:rPr>
          <w:rFonts w:ascii="Times New Roman" w:hAnsi="Times New Roman" w:cs="Times New Roman"/>
          <w:sz w:val="24"/>
          <w:szCs w:val="24"/>
        </w:rPr>
        <w:t>.  Through two different methods: mechanical isolation and enzymatic breaking down of the cell membranes, the process involved a series of centrifugation and homogenization</w:t>
      </w:r>
      <w:r w:rsidR="00B67DB6" w:rsidRPr="00C6491A">
        <w:rPr>
          <w:rFonts w:ascii="Times New Roman" w:hAnsi="Times New Roman" w:cs="Times New Roman"/>
          <w:sz w:val="24"/>
          <w:szCs w:val="24"/>
        </w:rPr>
        <w:t xml:space="preserve"> (</w:t>
      </w:r>
      <w:proofErr w:type="spellStart"/>
      <w:r w:rsidR="00B67DB6" w:rsidRPr="00C6491A">
        <w:rPr>
          <w:rFonts w:ascii="Times New Roman" w:hAnsi="Times New Roman" w:cs="Times New Roman"/>
          <w:sz w:val="24"/>
          <w:szCs w:val="24"/>
        </w:rPr>
        <w:t>Qiagen</w:t>
      </w:r>
      <w:proofErr w:type="spellEnd"/>
      <w:r w:rsidR="00B67DB6" w:rsidRPr="00C6491A">
        <w:rPr>
          <w:rFonts w:ascii="Times New Roman" w:hAnsi="Times New Roman" w:cs="Times New Roman"/>
          <w:sz w:val="24"/>
          <w:szCs w:val="24"/>
        </w:rPr>
        <w:t>)</w:t>
      </w:r>
      <w:r w:rsidR="00D56041" w:rsidRPr="00C6491A">
        <w:rPr>
          <w:rFonts w:ascii="Times New Roman" w:hAnsi="Times New Roman" w:cs="Times New Roman"/>
          <w:sz w:val="24"/>
          <w:szCs w:val="24"/>
        </w:rPr>
        <w:t xml:space="preserve">. The mitochondria were immersed in a mitochondrial suspension solution with a pyruvate-malate solution and their oxygen consumption rate was measured with and without the presence of ADP. The pyruvate-malate solution served to stimulate the Citric acid cycle. A graph of the percentage of oxygen in the mitochondria sample was generated with two distinct slopes: one before (stage IV) and one after (stage III) ADP injection. The ratio between these two slopes and the ratio of phosphorous to oxygen in the sample determines the ability of the mitochondria to function. </w:t>
      </w:r>
    </w:p>
    <w:p w14:paraId="0E910C2B" w14:textId="77777777" w:rsidR="00D56041" w:rsidRPr="00C6491A" w:rsidRDefault="00D56041" w:rsidP="00D56041">
      <w:pPr>
        <w:rPr>
          <w:rFonts w:ascii="Times New Roman" w:hAnsi="Times New Roman" w:cs="Times New Roman"/>
          <w:sz w:val="24"/>
          <w:szCs w:val="24"/>
        </w:rPr>
      </w:pPr>
      <w:r w:rsidRPr="00C6491A">
        <w:rPr>
          <w:rFonts w:ascii="Times New Roman" w:hAnsi="Times New Roman" w:cs="Times New Roman"/>
          <w:sz w:val="24"/>
          <w:szCs w:val="24"/>
        </w:rPr>
        <w:t>The pathways involved in the reduction of oxygen molecules during the flow of the electron transport chain are being studied. The gene(s) that cause the formation of the antioxidants have yet to be identified. They could be from the nucleus or the mitochondria. The links between the ROS and the “protective” mechanisms and “damage” exposure in the mitochondria are being studied, and the ways to increase mitochondria</w:t>
      </w:r>
      <w:r w:rsidR="0009664D" w:rsidRPr="00C6491A">
        <w:rPr>
          <w:rFonts w:ascii="Times New Roman" w:hAnsi="Times New Roman" w:cs="Times New Roman"/>
          <w:sz w:val="24"/>
          <w:szCs w:val="24"/>
        </w:rPr>
        <w:t>l biogenesis are being studied. The role the ROS play in oxidative damage of aging could further be investigated</w:t>
      </w:r>
      <w:r w:rsidR="00B67DB6" w:rsidRPr="00C6491A">
        <w:rPr>
          <w:rFonts w:ascii="Times New Roman" w:hAnsi="Times New Roman" w:cs="Times New Roman"/>
          <w:sz w:val="24"/>
          <w:szCs w:val="24"/>
        </w:rPr>
        <w:t xml:space="preserve"> (</w:t>
      </w:r>
      <w:proofErr w:type="spellStart"/>
      <w:r w:rsidR="00B67DB6" w:rsidRPr="00C6491A">
        <w:rPr>
          <w:rFonts w:ascii="Times New Roman" w:hAnsi="Times New Roman" w:cs="Times New Roman"/>
          <w:sz w:val="24"/>
          <w:szCs w:val="24"/>
        </w:rPr>
        <w:t>Sohal</w:t>
      </w:r>
      <w:proofErr w:type="spellEnd"/>
      <w:r w:rsidR="00B67DB6" w:rsidRPr="00C6491A">
        <w:rPr>
          <w:rFonts w:ascii="Times New Roman" w:hAnsi="Times New Roman" w:cs="Times New Roman"/>
          <w:sz w:val="24"/>
          <w:szCs w:val="24"/>
        </w:rPr>
        <w:t>)</w:t>
      </w:r>
      <w:r w:rsidR="0009664D" w:rsidRPr="00C6491A">
        <w:rPr>
          <w:rFonts w:ascii="Times New Roman" w:hAnsi="Times New Roman" w:cs="Times New Roman"/>
          <w:sz w:val="24"/>
          <w:szCs w:val="24"/>
        </w:rPr>
        <w:t>.</w:t>
      </w:r>
      <w:r w:rsidRPr="00C6491A">
        <w:rPr>
          <w:rFonts w:ascii="Times New Roman" w:hAnsi="Times New Roman" w:cs="Times New Roman"/>
          <w:sz w:val="24"/>
          <w:szCs w:val="24"/>
        </w:rPr>
        <w:t xml:space="preserve"> For further research, mice could be tested and NMR could be used to determine the structure of the mechanisms involved. </w:t>
      </w:r>
    </w:p>
    <w:p w14:paraId="6D8C927A" w14:textId="77777777" w:rsidR="00B36EC3" w:rsidRDefault="00B36EC3" w:rsidP="00D56041">
      <w:pPr>
        <w:rPr>
          <w:rFonts w:ascii="Times New Roman" w:eastAsia="Arial Unicode MS" w:hAnsi="Times New Roman" w:cs="Times New Roman"/>
          <w:sz w:val="24"/>
          <w:szCs w:val="24"/>
          <w:shd w:val="clear" w:color="auto" w:fill="FFFFFF"/>
        </w:rPr>
      </w:pPr>
    </w:p>
    <w:p w14:paraId="44DC4FC0" w14:textId="77777777" w:rsidR="003107AF" w:rsidRPr="00C6491A" w:rsidRDefault="002C2EC0" w:rsidP="00D56041">
      <w:pPr>
        <w:rPr>
          <w:rFonts w:ascii="Times New Roman" w:eastAsia="Arial Unicode MS" w:hAnsi="Times New Roman" w:cs="Times New Roman"/>
          <w:sz w:val="24"/>
          <w:szCs w:val="24"/>
          <w:bdr w:val="none" w:sz="0" w:space="0" w:color="auto" w:frame="1"/>
          <w:shd w:val="clear" w:color="auto" w:fill="FFFFFF"/>
        </w:rPr>
      </w:pPr>
      <w:r w:rsidRPr="00C6491A">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ABD8B4E" wp14:editId="449603B5">
            <wp:simplePos x="0" y="0"/>
            <wp:positionH relativeFrom="column">
              <wp:posOffset>720090</wp:posOffset>
            </wp:positionH>
            <wp:positionV relativeFrom="paragraph">
              <wp:posOffset>-170815</wp:posOffset>
            </wp:positionV>
            <wp:extent cx="4657090" cy="4040505"/>
            <wp:effectExtent l="0" t="0" r="0" b="0"/>
            <wp:wrapTopAndBottom/>
            <wp:docPr id="1" name="Picture 1" descr="Full-size image (49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ize image (49 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090" cy="4040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91A">
        <w:rPr>
          <w:rFonts w:ascii="Times New Roman" w:eastAsia="Arial Unicode MS" w:hAnsi="Times New Roman" w:cs="Times New Roman"/>
          <w:sz w:val="24"/>
          <w:szCs w:val="24"/>
          <w:shd w:val="clear" w:color="auto" w:fill="FFFFFF"/>
        </w:rPr>
        <w:t>Fig. 1. </w:t>
      </w:r>
      <w:proofErr w:type="gramStart"/>
      <w:r w:rsidR="00D8135E" w:rsidRPr="00C6491A">
        <w:rPr>
          <w:rFonts w:ascii="Times New Roman" w:eastAsia="Arial Unicode MS" w:hAnsi="Times New Roman" w:cs="Times New Roman"/>
          <w:sz w:val="24"/>
          <w:szCs w:val="24"/>
          <w:bdr w:val="none" w:sz="0" w:space="0" w:color="auto" w:frame="1"/>
          <w:shd w:val="clear" w:color="auto" w:fill="FFFFFF"/>
        </w:rPr>
        <w:t>Cellular sources of reactive oxygen species</w:t>
      </w:r>
      <w:r w:rsidRPr="00C6491A">
        <w:rPr>
          <w:rFonts w:ascii="Times New Roman" w:eastAsia="Arial Unicode MS" w:hAnsi="Times New Roman" w:cs="Times New Roman"/>
          <w:sz w:val="24"/>
          <w:szCs w:val="24"/>
          <w:bdr w:val="none" w:sz="0" w:space="0" w:color="auto" w:frame="1"/>
          <w:shd w:val="clear" w:color="auto" w:fill="FFFFFF"/>
        </w:rPr>
        <w:t>.</w:t>
      </w:r>
      <w:proofErr w:type="gramEnd"/>
      <w:r w:rsidRPr="00C6491A">
        <w:rPr>
          <w:rFonts w:ascii="Times New Roman" w:eastAsia="Arial Unicode MS" w:hAnsi="Times New Roman" w:cs="Times New Roman"/>
          <w:sz w:val="24"/>
          <w:szCs w:val="24"/>
          <w:bdr w:val="none" w:sz="0" w:space="0" w:color="auto" w:frame="1"/>
          <w:shd w:val="clear" w:color="auto" w:fill="FFFFFF"/>
        </w:rPr>
        <w:t xml:space="preserve"> </w:t>
      </w:r>
      <w:r w:rsidR="00F87DCC" w:rsidRPr="00C6491A">
        <w:rPr>
          <w:rFonts w:ascii="Times New Roman" w:eastAsia="Arial Unicode MS" w:hAnsi="Times New Roman" w:cs="Times New Roman"/>
          <w:sz w:val="24"/>
          <w:szCs w:val="24"/>
          <w:bdr w:val="none" w:sz="0" w:space="0" w:color="auto" w:frame="1"/>
          <w:shd w:val="clear" w:color="auto" w:fill="FFFFFF"/>
        </w:rPr>
        <w:t>Aside from the ETC, TCA</w:t>
      </w:r>
      <w:r w:rsidR="00D8135E" w:rsidRPr="00C6491A">
        <w:rPr>
          <w:rFonts w:ascii="Times New Roman" w:eastAsia="Arial Unicode MS" w:hAnsi="Times New Roman" w:cs="Times New Roman"/>
          <w:sz w:val="24"/>
          <w:szCs w:val="24"/>
          <w:bdr w:val="none" w:sz="0" w:space="0" w:color="auto" w:frame="1"/>
          <w:shd w:val="clear" w:color="auto" w:fill="FFFFFF"/>
        </w:rPr>
        <w:t xml:space="preserve"> (Citric Acid)</w:t>
      </w:r>
      <w:r w:rsidR="00F87DCC" w:rsidRPr="00C6491A">
        <w:rPr>
          <w:rFonts w:ascii="Times New Roman" w:eastAsia="Arial Unicode MS" w:hAnsi="Times New Roman" w:cs="Times New Roman"/>
          <w:sz w:val="24"/>
          <w:szCs w:val="24"/>
          <w:bdr w:val="none" w:sz="0" w:space="0" w:color="auto" w:frame="1"/>
          <w:shd w:val="clear" w:color="auto" w:fill="FFFFFF"/>
        </w:rPr>
        <w:t xml:space="preserve"> Cyc</w:t>
      </w:r>
      <w:r w:rsidR="00D8135E" w:rsidRPr="00C6491A">
        <w:rPr>
          <w:rFonts w:ascii="Times New Roman" w:eastAsia="Arial Unicode MS" w:hAnsi="Times New Roman" w:cs="Times New Roman"/>
          <w:sz w:val="24"/>
          <w:szCs w:val="24"/>
          <w:bdr w:val="none" w:sz="0" w:space="0" w:color="auto" w:frame="1"/>
          <w:shd w:val="clear" w:color="auto" w:fill="FFFFFF"/>
        </w:rPr>
        <w:t xml:space="preserve">le, and monoamine oxidase (MAO). </w:t>
      </w:r>
      <w:r w:rsidR="00F87DCC" w:rsidRPr="00C6491A">
        <w:rPr>
          <w:rFonts w:ascii="Times New Roman" w:eastAsia="Arial Unicode MS" w:hAnsi="Times New Roman" w:cs="Times New Roman"/>
          <w:sz w:val="24"/>
          <w:szCs w:val="24"/>
          <w:bdr w:val="none" w:sz="0" w:space="0" w:color="auto" w:frame="1"/>
          <w:shd w:val="clear" w:color="auto" w:fill="FFFFFF"/>
        </w:rPr>
        <w:t xml:space="preserve">ROS can be generated from </w:t>
      </w:r>
      <w:r w:rsidR="00D8135E" w:rsidRPr="00C6491A">
        <w:rPr>
          <w:rFonts w:ascii="Times New Roman" w:eastAsia="Arial Unicode MS" w:hAnsi="Times New Roman" w:cs="Times New Roman"/>
          <w:sz w:val="24"/>
          <w:szCs w:val="24"/>
          <w:bdr w:val="none" w:sz="0" w:space="0" w:color="auto" w:frame="1"/>
          <w:shd w:val="clear" w:color="auto" w:fill="FFFFFF"/>
        </w:rPr>
        <w:t>NADPH oxidases (NOX)</w:t>
      </w:r>
      <w:r w:rsidR="0019192D" w:rsidRPr="00C6491A">
        <w:rPr>
          <w:rFonts w:ascii="Times New Roman" w:eastAsia="Arial Unicode MS" w:hAnsi="Times New Roman" w:cs="Times New Roman"/>
          <w:sz w:val="24"/>
          <w:szCs w:val="24"/>
          <w:bdr w:val="none" w:sz="0" w:space="0" w:color="auto" w:frame="1"/>
          <w:shd w:val="clear" w:color="auto" w:fill="FFFFFF"/>
        </w:rPr>
        <w:t xml:space="preserve">, </w:t>
      </w:r>
      <w:r w:rsidR="00F87DCC" w:rsidRPr="00C6491A">
        <w:rPr>
          <w:rFonts w:ascii="Times New Roman" w:eastAsia="Arial Unicode MS" w:hAnsi="Times New Roman" w:cs="Times New Roman"/>
          <w:sz w:val="24"/>
          <w:szCs w:val="24"/>
          <w:bdr w:val="none" w:sz="0" w:space="0" w:color="auto" w:frame="1"/>
          <w:shd w:val="clear" w:color="auto" w:fill="FFFFFF"/>
        </w:rPr>
        <w:t>UV light</w:t>
      </w:r>
      <w:r w:rsidR="0019192D" w:rsidRPr="00C6491A">
        <w:rPr>
          <w:rFonts w:ascii="Times New Roman" w:eastAsia="Arial Unicode MS" w:hAnsi="Times New Roman" w:cs="Times New Roman"/>
          <w:sz w:val="24"/>
          <w:szCs w:val="24"/>
          <w:bdr w:val="none" w:sz="0" w:space="0" w:color="auto" w:frame="1"/>
          <w:shd w:val="clear" w:color="auto" w:fill="FFFFFF"/>
        </w:rPr>
        <w:t>, and smoke</w:t>
      </w:r>
      <w:r w:rsidR="00F87DCC" w:rsidRPr="00C6491A">
        <w:rPr>
          <w:rFonts w:ascii="Times New Roman" w:eastAsia="Arial Unicode MS" w:hAnsi="Times New Roman" w:cs="Times New Roman"/>
          <w:sz w:val="24"/>
          <w:szCs w:val="24"/>
          <w:bdr w:val="none" w:sz="0" w:space="0" w:color="auto" w:frame="1"/>
          <w:shd w:val="clear" w:color="auto" w:fill="FFFFFF"/>
        </w:rPr>
        <w:t xml:space="preserve">.  </w:t>
      </w:r>
      <w:r w:rsidR="00D8135E" w:rsidRPr="00C6491A">
        <w:rPr>
          <w:rFonts w:ascii="Times New Roman" w:eastAsia="Arial Unicode MS" w:hAnsi="Times New Roman" w:cs="Times New Roman"/>
          <w:sz w:val="24"/>
          <w:szCs w:val="24"/>
          <w:bdr w:val="none" w:sz="0" w:space="0" w:color="auto" w:frame="1"/>
          <w:shd w:val="clear" w:color="auto" w:fill="FFFFFF"/>
        </w:rPr>
        <w:t xml:space="preserve">Other sources, including the Cu/Zn </w:t>
      </w:r>
      <w:proofErr w:type="spellStart"/>
      <w:r w:rsidR="00D8135E" w:rsidRPr="00C6491A">
        <w:rPr>
          <w:rFonts w:ascii="Times New Roman" w:eastAsia="Arial Unicode MS" w:hAnsi="Times New Roman" w:cs="Times New Roman"/>
          <w:sz w:val="24"/>
          <w:szCs w:val="24"/>
          <w:bdr w:val="none" w:sz="0" w:space="0" w:color="auto" w:frame="1"/>
          <w:shd w:val="clear" w:color="auto" w:fill="FFFFFF"/>
        </w:rPr>
        <w:t>superoxidative</w:t>
      </w:r>
      <w:proofErr w:type="spellEnd"/>
      <w:r w:rsidR="00D8135E" w:rsidRPr="00C6491A">
        <w:rPr>
          <w:rFonts w:ascii="Times New Roman" w:eastAsia="Arial Unicode MS" w:hAnsi="Times New Roman" w:cs="Times New Roman"/>
          <w:sz w:val="24"/>
          <w:szCs w:val="24"/>
          <w:bdr w:val="none" w:sz="0" w:space="0" w:color="auto" w:frame="1"/>
          <w:shd w:val="clear" w:color="auto" w:fill="FFFFFF"/>
        </w:rPr>
        <w:t xml:space="preserve"> species (Cu/Zn SOD) and nitric oxide synthase (NOS) catalysis of NO</w:t>
      </w:r>
      <w:r w:rsidR="00D8135E" w:rsidRPr="00C6491A">
        <w:rPr>
          <w:rFonts w:ascii="Times New Roman" w:eastAsia="Arial Unicode MS" w:hAnsi="Times New Roman" w:cs="Times New Roman"/>
          <w:noProof/>
          <w:sz w:val="24"/>
          <w:szCs w:val="24"/>
          <w:bdr w:val="none" w:sz="0" w:space="0" w:color="auto" w:frame="1"/>
          <w:shd w:val="clear" w:color="auto" w:fill="FFFFFF"/>
          <w:vertAlign w:val="superscript"/>
        </w:rPr>
        <w:drawing>
          <wp:inline distT="0" distB="0" distL="0" distR="0" wp14:anchorId="4A18FE76" wp14:editId="3BE6C830">
            <wp:extent cx="42545" cy="31750"/>
            <wp:effectExtent l="0" t="0" r="0" b="6350"/>
            <wp:docPr id="9" name="Picture 9" descr="radical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dical d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sidR="00D8135E" w:rsidRPr="00C6491A">
        <w:rPr>
          <w:rFonts w:ascii="Times New Roman" w:eastAsia="Arial Unicode MS" w:hAnsi="Times New Roman" w:cs="Times New Roman"/>
          <w:sz w:val="24"/>
          <w:szCs w:val="24"/>
          <w:bdr w:val="none" w:sz="0" w:space="0" w:color="auto" w:frame="1"/>
          <w:shd w:val="clear" w:color="auto" w:fill="FFFFFF"/>
        </w:rPr>
        <w:t xml:space="preserve"> are shown to produce </w:t>
      </w:r>
      <w:r w:rsidRPr="00C6491A">
        <w:rPr>
          <w:rFonts w:ascii="Times New Roman" w:eastAsia="Arial Unicode MS" w:hAnsi="Times New Roman" w:cs="Times New Roman"/>
          <w:sz w:val="24"/>
          <w:szCs w:val="24"/>
          <w:bdr w:val="none" w:sz="0" w:space="0" w:color="auto" w:frame="1"/>
          <w:shd w:val="clear" w:color="auto" w:fill="FFFFFF"/>
        </w:rPr>
        <w:t>H</w:t>
      </w:r>
      <w:r w:rsidRPr="00C6491A">
        <w:rPr>
          <w:rFonts w:ascii="Times New Roman" w:eastAsia="Arial Unicode MS" w:hAnsi="Times New Roman" w:cs="Times New Roman"/>
          <w:sz w:val="24"/>
          <w:szCs w:val="24"/>
          <w:bdr w:val="none" w:sz="0" w:space="0" w:color="auto" w:frame="1"/>
          <w:shd w:val="clear" w:color="auto" w:fill="FFFFFF"/>
          <w:vertAlign w:val="subscript"/>
        </w:rPr>
        <w:t>2</w:t>
      </w:r>
      <w:r w:rsidRPr="00C6491A">
        <w:rPr>
          <w:rFonts w:ascii="Times New Roman" w:eastAsia="Arial Unicode MS" w:hAnsi="Times New Roman" w:cs="Times New Roman"/>
          <w:sz w:val="24"/>
          <w:szCs w:val="24"/>
          <w:bdr w:val="none" w:sz="0" w:space="0" w:color="auto" w:frame="1"/>
          <w:shd w:val="clear" w:color="auto" w:fill="FFFFFF"/>
        </w:rPr>
        <w:t>O</w:t>
      </w:r>
      <w:r w:rsidRPr="00C6491A">
        <w:rPr>
          <w:rFonts w:ascii="Times New Roman" w:eastAsia="Arial Unicode MS" w:hAnsi="Times New Roman" w:cs="Times New Roman"/>
          <w:sz w:val="24"/>
          <w:szCs w:val="24"/>
          <w:bdr w:val="none" w:sz="0" w:space="0" w:color="auto" w:frame="1"/>
          <w:shd w:val="clear" w:color="auto" w:fill="FFFFFF"/>
          <w:vertAlign w:val="subscript"/>
        </w:rPr>
        <w:t>2</w:t>
      </w:r>
      <w:r w:rsidRPr="00C6491A">
        <w:rPr>
          <w:rStyle w:val="apple-converted-space"/>
          <w:rFonts w:ascii="Times New Roman" w:eastAsia="Arial Unicode MS" w:hAnsi="Times New Roman" w:cs="Times New Roman"/>
          <w:sz w:val="24"/>
          <w:szCs w:val="24"/>
          <w:bdr w:val="none" w:sz="0" w:space="0" w:color="auto" w:frame="1"/>
          <w:shd w:val="clear" w:color="auto" w:fill="FFFFFF"/>
        </w:rPr>
        <w:t> </w:t>
      </w:r>
      <w:r w:rsidR="00D8135E" w:rsidRPr="00C6491A">
        <w:rPr>
          <w:rStyle w:val="apple-converted-space"/>
          <w:rFonts w:ascii="Times New Roman" w:eastAsia="Arial Unicode MS" w:hAnsi="Times New Roman" w:cs="Times New Roman"/>
          <w:sz w:val="24"/>
          <w:szCs w:val="24"/>
          <w:bdr w:val="none" w:sz="0" w:space="0" w:color="auto" w:frame="1"/>
          <w:shd w:val="clear" w:color="auto" w:fill="FFFFFF"/>
        </w:rPr>
        <w:t xml:space="preserve">and </w:t>
      </w:r>
      <w:proofErr w:type="spellStart"/>
      <w:r w:rsidR="00D8135E" w:rsidRPr="00C6491A">
        <w:rPr>
          <w:rStyle w:val="apple-converted-space"/>
          <w:rFonts w:ascii="Times New Roman" w:eastAsia="Arial Unicode MS" w:hAnsi="Times New Roman" w:cs="Times New Roman"/>
          <w:sz w:val="24"/>
          <w:szCs w:val="24"/>
          <w:bdr w:val="none" w:sz="0" w:space="0" w:color="auto" w:frame="1"/>
          <w:shd w:val="clear" w:color="auto" w:fill="FFFFFF"/>
        </w:rPr>
        <w:t>peroxynitrite</w:t>
      </w:r>
      <w:proofErr w:type="spellEnd"/>
      <w:r w:rsidR="00D8135E" w:rsidRPr="00C6491A">
        <w:rPr>
          <w:rStyle w:val="apple-converted-space"/>
          <w:rFonts w:ascii="Times New Roman" w:eastAsia="Arial Unicode MS" w:hAnsi="Times New Roman" w:cs="Times New Roman"/>
          <w:sz w:val="24"/>
          <w:szCs w:val="24"/>
          <w:bdr w:val="none" w:sz="0" w:space="0" w:color="auto" w:frame="1"/>
          <w:shd w:val="clear" w:color="auto" w:fill="FFFFFF"/>
        </w:rPr>
        <w:t xml:space="preserve"> (ONOO</w:t>
      </w:r>
      <w:r w:rsidR="00D8135E" w:rsidRPr="00C6491A">
        <w:rPr>
          <w:rFonts w:ascii="Times New Roman" w:eastAsia="Arial Unicode MS" w:hAnsi="Times New Roman" w:cs="Times New Roman"/>
          <w:noProof/>
          <w:sz w:val="24"/>
          <w:szCs w:val="24"/>
          <w:bdr w:val="none" w:sz="0" w:space="0" w:color="auto" w:frame="1"/>
          <w:shd w:val="clear" w:color="auto" w:fill="FFFFFF"/>
          <w:vertAlign w:val="superscript"/>
        </w:rPr>
        <w:drawing>
          <wp:inline distT="0" distB="0" distL="0" distR="0" wp14:anchorId="1F9AB2AE" wp14:editId="0CC57D81">
            <wp:extent cx="42545" cy="31750"/>
            <wp:effectExtent l="0" t="0" r="0" b="6350"/>
            <wp:docPr id="10" name="Picture 10" descr="radical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dical d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sidR="00D8135E" w:rsidRPr="00C6491A">
        <w:rPr>
          <w:rStyle w:val="apple-converted-space"/>
          <w:rFonts w:ascii="Times New Roman" w:eastAsia="Arial Unicode MS" w:hAnsi="Times New Roman" w:cs="Times New Roman"/>
          <w:sz w:val="24"/>
          <w:szCs w:val="24"/>
          <w:bdr w:val="none" w:sz="0" w:space="0" w:color="auto" w:frame="1"/>
          <w:shd w:val="clear" w:color="auto" w:fill="FFFFFF"/>
        </w:rPr>
        <w:t>), respectively.</w:t>
      </w:r>
      <w:r w:rsidR="00D8135E" w:rsidRPr="00C6491A">
        <w:rPr>
          <w:rFonts w:ascii="Times New Roman" w:eastAsia="Arial Unicode MS" w:hAnsi="Times New Roman" w:cs="Times New Roman"/>
          <w:sz w:val="24"/>
          <w:szCs w:val="24"/>
          <w:bdr w:val="none" w:sz="0" w:space="0" w:color="auto" w:frame="1"/>
          <w:shd w:val="clear" w:color="auto" w:fill="FFFFFF"/>
        </w:rPr>
        <w:t xml:space="preserve"> </w:t>
      </w:r>
      <w:r w:rsidR="008B2274" w:rsidRPr="00C6491A">
        <w:rPr>
          <w:rFonts w:ascii="Times New Roman" w:eastAsia="Arial Unicode MS" w:hAnsi="Times New Roman" w:cs="Times New Roman"/>
          <w:sz w:val="24"/>
          <w:szCs w:val="24"/>
          <w:bdr w:val="none" w:sz="0" w:space="0" w:color="auto" w:frame="1"/>
          <w:shd w:val="clear" w:color="auto" w:fill="FFFFFF"/>
        </w:rPr>
        <w:t xml:space="preserve">Further, </w:t>
      </w:r>
      <w:r w:rsidR="00D8135E" w:rsidRPr="00C6491A">
        <w:rPr>
          <w:rFonts w:ascii="Times New Roman" w:eastAsia="Arial Unicode MS" w:hAnsi="Times New Roman" w:cs="Times New Roman"/>
          <w:sz w:val="24"/>
          <w:szCs w:val="24"/>
          <w:bdr w:val="none" w:sz="0" w:space="0" w:color="auto" w:frame="1"/>
          <w:shd w:val="clear" w:color="auto" w:fill="FFFFFF"/>
        </w:rPr>
        <w:t>H</w:t>
      </w:r>
      <w:r w:rsidR="00D8135E" w:rsidRPr="00C6491A">
        <w:rPr>
          <w:rFonts w:ascii="Times New Roman" w:eastAsia="Arial Unicode MS" w:hAnsi="Times New Roman" w:cs="Times New Roman"/>
          <w:sz w:val="24"/>
          <w:szCs w:val="24"/>
          <w:bdr w:val="none" w:sz="0" w:space="0" w:color="auto" w:frame="1"/>
          <w:shd w:val="clear" w:color="auto" w:fill="FFFFFF"/>
          <w:vertAlign w:val="subscript"/>
        </w:rPr>
        <w:t>2</w:t>
      </w:r>
      <w:r w:rsidR="00D8135E" w:rsidRPr="00C6491A">
        <w:rPr>
          <w:rFonts w:ascii="Times New Roman" w:eastAsia="Arial Unicode MS" w:hAnsi="Times New Roman" w:cs="Times New Roman"/>
          <w:sz w:val="24"/>
          <w:szCs w:val="24"/>
          <w:bdr w:val="none" w:sz="0" w:space="0" w:color="auto" w:frame="1"/>
          <w:shd w:val="clear" w:color="auto" w:fill="FFFFFF"/>
        </w:rPr>
        <w:t>O</w:t>
      </w:r>
      <w:r w:rsidR="00D8135E" w:rsidRPr="00C6491A">
        <w:rPr>
          <w:rFonts w:ascii="Times New Roman" w:eastAsia="Arial Unicode MS" w:hAnsi="Times New Roman" w:cs="Times New Roman"/>
          <w:sz w:val="24"/>
          <w:szCs w:val="24"/>
          <w:bdr w:val="none" w:sz="0" w:space="0" w:color="auto" w:frame="1"/>
          <w:shd w:val="clear" w:color="auto" w:fill="FFFFFF"/>
          <w:vertAlign w:val="subscript"/>
        </w:rPr>
        <w:t>2</w:t>
      </w:r>
      <w:r w:rsidR="00D8135E" w:rsidRPr="00C6491A">
        <w:rPr>
          <w:rStyle w:val="apple-converted-space"/>
          <w:rFonts w:ascii="Times New Roman" w:eastAsia="Arial Unicode MS" w:hAnsi="Times New Roman" w:cs="Times New Roman"/>
          <w:sz w:val="24"/>
          <w:szCs w:val="24"/>
          <w:bdr w:val="none" w:sz="0" w:space="0" w:color="auto" w:frame="1"/>
          <w:shd w:val="clear" w:color="auto" w:fill="FFFFFF"/>
        </w:rPr>
        <w:t xml:space="preserve"> </w:t>
      </w:r>
      <w:r w:rsidRPr="00C6491A">
        <w:rPr>
          <w:rFonts w:ascii="Times New Roman" w:eastAsia="Arial Unicode MS" w:hAnsi="Times New Roman" w:cs="Times New Roman"/>
          <w:sz w:val="24"/>
          <w:szCs w:val="24"/>
          <w:bdr w:val="none" w:sz="0" w:space="0" w:color="auto" w:frame="1"/>
          <w:shd w:val="clear" w:color="auto" w:fill="FFFFFF"/>
        </w:rPr>
        <w:t xml:space="preserve">can </w:t>
      </w:r>
      <w:r w:rsidR="00D8135E" w:rsidRPr="00C6491A">
        <w:rPr>
          <w:rFonts w:ascii="Times New Roman" w:eastAsia="Arial Unicode MS" w:hAnsi="Times New Roman" w:cs="Times New Roman"/>
          <w:sz w:val="24"/>
          <w:szCs w:val="24"/>
          <w:bdr w:val="none" w:sz="0" w:space="0" w:color="auto" w:frame="1"/>
          <w:shd w:val="clear" w:color="auto" w:fill="FFFFFF"/>
        </w:rPr>
        <w:t>react</w:t>
      </w:r>
      <w:r w:rsidRPr="00C6491A">
        <w:rPr>
          <w:rFonts w:ascii="Times New Roman" w:eastAsia="Arial Unicode MS" w:hAnsi="Times New Roman" w:cs="Times New Roman"/>
          <w:sz w:val="24"/>
          <w:szCs w:val="24"/>
          <w:bdr w:val="none" w:sz="0" w:space="0" w:color="auto" w:frame="1"/>
          <w:shd w:val="clear" w:color="auto" w:fill="FFFFFF"/>
        </w:rPr>
        <w:t xml:space="preserve"> with metals, such as </w:t>
      </w:r>
      <w:r w:rsidR="00D8135E" w:rsidRPr="00C6491A">
        <w:rPr>
          <w:rFonts w:ascii="Times New Roman" w:eastAsia="Arial Unicode MS" w:hAnsi="Times New Roman" w:cs="Times New Roman"/>
          <w:sz w:val="24"/>
          <w:szCs w:val="24"/>
          <w:bdr w:val="none" w:sz="0" w:space="0" w:color="auto" w:frame="1"/>
          <w:shd w:val="clear" w:color="auto" w:fill="FFFFFF"/>
        </w:rPr>
        <w:t>Fe</w:t>
      </w:r>
      <w:r w:rsidR="00D8135E" w:rsidRPr="00C6491A">
        <w:rPr>
          <w:rFonts w:ascii="Times New Roman" w:eastAsia="Arial Unicode MS" w:hAnsi="Times New Roman" w:cs="Times New Roman"/>
          <w:sz w:val="24"/>
          <w:szCs w:val="24"/>
          <w:bdr w:val="none" w:sz="0" w:space="0" w:color="auto" w:frame="1"/>
          <w:shd w:val="clear" w:color="auto" w:fill="FFFFFF"/>
          <w:vertAlign w:val="superscript"/>
        </w:rPr>
        <w:t>2+</w:t>
      </w:r>
      <w:r w:rsidRPr="00C6491A">
        <w:rPr>
          <w:rFonts w:ascii="Times New Roman" w:eastAsia="Arial Unicode MS" w:hAnsi="Times New Roman" w:cs="Times New Roman"/>
          <w:sz w:val="24"/>
          <w:szCs w:val="24"/>
          <w:bdr w:val="none" w:sz="0" w:space="0" w:color="auto" w:frame="1"/>
          <w:shd w:val="clear" w:color="auto" w:fill="FFFFFF"/>
        </w:rPr>
        <w:t>, to generate the hydroxyl radical (</w:t>
      </w:r>
      <w:r w:rsidR="00CC4558" w:rsidRPr="00C6491A">
        <w:rPr>
          <w:rFonts w:ascii="Times New Roman" w:eastAsia="Arial Unicode MS" w:hAnsi="Times New Roman" w:cs="Times New Roman"/>
          <w:noProof/>
          <w:sz w:val="24"/>
          <w:szCs w:val="24"/>
          <w:bdr w:val="none" w:sz="0" w:space="0" w:color="auto" w:frame="1"/>
          <w:shd w:val="clear" w:color="auto" w:fill="FFFFFF"/>
          <w:vertAlign w:val="superscript"/>
        </w:rPr>
        <w:drawing>
          <wp:inline distT="0" distB="0" distL="0" distR="0" wp14:anchorId="0F6C6B7F" wp14:editId="4D64B25D">
            <wp:extent cx="42545" cy="31750"/>
            <wp:effectExtent l="0" t="0" r="0" b="6350"/>
            <wp:docPr id="2" name="Picture 2" descr="radical 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dical d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 cy="31750"/>
                    </a:xfrm>
                    <a:prstGeom prst="rect">
                      <a:avLst/>
                    </a:prstGeom>
                    <a:noFill/>
                    <a:ln>
                      <a:noFill/>
                    </a:ln>
                  </pic:spPr>
                </pic:pic>
              </a:graphicData>
            </a:graphic>
          </wp:inline>
        </w:drawing>
      </w:r>
      <w:r w:rsidRPr="00C6491A">
        <w:rPr>
          <w:rFonts w:ascii="Times New Roman" w:eastAsia="Arial Unicode MS" w:hAnsi="Times New Roman" w:cs="Times New Roman"/>
          <w:sz w:val="24"/>
          <w:szCs w:val="24"/>
          <w:bdr w:val="none" w:sz="0" w:space="0" w:color="auto" w:frame="1"/>
          <w:shd w:val="clear" w:color="auto" w:fill="FFFFFF"/>
        </w:rPr>
        <w:t>OH</w:t>
      </w:r>
      <w:r w:rsidR="008B2274" w:rsidRPr="00C6491A">
        <w:rPr>
          <w:rFonts w:ascii="Times New Roman" w:eastAsia="Arial Unicode MS" w:hAnsi="Times New Roman" w:cs="Times New Roman"/>
          <w:sz w:val="24"/>
          <w:szCs w:val="24"/>
          <w:bdr w:val="none" w:sz="0" w:space="0" w:color="auto" w:frame="1"/>
          <w:shd w:val="clear" w:color="auto" w:fill="FFFFFF"/>
        </w:rPr>
        <w:t>), m</w:t>
      </w:r>
      <w:r w:rsidR="00D8135E" w:rsidRPr="00C6491A">
        <w:rPr>
          <w:rFonts w:ascii="Times New Roman" w:eastAsia="Arial Unicode MS" w:hAnsi="Times New Roman" w:cs="Times New Roman"/>
          <w:sz w:val="24"/>
          <w:szCs w:val="24"/>
          <w:bdr w:val="none" w:sz="0" w:space="0" w:color="auto" w:frame="1"/>
          <w:shd w:val="clear" w:color="auto" w:fill="FFFFFF"/>
        </w:rPr>
        <w:t>yeloperoxidase (MPO) uses H</w:t>
      </w:r>
      <w:r w:rsidR="00D8135E" w:rsidRPr="00C6491A">
        <w:rPr>
          <w:rFonts w:ascii="Times New Roman" w:eastAsia="Arial Unicode MS" w:hAnsi="Times New Roman" w:cs="Times New Roman"/>
          <w:sz w:val="24"/>
          <w:szCs w:val="24"/>
          <w:bdr w:val="none" w:sz="0" w:space="0" w:color="auto" w:frame="1"/>
          <w:shd w:val="clear" w:color="auto" w:fill="FFFFFF"/>
          <w:vertAlign w:val="subscript"/>
        </w:rPr>
        <w:t>2</w:t>
      </w:r>
      <w:r w:rsidR="00D8135E" w:rsidRPr="00C6491A">
        <w:rPr>
          <w:rFonts w:ascii="Times New Roman" w:eastAsia="Arial Unicode MS" w:hAnsi="Times New Roman" w:cs="Times New Roman"/>
          <w:sz w:val="24"/>
          <w:szCs w:val="24"/>
          <w:bdr w:val="none" w:sz="0" w:space="0" w:color="auto" w:frame="1"/>
          <w:shd w:val="clear" w:color="auto" w:fill="FFFFFF"/>
        </w:rPr>
        <w:t>O</w:t>
      </w:r>
      <w:r w:rsidR="00D8135E" w:rsidRPr="00C6491A">
        <w:rPr>
          <w:rFonts w:ascii="Times New Roman" w:eastAsia="Arial Unicode MS" w:hAnsi="Times New Roman" w:cs="Times New Roman"/>
          <w:sz w:val="24"/>
          <w:szCs w:val="24"/>
          <w:bdr w:val="none" w:sz="0" w:space="0" w:color="auto" w:frame="1"/>
          <w:shd w:val="clear" w:color="auto" w:fill="FFFFFF"/>
          <w:vertAlign w:val="subscript"/>
        </w:rPr>
        <w:t>2</w:t>
      </w:r>
      <w:r w:rsidR="00D8135E" w:rsidRPr="00C6491A">
        <w:rPr>
          <w:rFonts w:ascii="Times New Roman" w:eastAsia="Arial Unicode MS" w:hAnsi="Times New Roman" w:cs="Times New Roman"/>
          <w:sz w:val="24"/>
          <w:szCs w:val="24"/>
          <w:bdr w:val="none" w:sz="0" w:space="0" w:color="auto" w:frame="1"/>
          <w:shd w:val="clear" w:color="auto" w:fill="FFFFFF"/>
        </w:rPr>
        <w:t xml:space="preserve"> and halides (X) to make </w:t>
      </w:r>
      <w:proofErr w:type="spellStart"/>
      <w:r w:rsidR="00D8135E" w:rsidRPr="00C6491A">
        <w:rPr>
          <w:rFonts w:ascii="Times New Roman" w:eastAsia="Arial Unicode MS" w:hAnsi="Times New Roman" w:cs="Times New Roman"/>
          <w:sz w:val="24"/>
          <w:szCs w:val="24"/>
          <w:bdr w:val="none" w:sz="0" w:space="0" w:color="auto" w:frame="1"/>
          <w:shd w:val="clear" w:color="auto" w:fill="FFFFFF"/>
        </w:rPr>
        <w:t>hypohalous</w:t>
      </w:r>
      <w:proofErr w:type="spellEnd"/>
      <w:r w:rsidR="00D8135E" w:rsidRPr="00C6491A">
        <w:rPr>
          <w:rFonts w:ascii="Times New Roman" w:eastAsia="Arial Unicode MS" w:hAnsi="Times New Roman" w:cs="Times New Roman"/>
          <w:sz w:val="24"/>
          <w:szCs w:val="24"/>
          <w:bdr w:val="none" w:sz="0" w:space="0" w:color="auto" w:frame="1"/>
          <w:shd w:val="clear" w:color="auto" w:fill="FFFFFF"/>
        </w:rPr>
        <w:t xml:space="preserve"> acids (HOX</w:t>
      </w:r>
      <w:r w:rsidR="008B2274" w:rsidRPr="00C6491A">
        <w:rPr>
          <w:rFonts w:ascii="Times New Roman" w:eastAsia="Arial Unicode MS" w:hAnsi="Times New Roman" w:cs="Times New Roman"/>
          <w:sz w:val="24"/>
          <w:szCs w:val="24"/>
          <w:bdr w:val="none" w:sz="0" w:space="0" w:color="auto" w:frame="1"/>
          <w:shd w:val="clear" w:color="auto" w:fill="FFFFFF"/>
        </w:rPr>
        <w:t>), and</w:t>
      </w:r>
      <w:r w:rsidR="00D8135E" w:rsidRPr="00C6491A">
        <w:rPr>
          <w:rFonts w:ascii="Times New Roman" w:eastAsia="Arial Unicode MS" w:hAnsi="Times New Roman" w:cs="Times New Roman"/>
          <w:sz w:val="24"/>
          <w:szCs w:val="24"/>
          <w:bdr w:val="none" w:sz="0" w:space="0" w:color="auto" w:frame="1"/>
          <w:shd w:val="clear" w:color="auto" w:fill="FFFFFF"/>
        </w:rPr>
        <w:t xml:space="preserve"> </w:t>
      </w:r>
      <w:proofErr w:type="spellStart"/>
      <w:r w:rsidRPr="00C6491A">
        <w:rPr>
          <w:rFonts w:ascii="Times New Roman" w:eastAsia="Arial Unicode MS" w:hAnsi="Times New Roman" w:cs="Times New Roman"/>
          <w:sz w:val="24"/>
          <w:szCs w:val="24"/>
          <w:bdr w:val="none" w:sz="0" w:space="0" w:color="auto" w:frame="1"/>
          <w:shd w:val="clear" w:color="auto" w:fill="FFFFFF"/>
        </w:rPr>
        <w:t>quinones</w:t>
      </w:r>
      <w:proofErr w:type="spellEnd"/>
      <w:r w:rsidRPr="00C6491A">
        <w:rPr>
          <w:rFonts w:ascii="Times New Roman" w:eastAsia="Arial Unicode MS" w:hAnsi="Times New Roman" w:cs="Times New Roman"/>
          <w:sz w:val="24"/>
          <w:szCs w:val="24"/>
          <w:bdr w:val="none" w:sz="0" w:space="0" w:color="auto" w:frame="1"/>
          <w:shd w:val="clear" w:color="auto" w:fill="FFFFFF"/>
        </w:rPr>
        <w:t xml:space="preserve"> (Q)</w:t>
      </w:r>
      <w:r w:rsidR="008B2274" w:rsidRPr="00C6491A">
        <w:rPr>
          <w:rFonts w:ascii="Times New Roman" w:eastAsia="Arial Unicode MS" w:hAnsi="Times New Roman" w:cs="Times New Roman"/>
          <w:sz w:val="24"/>
          <w:szCs w:val="24"/>
          <w:bdr w:val="none" w:sz="0" w:space="0" w:color="auto" w:frame="1"/>
          <w:shd w:val="clear" w:color="auto" w:fill="FFFFFF"/>
        </w:rPr>
        <w:t xml:space="preserve"> may cyclically react with</w:t>
      </w:r>
      <w:r w:rsidRPr="00C6491A">
        <w:rPr>
          <w:rFonts w:ascii="Times New Roman" w:eastAsia="Arial Unicode MS" w:hAnsi="Times New Roman" w:cs="Times New Roman"/>
          <w:sz w:val="24"/>
          <w:szCs w:val="24"/>
          <w:bdr w:val="none" w:sz="0" w:space="0" w:color="auto" w:frame="1"/>
          <w:shd w:val="clear" w:color="auto" w:fill="FFFFFF"/>
        </w:rPr>
        <w:t xml:space="preserve"> </w:t>
      </w:r>
      <w:r w:rsidR="00D8135E" w:rsidRPr="00C6491A">
        <w:rPr>
          <w:rFonts w:ascii="Times New Roman" w:eastAsia="Arial Unicode MS" w:hAnsi="Times New Roman" w:cs="Times New Roman"/>
          <w:sz w:val="24"/>
          <w:szCs w:val="24"/>
          <w:bdr w:val="none" w:sz="0" w:space="0" w:color="auto" w:frame="1"/>
          <w:shd w:val="clear" w:color="auto" w:fill="FFFFFF"/>
        </w:rPr>
        <w:t xml:space="preserve">NAD(P)H dehydrogenases </w:t>
      </w:r>
      <w:r w:rsidRPr="00C6491A">
        <w:rPr>
          <w:rFonts w:ascii="Times New Roman" w:eastAsia="Arial Unicode MS" w:hAnsi="Times New Roman" w:cs="Times New Roman"/>
          <w:sz w:val="24"/>
          <w:szCs w:val="24"/>
          <w:bdr w:val="none" w:sz="0" w:space="0" w:color="auto" w:frame="1"/>
          <w:shd w:val="clear" w:color="auto" w:fill="FFFFFF"/>
        </w:rPr>
        <w:t>to generate ROS</w:t>
      </w:r>
      <w:r w:rsidR="00903D25" w:rsidRPr="00C6491A">
        <w:rPr>
          <w:rFonts w:ascii="Times New Roman" w:eastAsia="Arial Unicode MS" w:hAnsi="Times New Roman" w:cs="Times New Roman"/>
          <w:sz w:val="24"/>
          <w:szCs w:val="24"/>
          <w:bdr w:val="none" w:sz="0" w:space="0" w:color="auto" w:frame="1"/>
          <w:shd w:val="clear" w:color="auto" w:fill="FFFFFF"/>
        </w:rPr>
        <w:t xml:space="preserve"> (</w:t>
      </w:r>
      <w:proofErr w:type="spellStart"/>
      <w:r w:rsidR="00903D25" w:rsidRPr="00C6491A">
        <w:rPr>
          <w:rFonts w:ascii="Times New Roman" w:eastAsia="Arial Unicode MS" w:hAnsi="Times New Roman" w:cs="Times New Roman"/>
          <w:sz w:val="24"/>
          <w:szCs w:val="24"/>
          <w:bdr w:val="none" w:sz="0" w:space="0" w:color="auto" w:frame="1"/>
          <w:shd w:val="clear" w:color="auto" w:fill="FFFFFF"/>
        </w:rPr>
        <w:t>Sheu</w:t>
      </w:r>
      <w:proofErr w:type="spellEnd"/>
      <w:r w:rsidR="00903D25" w:rsidRPr="00C6491A">
        <w:rPr>
          <w:rFonts w:ascii="Times New Roman" w:eastAsia="Arial Unicode MS" w:hAnsi="Times New Roman" w:cs="Times New Roman"/>
          <w:sz w:val="24"/>
          <w:szCs w:val="24"/>
          <w:bdr w:val="none" w:sz="0" w:space="0" w:color="auto" w:frame="1"/>
          <w:shd w:val="clear" w:color="auto" w:fill="FFFFFF"/>
        </w:rPr>
        <w:t>).</w:t>
      </w:r>
    </w:p>
    <w:p w14:paraId="52EC5549" w14:textId="77777777" w:rsidR="006319C0" w:rsidRPr="00C6491A" w:rsidRDefault="006319C0" w:rsidP="00D56041">
      <w:pPr>
        <w:rPr>
          <w:rFonts w:ascii="Times New Roman" w:hAnsi="Times New Roman" w:cs="Times New Roman"/>
          <w:sz w:val="24"/>
          <w:szCs w:val="24"/>
        </w:rPr>
      </w:pPr>
      <w:r w:rsidRPr="00C6491A">
        <w:rPr>
          <w:rFonts w:ascii="Times New Roman" w:eastAsia="Arial Unicode MS" w:hAnsi="Times New Roman" w:cs="Times New Roman"/>
          <w:sz w:val="24"/>
          <w:szCs w:val="24"/>
          <w:bdr w:val="none" w:sz="0" w:space="0" w:color="auto" w:frame="1"/>
          <w:shd w:val="clear" w:color="auto" w:fill="FFFFFF"/>
        </w:rPr>
        <w:t>Figure 1 shows various sources of RO</w:t>
      </w:r>
      <w:r w:rsidR="00FA172A" w:rsidRPr="00C6491A">
        <w:rPr>
          <w:rFonts w:ascii="Times New Roman" w:eastAsia="Arial Unicode MS" w:hAnsi="Times New Roman" w:cs="Times New Roman"/>
          <w:sz w:val="24"/>
          <w:szCs w:val="24"/>
          <w:bdr w:val="none" w:sz="0" w:space="0" w:color="auto" w:frame="1"/>
          <w:shd w:val="clear" w:color="auto" w:fill="FFFFFF"/>
        </w:rPr>
        <w:t>S. This experiment will mainly examine sources of ROS from the first cytochrome complex of the ETC.</w:t>
      </w:r>
    </w:p>
    <w:p w14:paraId="4F90B7DF" w14:textId="77777777" w:rsidR="00217DCA" w:rsidRPr="00C6491A" w:rsidRDefault="00D56041">
      <w:pPr>
        <w:rPr>
          <w:rFonts w:ascii="Times New Roman" w:hAnsi="Times New Roman" w:cs="Times New Roman"/>
          <w:sz w:val="24"/>
          <w:szCs w:val="24"/>
        </w:rPr>
      </w:pPr>
      <w:r w:rsidRPr="00C6491A">
        <w:rPr>
          <w:rFonts w:ascii="Times New Roman" w:hAnsi="Times New Roman" w:cs="Times New Roman"/>
          <w:sz w:val="24"/>
          <w:szCs w:val="24"/>
        </w:rPr>
        <w:t xml:space="preserve"> </w:t>
      </w:r>
      <w:r w:rsidR="00217DCA" w:rsidRPr="00C6491A">
        <w:rPr>
          <w:rFonts w:ascii="Times New Roman" w:hAnsi="Times New Roman" w:cs="Times New Roman"/>
          <w:sz w:val="24"/>
          <w:szCs w:val="24"/>
        </w:rPr>
        <w:t xml:space="preserve">“Protocol for Mitochondrial Isolation with Enzymatic Disruption” </w:t>
      </w:r>
    </w:p>
    <w:p w14:paraId="7DEAC47E" w14:textId="77777777" w:rsidR="00217DCA" w:rsidRPr="00C6491A" w:rsidRDefault="00217DCA">
      <w:pPr>
        <w:rPr>
          <w:rFonts w:ascii="Times New Roman" w:hAnsi="Times New Roman" w:cs="Times New Roman"/>
          <w:sz w:val="24"/>
          <w:szCs w:val="24"/>
        </w:rPr>
      </w:pPr>
      <w:r w:rsidRPr="00C6491A">
        <w:rPr>
          <w:rFonts w:ascii="Times New Roman" w:hAnsi="Times New Roman" w:cs="Times New Roman"/>
          <w:sz w:val="24"/>
          <w:szCs w:val="24"/>
        </w:rPr>
        <w:t xml:space="preserve">Yeast was cultured using 10g of dextrose, 80 ml of water and 1 g of yeast in a 150 mL flask. Four trials were performed using the yeast culture. To each test tube, 0.5mL of the yeast solution and 4 mL of YPD broth was added. 0.50mL of 10μM </w:t>
      </w:r>
      <w:proofErr w:type="spellStart"/>
      <w:r w:rsidRPr="00C6491A">
        <w:rPr>
          <w:rFonts w:ascii="Times New Roman" w:hAnsi="Times New Roman" w:cs="Times New Roman"/>
          <w:sz w:val="24"/>
          <w:szCs w:val="24"/>
        </w:rPr>
        <w:t>quercetin</w:t>
      </w:r>
      <w:proofErr w:type="spellEnd"/>
      <w:r w:rsidRPr="00C6491A">
        <w:rPr>
          <w:rFonts w:ascii="Times New Roman" w:hAnsi="Times New Roman" w:cs="Times New Roman"/>
          <w:sz w:val="24"/>
          <w:szCs w:val="24"/>
        </w:rPr>
        <w:t xml:space="preserve"> was added to three of the test tubes. The fourth test tube served as a control. The test tubes were incubated at </w:t>
      </w:r>
      <w:r w:rsidR="00AE3DC5" w:rsidRPr="00C6491A">
        <w:rPr>
          <w:rFonts w:ascii="Times New Roman" w:hAnsi="Times New Roman" w:cs="Times New Roman"/>
          <w:sz w:val="24"/>
          <w:szCs w:val="24"/>
        </w:rPr>
        <w:t>30</w:t>
      </w:r>
      <w:r w:rsidRPr="00C6491A">
        <w:rPr>
          <w:rFonts w:ascii="Times New Roman" w:hAnsi="Times New Roman" w:cs="Times New Roman"/>
          <w:sz w:val="24"/>
          <w:szCs w:val="24"/>
          <w:vertAlign w:val="superscript"/>
        </w:rPr>
        <w:t>o</w:t>
      </w:r>
      <w:r w:rsidRPr="00C6491A">
        <w:rPr>
          <w:rFonts w:ascii="Times New Roman" w:hAnsi="Times New Roman" w:cs="Times New Roman"/>
          <w:sz w:val="24"/>
          <w:szCs w:val="24"/>
        </w:rPr>
        <w:t xml:space="preserve"> C for 72 hours</w:t>
      </w:r>
      <w:r w:rsidR="001E0E05" w:rsidRPr="00C6491A">
        <w:rPr>
          <w:rFonts w:ascii="Times New Roman" w:hAnsi="Times New Roman" w:cs="Times New Roman"/>
          <w:sz w:val="24"/>
          <w:szCs w:val="24"/>
        </w:rPr>
        <w:t xml:space="preserve"> in a water bath</w:t>
      </w:r>
      <w:r w:rsidRPr="00C6491A">
        <w:rPr>
          <w:rFonts w:ascii="Times New Roman" w:hAnsi="Times New Roman" w:cs="Times New Roman"/>
          <w:sz w:val="24"/>
          <w:szCs w:val="24"/>
        </w:rPr>
        <w:t xml:space="preserve">. After incubation, the samples were centrifuged for 5 minutes at 3500rpm. The supernatant was decanted and the remaining supernatant was removed via aspiration using a 20μL pipette. The samples were suspended in 2 mL of buffer containing 1.0M </w:t>
      </w:r>
      <w:proofErr w:type="spellStart"/>
      <w:r w:rsidRPr="00C6491A">
        <w:rPr>
          <w:rFonts w:ascii="Times New Roman" w:hAnsi="Times New Roman" w:cs="Times New Roman"/>
          <w:sz w:val="24"/>
          <w:szCs w:val="24"/>
        </w:rPr>
        <w:t>sorbital</w:t>
      </w:r>
      <w:proofErr w:type="spellEnd"/>
      <w:r w:rsidRPr="00C6491A">
        <w:rPr>
          <w:rFonts w:ascii="Times New Roman" w:hAnsi="Times New Roman" w:cs="Times New Roman"/>
          <w:sz w:val="24"/>
          <w:szCs w:val="24"/>
        </w:rPr>
        <w:t xml:space="preserve">, 0.1M EDTA with 0.1% β-ME and 0.1% </w:t>
      </w:r>
      <w:proofErr w:type="spellStart"/>
      <w:r w:rsidRPr="00C6491A">
        <w:rPr>
          <w:rFonts w:ascii="Times New Roman" w:hAnsi="Times New Roman" w:cs="Times New Roman"/>
          <w:sz w:val="24"/>
          <w:szCs w:val="24"/>
        </w:rPr>
        <w:t>lyticase</w:t>
      </w:r>
      <w:proofErr w:type="spellEnd"/>
      <w:r w:rsidRPr="00C6491A">
        <w:rPr>
          <w:rFonts w:ascii="Times New Roman" w:hAnsi="Times New Roman" w:cs="Times New Roman"/>
          <w:sz w:val="24"/>
          <w:szCs w:val="24"/>
        </w:rPr>
        <w:t xml:space="preserve"> added just before use. The pellet was loosened and </w:t>
      </w:r>
      <w:r w:rsidRPr="00C6491A">
        <w:rPr>
          <w:rFonts w:ascii="Times New Roman" w:hAnsi="Times New Roman" w:cs="Times New Roman"/>
          <w:sz w:val="24"/>
          <w:szCs w:val="24"/>
        </w:rPr>
        <w:lastRenderedPageBreak/>
        <w:t>mixed with the buffer by flicking the test tube. The samples were incubated in a 30</w:t>
      </w:r>
      <w:r w:rsidRPr="00C6491A">
        <w:rPr>
          <w:rFonts w:ascii="Times New Roman" w:hAnsi="Times New Roman" w:cs="Times New Roman"/>
          <w:sz w:val="24"/>
          <w:szCs w:val="24"/>
          <w:vertAlign w:val="superscript"/>
        </w:rPr>
        <w:t>o</w:t>
      </w:r>
      <w:r w:rsidRPr="00C6491A">
        <w:rPr>
          <w:rFonts w:ascii="Times New Roman" w:hAnsi="Times New Roman" w:cs="Times New Roman"/>
          <w:sz w:val="24"/>
          <w:szCs w:val="24"/>
        </w:rPr>
        <w:t xml:space="preserve">C water bath with gentle shaking for 25 minutes. The samples were centrifuged for 5 minutes at 3500 rpm. The supernatant was decanted and the remaining supernatant was removed via aspiration using a 20μL pipette. 2mL of ice cold homogenization buffer (0.6M </w:t>
      </w:r>
      <w:proofErr w:type="spellStart"/>
      <w:r w:rsidRPr="00C6491A">
        <w:rPr>
          <w:rFonts w:ascii="Times New Roman" w:hAnsi="Times New Roman" w:cs="Times New Roman"/>
          <w:sz w:val="24"/>
          <w:szCs w:val="24"/>
        </w:rPr>
        <w:t>mannitol</w:t>
      </w:r>
      <w:proofErr w:type="spellEnd"/>
      <w:r w:rsidRPr="00C6491A">
        <w:rPr>
          <w:rFonts w:ascii="Times New Roman" w:hAnsi="Times New Roman" w:cs="Times New Roman"/>
          <w:sz w:val="24"/>
          <w:szCs w:val="24"/>
        </w:rPr>
        <w:t xml:space="preserve">, .01M </w:t>
      </w:r>
      <w:proofErr w:type="spellStart"/>
      <w:r w:rsidRPr="00C6491A">
        <w:rPr>
          <w:rFonts w:ascii="Times New Roman" w:hAnsi="Times New Roman" w:cs="Times New Roman"/>
          <w:sz w:val="24"/>
          <w:szCs w:val="24"/>
        </w:rPr>
        <w:t>Tris</w:t>
      </w:r>
      <w:proofErr w:type="spellEnd"/>
      <w:r w:rsidRPr="00C6491A">
        <w:rPr>
          <w:rFonts w:ascii="Times New Roman" w:hAnsi="Times New Roman" w:cs="Times New Roman"/>
          <w:sz w:val="24"/>
          <w:szCs w:val="24"/>
        </w:rPr>
        <w:t xml:space="preserve">-CL, .001M PMSF and 1% BSA) was added to the each pellet. Each sample was </w:t>
      </w:r>
      <w:proofErr w:type="spellStart"/>
      <w:r w:rsidRPr="00C6491A">
        <w:rPr>
          <w:rFonts w:ascii="Times New Roman" w:hAnsi="Times New Roman" w:cs="Times New Roman"/>
          <w:sz w:val="24"/>
          <w:szCs w:val="24"/>
        </w:rPr>
        <w:t>vortexed</w:t>
      </w:r>
      <w:proofErr w:type="spellEnd"/>
      <w:r w:rsidRPr="00C6491A">
        <w:rPr>
          <w:rFonts w:ascii="Times New Roman" w:hAnsi="Times New Roman" w:cs="Times New Roman"/>
          <w:sz w:val="24"/>
          <w:szCs w:val="24"/>
        </w:rPr>
        <w:t xml:space="preserve"> for about 1 minute using a VWR analog </w:t>
      </w:r>
      <w:proofErr w:type="spellStart"/>
      <w:r w:rsidRPr="00C6491A">
        <w:rPr>
          <w:rFonts w:ascii="Times New Roman" w:hAnsi="Times New Roman" w:cs="Times New Roman"/>
          <w:sz w:val="24"/>
          <w:szCs w:val="24"/>
        </w:rPr>
        <w:t>vortexer</w:t>
      </w:r>
      <w:proofErr w:type="spellEnd"/>
      <w:r w:rsidRPr="00C6491A">
        <w:rPr>
          <w:rFonts w:ascii="Times New Roman" w:hAnsi="Times New Roman" w:cs="Times New Roman"/>
          <w:sz w:val="24"/>
          <w:szCs w:val="24"/>
        </w:rPr>
        <w:t xml:space="preserve"> on setting 6. The samples were centrifuged for 5 minutes at 3,500 rpm and the supernatant was discarded. The pellets were suspended in 2mL of homogenization buffer. The samples were mixed via flicking the side of the test tube to ensure mixing of the pellet and buffer. The samples were centrifuged for 5 minutes at 1500 rpm. The supernatant was transferred to a clean centrifuge tube and the pellet was discarded. The supernatant was centrifuged for 15 minutes at 12000 rpm. The supernatant was discarded and the pellet was suspended in 2mL of suspension buffer (0.6 M </w:t>
      </w:r>
      <w:proofErr w:type="spellStart"/>
      <w:r w:rsidRPr="00C6491A">
        <w:rPr>
          <w:rFonts w:ascii="Times New Roman" w:hAnsi="Times New Roman" w:cs="Times New Roman"/>
          <w:sz w:val="24"/>
          <w:szCs w:val="24"/>
        </w:rPr>
        <w:t>mannitol</w:t>
      </w:r>
      <w:proofErr w:type="spellEnd"/>
      <w:r w:rsidRPr="00C6491A">
        <w:rPr>
          <w:rFonts w:ascii="Times New Roman" w:hAnsi="Times New Roman" w:cs="Times New Roman"/>
          <w:sz w:val="24"/>
          <w:szCs w:val="24"/>
        </w:rPr>
        <w:t xml:space="preserve"> and .01 M </w:t>
      </w:r>
      <w:proofErr w:type="spellStart"/>
      <w:r w:rsidRPr="00C6491A">
        <w:rPr>
          <w:rFonts w:ascii="Times New Roman" w:hAnsi="Times New Roman" w:cs="Times New Roman"/>
          <w:sz w:val="24"/>
          <w:szCs w:val="24"/>
        </w:rPr>
        <w:t>Tris-Cl</w:t>
      </w:r>
      <w:proofErr w:type="spellEnd"/>
      <w:r w:rsidRPr="00C6491A">
        <w:rPr>
          <w:rFonts w:ascii="Times New Roman" w:hAnsi="Times New Roman" w:cs="Times New Roman"/>
          <w:sz w:val="24"/>
          <w:szCs w:val="24"/>
        </w:rPr>
        <w:t>). The samples were then used immediately to test mitochondrial function using a YSI 5300A Biological O</w:t>
      </w:r>
      <w:r w:rsidR="00833CFC" w:rsidRPr="00C6491A">
        <w:rPr>
          <w:rFonts w:ascii="Times New Roman" w:hAnsi="Times New Roman" w:cs="Times New Roman"/>
          <w:sz w:val="24"/>
          <w:szCs w:val="24"/>
        </w:rPr>
        <w:t>xygen Monitor (</w:t>
      </w:r>
      <w:proofErr w:type="spellStart"/>
      <w:r w:rsidR="00833CFC" w:rsidRPr="00C6491A">
        <w:rPr>
          <w:rFonts w:ascii="Times New Roman" w:hAnsi="Times New Roman" w:cs="Times New Roman"/>
          <w:sz w:val="24"/>
          <w:szCs w:val="24"/>
        </w:rPr>
        <w:t>Qiagen</w:t>
      </w:r>
      <w:proofErr w:type="spellEnd"/>
      <w:r w:rsidR="00833CFC" w:rsidRPr="00C6491A">
        <w:rPr>
          <w:rFonts w:ascii="Times New Roman" w:hAnsi="Times New Roman" w:cs="Times New Roman"/>
          <w:sz w:val="24"/>
          <w:szCs w:val="24"/>
        </w:rPr>
        <w:t>).</w:t>
      </w:r>
    </w:p>
    <w:p w14:paraId="328117DA" w14:textId="77777777" w:rsidR="00217DCA" w:rsidRPr="00C6491A" w:rsidRDefault="0035087B">
      <w:pPr>
        <w:rPr>
          <w:rFonts w:ascii="Times New Roman" w:hAnsi="Times New Roman" w:cs="Times New Roman"/>
          <w:sz w:val="24"/>
          <w:szCs w:val="24"/>
        </w:rPr>
      </w:pPr>
      <w:r w:rsidRPr="00C6491A">
        <w:rPr>
          <w:rFonts w:ascii="Times New Roman" w:hAnsi="Times New Roman" w:cs="Times New Roman"/>
          <w:sz w:val="24"/>
          <w:szCs w:val="24"/>
        </w:rPr>
        <w:t xml:space="preserve"> </w:t>
      </w:r>
      <w:r w:rsidR="00217DCA" w:rsidRPr="00C6491A">
        <w:rPr>
          <w:rFonts w:ascii="Times New Roman" w:hAnsi="Times New Roman" w:cs="Times New Roman"/>
          <w:sz w:val="24"/>
          <w:szCs w:val="24"/>
        </w:rPr>
        <w:t>“Protocol for Mitochondrial Isolation with Mechanical Breakdown” –Ann Schmitt</w:t>
      </w:r>
    </w:p>
    <w:p w14:paraId="1D7CC643" w14:textId="77777777" w:rsidR="00346197" w:rsidRDefault="00217DCA">
      <w:pPr>
        <w:rPr>
          <w:rFonts w:ascii="Times New Roman" w:hAnsi="Times New Roman" w:cs="Times New Roman"/>
          <w:sz w:val="24"/>
          <w:szCs w:val="24"/>
        </w:rPr>
      </w:pPr>
      <w:r w:rsidRPr="00C6491A">
        <w:rPr>
          <w:rFonts w:ascii="Times New Roman" w:hAnsi="Times New Roman" w:cs="Times New Roman"/>
          <w:sz w:val="24"/>
          <w:szCs w:val="24"/>
        </w:rPr>
        <w:t xml:space="preserve">Yeast was cultured using 10g of dextrose, 80 ml of water and 1 g of yeast in a 150 mL flask. Four trials were performed using the yeast culture. To each test tube, 0.5mL of the yeast solution and 4 mL of YPD broth was added. 0.50mL of 10μM </w:t>
      </w:r>
      <w:proofErr w:type="spellStart"/>
      <w:r w:rsidRPr="00C6491A">
        <w:rPr>
          <w:rFonts w:ascii="Times New Roman" w:hAnsi="Times New Roman" w:cs="Times New Roman"/>
          <w:sz w:val="24"/>
          <w:szCs w:val="24"/>
        </w:rPr>
        <w:t>quercetin</w:t>
      </w:r>
      <w:proofErr w:type="spellEnd"/>
      <w:r w:rsidRPr="00C6491A">
        <w:rPr>
          <w:rFonts w:ascii="Times New Roman" w:hAnsi="Times New Roman" w:cs="Times New Roman"/>
          <w:sz w:val="24"/>
          <w:szCs w:val="24"/>
        </w:rPr>
        <w:t xml:space="preserve"> was added to three of the test tubes. The fourth test tube served as a control. The test tubes were incubated at </w:t>
      </w:r>
      <w:r w:rsidR="00AE3DC5" w:rsidRPr="00C6491A">
        <w:rPr>
          <w:rFonts w:ascii="Times New Roman" w:hAnsi="Times New Roman" w:cs="Times New Roman"/>
          <w:sz w:val="24"/>
          <w:szCs w:val="24"/>
        </w:rPr>
        <w:t>30</w:t>
      </w:r>
      <w:r w:rsidRPr="00C6491A">
        <w:rPr>
          <w:rFonts w:ascii="Times New Roman" w:hAnsi="Times New Roman" w:cs="Times New Roman"/>
          <w:sz w:val="24"/>
          <w:szCs w:val="24"/>
          <w:vertAlign w:val="superscript"/>
        </w:rPr>
        <w:t>o</w:t>
      </w:r>
      <w:r w:rsidRPr="00C6491A">
        <w:rPr>
          <w:rFonts w:ascii="Times New Roman" w:hAnsi="Times New Roman" w:cs="Times New Roman"/>
          <w:sz w:val="24"/>
          <w:szCs w:val="24"/>
        </w:rPr>
        <w:t xml:space="preserve"> C for 72 hours</w:t>
      </w:r>
      <w:r w:rsidR="001E0E05" w:rsidRPr="00C6491A">
        <w:rPr>
          <w:rFonts w:ascii="Times New Roman" w:hAnsi="Times New Roman" w:cs="Times New Roman"/>
          <w:sz w:val="24"/>
          <w:szCs w:val="24"/>
        </w:rPr>
        <w:t xml:space="preserve"> in a water bath</w:t>
      </w:r>
      <w:r w:rsidRPr="00C6491A">
        <w:rPr>
          <w:rFonts w:ascii="Times New Roman" w:hAnsi="Times New Roman" w:cs="Times New Roman"/>
          <w:sz w:val="24"/>
          <w:szCs w:val="24"/>
        </w:rPr>
        <w:t xml:space="preserve">. After the incubation, 2mL of the sample was centrifuged for 5 minutes at 3,500rpm. The supernatant was discarded and each pellet was washed in 1.0mL of ice cold DI water. The pellet was then suspended in 1mL of a mixture containing 20mM DTT and 100mM </w:t>
      </w:r>
      <w:proofErr w:type="spellStart"/>
      <w:r w:rsidRPr="00C6491A">
        <w:rPr>
          <w:rFonts w:ascii="Times New Roman" w:hAnsi="Times New Roman" w:cs="Times New Roman"/>
          <w:sz w:val="24"/>
          <w:szCs w:val="24"/>
        </w:rPr>
        <w:t>Tris</w:t>
      </w:r>
      <w:proofErr w:type="spellEnd"/>
      <w:r w:rsidRPr="00C6491A">
        <w:rPr>
          <w:rFonts w:ascii="Times New Roman" w:hAnsi="Times New Roman" w:cs="Times New Roman"/>
          <w:sz w:val="24"/>
          <w:szCs w:val="24"/>
        </w:rPr>
        <w:t xml:space="preserve">. The sample was centrifuged for 5 minutes at 3,500rpm and the supernatant was discarded.  2mL of ice cold homogenization buffer (0.6M </w:t>
      </w:r>
      <w:proofErr w:type="spellStart"/>
      <w:r w:rsidRPr="00C6491A">
        <w:rPr>
          <w:rFonts w:ascii="Times New Roman" w:hAnsi="Times New Roman" w:cs="Times New Roman"/>
          <w:sz w:val="24"/>
          <w:szCs w:val="24"/>
        </w:rPr>
        <w:t>mannitol</w:t>
      </w:r>
      <w:proofErr w:type="spellEnd"/>
      <w:r w:rsidRPr="00C6491A">
        <w:rPr>
          <w:rFonts w:ascii="Times New Roman" w:hAnsi="Times New Roman" w:cs="Times New Roman"/>
          <w:sz w:val="24"/>
          <w:szCs w:val="24"/>
        </w:rPr>
        <w:t xml:space="preserve">, .01M </w:t>
      </w:r>
      <w:proofErr w:type="spellStart"/>
      <w:r w:rsidRPr="00C6491A">
        <w:rPr>
          <w:rFonts w:ascii="Times New Roman" w:hAnsi="Times New Roman" w:cs="Times New Roman"/>
          <w:sz w:val="24"/>
          <w:szCs w:val="24"/>
        </w:rPr>
        <w:t>Tris</w:t>
      </w:r>
      <w:proofErr w:type="spellEnd"/>
      <w:r w:rsidRPr="00C6491A">
        <w:rPr>
          <w:rFonts w:ascii="Times New Roman" w:hAnsi="Times New Roman" w:cs="Times New Roman"/>
          <w:sz w:val="24"/>
          <w:szCs w:val="24"/>
        </w:rPr>
        <w:t>-CL, .001M PMSF and 1% BSA) was added to the each pellet. The samples were then stored on ice for five minutes. The samples were homogenized using a 2mL Wheaton glass-</w:t>
      </w:r>
      <w:proofErr w:type="spellStart"/>
      <w:r w:rsidRPr="00C6491A">
        <w:rPr>
          <w:rFonts w:ascii="Times New Roman" w:hAnsi="Times New Roman" w:cs="Times New Roman"/>
          <w:sz w:val="24"/>
          <w:szCs w:val="24"/>
        </w:rPr>
        <w:t>teflon</w:t>
      </w:r>
      <w:proofErr w:type="spellEnd"/>
      <w:r w:rsidRPr="00C6491A">
        <w:rPr>
          <w:rFonts w:ascii="Times New Roman" w:hAnsi="Times New Roman" w:cs="Times New Roman"/>
          <w:sz w:val="24"/>
          <w:szCs w:val="24"/>
        </w:rPr>
        <w:t xml:space="preserve"> homogenizer for 5 strokes. The samples were centrifuged for 5 minutes at 3,500 rpm and the supernatant was discarded. The pellet was suspended in 2mL of homogenization buffer and homogenized using a 2mL Wheaton glass-</w:t>
      </w:r>
      <w:proofErr w:type="spellStart"/>
      <w:r w:rsidRPr="00C6491A">
        <w:rPr>
          <w:rFonts w:ascii="Times New Roman" w:hAnsi="Times New Roman" w:cs="Times New Roman"/>
          <w:sz w:val="24"/>
          <w:szCs w:val="24"/>
        </w:rPr>
        <w:t>teflon</w:t>
      </w:r>
      <w:proofErr w:type="spellEnd"/>
      <w:r w:rsidRPr="00C6491A">
        <w:rPr>
          <w:rFonts w:ascii="Times New Roman" w:hAnsi="Times New Roman" w:cs="Times New Roman"/>
          <w:sz w:val="24"/>
          <w:szCs w:val="24"/>
        </w:rPr>
        <w:t xml:space="preserve"> homogenizer for 5 strokes. The samples were centrifuged for 5 minutes at 1,500 rpm. The supernatant was transferred to a centrifuge tube and the pellet was discarded. The supernatant from each sample was centrifuged for 15 minutes at 12,000rpm. The supernatant was discarded and the pellet was suspended in 2mL of suspension buffer (0.6 M </w:t>
      </w:r>
      <w:proofErr w:type="spellStart"/>
      <w:r w:rsidRPr="00C6491A">
        <w:rPr>
          <w:rFonts w:ascii="Times New Roman" w:hAnsi="Times New Roman" w:cs="Times New Roman"/>
          <w:sz w:val="24"/>
          <w:szCs w:val="24"/>
        </w:rPr>
        <w:t>mannitol</w:t>
      </w:r>
      <w:proofErr w:type="spellEnd"/>
      <w:r w:rsidRPr="00C6491A">
        <w:rPr>
          <w:rFonts w:ascii="Times New Roman" w:hAnsi="Times New Roman" w:cs="Times New Roman"/>
          <w:sz w:val="24"/>
          <w:szCs w:val="24"/>
        </w:rPr>
        <w:t xml:space="preserve"> and .01 M </w:t>
      </w:r>
      <w:proofErr w:type="spellStart"/>
      <w:r w:rsidRPr="00C6491A">
        <w:rPr>
          <w:rFonts w:ascii="Times New Roman" w:hAnsi="Times New Roman" w:cs="Times New Roman"/>
          <w:sz w:val="24"/>
          <w:szCs w:val="24"/>
        </w:rPr>
        <w:t>Tris-Cl</w:t>
      </w:r>
      <w:proofErr w:type="spellEnd"/>
      <w:r w:rsidRPr="00C6491A">
        <w:rPr>
          <w:rFonts w:ascii="Times New Roman" w:hAnsi="Times New Roman" w:cs="Times New Roman"/>
          <w:sz w:val="24"/>
          <w:szCs w:val="24"/>
        </w:rPr>
        <w:t xml:space="preserve">). The samples were then used immediately to test mitochondrial function using a YSI </w:t>
      </w:r>
      <w:r w:rsidR="00833CFC" w:rsidRPr="00C6491A">
        <w:rPr>
          <w:rFonts w:ascii="Times New Roman" w:hAnsi="Times New Roman" w:cs="Times New Roman"/>
          <w:sz w:val="24"/>
          <w:szCs w:val="24"/>
        </w:rPr>
        <w:t>5300A Biological Oxygen Monitor (</w:t>
      </w:r>
      <w:proofErr w:type="spellStart"/>
      <w:r w:rsidR="00833CFC" w:rsidRPr="00C6491A">
        <w:rPr>
          <w:rFonts w:ascii="Times New Roman" w:hAnsi="Times New Roman" w:cs="Times New Roman"/>
          <w:sz w:val="24"/>
          <w:szCs w:val="24"/>
        </w:rPr>
        <w:t>Qiagen</w:t>
      </w:r>
      <w:proofErr w:type="spellEnd"/>
      <w:r w:rsidR="00833CFC" w:rsidRPr="00C6491A">
        <w:rPr>
          <w:rFonts w:ascii="Times New Roman" w:hAnsi="Times New Roman" w:cs="Times New Roman"/>
          <w:sz w:val="24"/>
          <w:szCs w:val="24"/>
        </w:rPr>
        <w:t>).</w:t>
      </w:r>
      <w:r w:rsidR="00346197">
        <w:rPr>
          <w:rFonts w:ascii="Times New Roman" w:hAnsi="Times New Roman" w:cs="Times New Roman"/>
          <w:sz w:val="24"/>
          <w:szCs w:val="24"/>
        </w:rPr>
        <w:t xml:space="preserve"> </w:t>
      </w:r>
    </w:p>
    <w:p w14:paraId="56CEB76E" w14:textId="77777777" w:rsidR="00AE3DC5" w:rsidRPr="00C6491A" w:rsidRDefault="00346197">
      <w:pPr>
        <w:rPr>
          <w:rFonts w:ascii="Times New Roman" w:hAnsi="Times New Roman" w:cs="Times New Roman"/>
          <w:sz w:val="24"/>
          <w:szCs w:val="24"/>
        </w:rPr>
      </w:pPr>
      <w:r>
        <w:rPr>
          <w:rFonts w:ascii="Times New Roman" w:hAnsi="Times New Roman" w:cs="Times New Roman"/>
          <w:sz w:val="24"/>
          <w:szCs w:val="24"/>
        </w:rPr>
        <w:t xml:space="preserve">10 microliters of ADP were injected into each sample being tested under the oxygen monitor after a plateau of oxygen consumption level was observed. </w:t>
      </w:r>
    </w:p>
    <w:p w14:paraId="535FCE8D" w14:textId="77777777" w:rsidR="00480218" w:rsidRPr="00C6491A" w:rsidRDefault="00480218">
      <w:pPr>
        <w:rPr>
          <w:rFonts w:ascii="Times New Roman" w:hAnsi="Times New Roman" w:cs="Times New Roman"/>
          <w:sz w:val="24"/>
          <w:szCs w:val="24"/>
        </w:rPr>
      </w:pPr>
    </w:p>
    <w:p w14:paraId="1D83DE07" w14:textId="77777777" w:rsidR="00480218" w:rsidRPr="00C6491A" w:rsidRDefault="00480218">
      <w:pPr>
        <w:rPr>
          <w:rFonts w:ascii="Times New Roman" w:hAnsi="Times New Roman" w:cs="Times New Roman"/>
          <w:sz w:val="24"/>
          <w:szCs w:val="24"/>
        </w:rPr>
      </w:pPr>
    </w:p>
    <w:p w14:paraId="66E96E1C" w14:textId="77777777" w:rsidR="00480218" w:rsidRPr="00C6491A" w:rsidRDefault="00480218">
      <w:pPr>
        <w:rPr>
          <w:rFonts w:ascii="Times New Roman" w:hAnsi="Times New Roman" w:cs="Times New Roman"/>
          <w:sz w:val="24"/>
          <w:szCs w:val="24"/>
        </w:rPr>
      </w:pPr>
    </w:p>
    <w:p w14:paraId="24321186" w14:textId="77777777" w:rsidR="00AD2901" w:rsidRPr="00C6491A" w:rsidRDefault="00AD2901" w:rsidP="00BF3BEF">
      <w:pPr>
        <w:jc w:val="center"/>
        <w:rPr>
          <w:rFonts w:ascii="Times New Roman" w:hAnsi="Times New Roman" w:cs="Times New Roman"/>
          <w:sz w:val="24"/>
          <w:szCs w:val="24"/>
        </w:rPr>
      </w:pPr>
      <w:r w:rsidRPr="00C6491A">
        <w:rPr>
          <w:rFonts w:ascii="Times New Roman" w:hAnsi="Times New Roman" w:cs="Times New Roman"/>
          <w:sz w:val="24"/>
          <w:szCs w:val="24"/>
        </w:rPr>
        <w:t>Results</w:t>
      </w:r>
    </w:p>
    <w:p w14:paraId="2FD703FE" w14:textId="77777777" w:rsidR="00AD2901" w:rsidRPr="00C6491A" w:rsidRDefault="00AD2901" w:rsidP="00BF3BEF">
      <w:pPr>
        <w:jc w:val="center"/>
        <w:rPr>
          <w:rFonts w:ascii="Times New Roman" w:hAnsi="Times New Roman" w:cs="Times New Roman"/>
          <w:noProof/>
          <w:sz w:val="24"/>
          <w:szCs w:val="24"/>
        </w:rPr>
      </w:pPr>
      <w:r w:rsidRPr="00C6491A">
        <w:rPr>
          <w:rFonts w:ascii="Times New Roman" w:hAnsi="Times New Roman" w:cs="Times New Roman"/>
          <w:noProof/>
          <w:sz w:val="24"/>
          <w:szCs w:val="24"/>
        </w:rPr>
        <w:drawing>
          <wp:inline distT="0" distB="0" distL="0" distR="0" wp14:anchorId="2B1B81B6" wp14:editId="594BFA7B">
            <wp:extent cx="4818185" cy="3481754"/>
            <wp:effectExtent l="0" t="0" r="20955" b="2349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C6491A">
        <w:rPr>
          <w:rFonts w:ascii="Times New Roman" w:hAnsi="Times New Roman" w:cs="Times New Roman"/>
          <w:noProof/>
          <w:sz w:val="24"/>
          <w:szCs w:val="24"/>
        </w:rPr>
        <w:drawing>
          <wp:inline distT="0" distB="0" distL="0" distR="0" wp14:anchorId="52D538F1" wp14:editId="58F663D8">
            <wp:extent cx="4818185" cy="2883876"/>
            <wp:effectExtent l="0" t="0" r="20955" b="1206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C6491A">
        <w:rPr>
          <w:rFonts w:ascii="Times New Roman" w:hAnsi="Times New Roman" w:cs="Times New Roman"/>
          <w:noProof/>
          <w:sz w:val="24"/>
          <w:szCs w:val="24"/>
        </w:rPr>
        <w:lastRenderedPageBreak/>
        <w:drawing>
          <wp:inline distT="0" distB="0" distL="0" distR="0" wp14:anchorId="7F613DB1" wp14:editId="5088A28A">
            <wp:extent cx="5152292" cy="3903785"/>
            <wp:effectExtent l="0" t="0" r="10795" b="2095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C6491A">
        <w:rPr>
          <w:rFonts w:ascii="Times New Roman" w:hAnsi="Times New Roman" w:cs="Times New Roman"/>
          <w:noProof/>
          <w:sz w:val="24"/>
          <w:szCs w:val="24"/>
        </w:rPr>
        <w:drawing>
          <wp:inline distT="0" distB="0" distL="0" distR="0" wp14:anchorId="24D0700F" wp14:editId="6B67C6D0">
            <wp:extent cx="5152292" cy="3323493"/>
            <wp:effectExtent l="0" t="0" r="10795"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C6491A">
        <w:rPr>
          <w:rFonts w:ascii="Times New Roman" w:hAnsi="Times New Roman" w:cs="Times New Roman"/>
          <w:noProof/>
          <w:sz w:val="24"/>
          <w:szCs w:val="24"/>
        </w:rPr>
        <w:lastRenderedPageBreak/>
        <w:drawing>
          <wp:inline distT="0" distB="0" distL="0" distR="0" wp14:anchorId="074311D4" wp14:editId="330F93A9">
            <wp:extent cx="4958862" cy="3411416"/>
            <wp:effectExtent l="0" t="0" r="13335" b="1778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C6491A">
        <w:rPr>
          <w:rFonts w:ascii="Times New Roman" w:hAnsi="Times New Roman" w:cs="Times New Roman"/>
          <w:noProof/>
          <w:sz w:val="24"/>
          <w:szCs w:val="24"/>
        </w:rPr>
        <w:drawing>
          <wp:inline distT="0" distB="0" distL="0" distR="0" wp14:anchorId="77A08339" wp14:editId="63D710D3">
            <wp:extent cx="4958862" cy="4167554"/>
            <wp:effectExtent l="0" t="0" r="13335" b="2349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C6491A">
        <w:rPr>
          <w:rFonts w:ascii="Times New Roman" w:hAnsi="Times New Roman" w:cs="Times New Roman"/>
          <w:noProof/>
          <w:sz w:val="24"/>
          <w:szCs w:val="24"/>
        </w:rPr>
        <w:lastRenderedPageBreak/>
        <w:drawing>
          <wp:inline distT="0" distB="0" distL="0" distR="0" wp14:anchorId="4CAD56E1" wp14:editId="30EAC29E">
            <wp:extent cx="5222631" cy="3464169"/>
            <wp:effectExtent l="0" t="0" r="16510" b="222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C6491A">
        <w:rPr>
          <w:rFonts w:ascii="Times New Roman" w:hAnsi="Times New Roman" w:cs="Times New Roman"/>
          <w:noProof/>
          <w:sz w:val="24"/>
          <w:szCs w:val="24"/>
        </w:rPr>
        <w:drawing>
          <wp:inline distT="0" distB="0" distL="0" distR="0" wp14:anchorId="3938E8D0" wp14:editId="57483CFE">
            <wp:extent cx="5222631" cy="3815861"/>
            <wp:effectExtent l="0" t="0" r="16510" b="1333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6C0F798" w14:textId="77777777" w:rsidR="00FD26E2" w:rsidRPr="00C6491A" w:rsidRDefault="00FD26E2">
      <w:pPr>
        <w:rPr>
          <w:rFonts w:ascii="Times New Roman" w:hAnsi="Times New Roman" w:cs="Times New Roman"/>
          <w:sz w:val="24"/>
          <w:szCs w:val="24"/>
        </w:rPr>
      </w:pPr>
      <w:r w:rsidRPr="00C6491A">
        <w:rPr>
          <w:rFonts w:ascii="Times New Roman" w:hAnsi="Times New Roman" w:cs="Times New Roman"/>
          <w:noProof/>
          <w:sz w:val="24"/>
          <w:szCs w:val="24"/>
        </w:rPr>
        <w:t xml:space="preserve">These results of the blank trials used for practice demonstrate the stage IV and stage III oxygen consumption of mitochondrial with the addition of ADP at the end of each plateau. Two distinct </w:t>
      </w:r>
      <w:r w:rsidRPr="00C6491A">
        <w:rPr>
          <w:rFonts w:ascii="Times New Roman" w:hAnsi="Times New Roman" w:cs="Times New Roman"/>
          <w:noProof/>
          <w:sz w:val="24"/>
          <w:szCs w:val="24"/>
        </w:rPr>
        <w:lastRenderedPageBreak/>
        <w:t xml:space="preserve">curves shuold be seen that separate three plateaus. </w:t>
      </w:r>
      <w:r w:rsidR="00C6491A" w:rsidRPr="00C6491A">
        <w:rPr>
          <w:rFonts w:ascii="Times New Roman" w:hAnsi="Times New Roman" w:cs="Times New Roman"/>
          <w:noProof/>
          <w:sz w:val="24"/>
          <w:szCs w:val="24"/>
        </w:rPr>
        <w:t>These trials were simply tests to understand and maintain the technique of the protocol.</w:t>
      </w:r>
    </w:p>
    <w:p w14:paraId="13E777A2" w14:textId="77777777" w:rsidR="00AE3DC5" w:rsidRPr="00C6491A" w:rsidRDefault="00AE3DC5">
      <w:pPr>
        <w:rPr>
          <w:rFonts w:ascii="Times New Roman" w:hAnsi="Times New Roman" w:cs="Times New Roman"/>
          <w:sz w:val="24"/>
          <w:szCs w:val="24"/>
        </w:rPr>
      </w:pPr>
    </w:p>
    <w:p w14:paraId="31E54D88" w14:textId="77777777" w:rsidR="00480218" w:rsidRPr="00C6491A" w:rsidRDefault="00480218">
      <w:pPr>
        <w:rPr>
          <w:rFonts w:ascii="Times New Roman" w:hAnsi="Times New Roman" w:cs="Times New Roman"/>
          <w:sz w:val="24"/>
          <w:szCs w:val="24"/>
        </w:rPr>
      </w:pPr>
    </w:p>
    <w:p w14:paraId="44DC1F6A" w14:textId="77777777" w:rsidR="0035087B" w:rsidRPr="00C6491A" w:rsidRDefault="0035087B" w:rsidP="0035087B">
      <w:pPr>
        <w:rPr>
          <w:rFonts w:ascii="Times New Roman" w:hAnsi="Times New Roman" w:cs="Times New Roman"/>
          <w:sz w:val="24"/>
          <w:szCs w:val="24"/>
        </w:rPr>
      </w:pPr>
      <w:r w:rsidRPr="00C6491A">
        <w:rPr>
          <w:rFonts w:ascii="Times New Roman" w:hAnsi="Times New Roman" w:cs="Times New Roman"/>
          <w:sz w:val="24"/>
          <w:szCs w:val="24"/>
        </w:rPr>
        <w:t>References:</w:t>
      </w:r>
    </w:p>
    <w:p w14:paraId="4BAE0A83" w14:textId="77777777" w:rsidR="00CF13D6" w:rsidRPr="00C6491A" w:rsidRDefault="00CF13D6" w:rsidP="0035087B">
      <w:pPr>
        <w:rPr>
          <w:rFonts w:ascii="Times New Roman" w:hAnsi="Times New Roman" w:cs="Times New Roman"/>
          <w:sz w:val="24"/>
          <w:szCs w:val="24"/>
        </w:rPr>
      </w:pPr>
      <w:r w:rsidRPr="00C6491A">
        <w:rPr>
          <w:rFonts w:ascii="Times New Roman" w:hAnsi="Times New Roman" w:cs="Times New Roman"/>
          <w:color w:val="000000"/>
          <w:sz w:val="24"/>
          <w:szCs w:val="24"/>
          <w:shd w:val="clear" w:color="auto" w:fill="FFFFFF"/>
        </w:rPr>
        <w:t>Held, Paul. "An Introduction to Reactive Oxygen Species - Measurement of ROS in Cells."</w:t>
      </w:r>
      <w:proofErr w:type="spellStart"/>
      <w:r w:rsidRPr="00C6491A">
        <w:rPr>
          <w:rFonts w:ascii="Times New Roman" w:hAnsi="Times New Roman" w:cs="Times New Roman"/>
          <w:i/>
          <w:iCs/>
          <w:color w:val="000000"/>
          <w:sz w:val="24"/>
          <w:szCs w:val="24"/>
          <w:shd w:val="clear" w:color="auto" w:fill="FFFFFF"/>
        </w:rPr>
        <w:t>BioTek</w:t>
      </w:r>
      <w:proofErr w:type="spellEnd"/>
      <w:r w:rsidRPr="00C6491A">
        <w:rPr>
          <w:rFonts w:ascii="Times New Roman" w:hAnsi="Times New Roman" w:cs="Times New Roman"/>
          <w:color w:val="000000"/>
          <w:sz w:val="24"/>
          <w:szCs w:val="24"/>
          <w:shd w:val="clear" w:color="auto" w:fill="FFFFFF"/>
        </w:rPr>
        <w:t xml:space="preserve">. </w:t>
      </w:r>
      <w:proofErr w:type="spellStart"/>
      <w:r w:rsidRPr="00C6491A">
        <w:rPr>
          <w:rFonts w:ascii="Times New Roman" w:hAnsi="Times New Roman" w:cs="Times New Roman"/>
          <w:color w:val="000000"/>
          <w:sz w:val="24"/>
          <w:szCs w:val="24"/>
          <w:shd w:val="clear" w:color="auto" w:fill="FFFFFF"/>
        </w:rPr>
        <w:t>BioTek</w:t>
      </w:r>
      <w:proofErr w:type="spellEnd"/>
      <w:r w:rsidRPr="00C6491A">
        <w:rPr>
          <w:rFonts w:ascii="Times New Roman" w:hAnsi="Times New Roman" w:cs="Times New Roman"/>
          <w:color w:val="000000"/>
          <w:sz w:val="24"/>
          <w:szCs w:val="24"/>
          <w:shd w:val="clear" w:color="auto" w:fill="FFFFFF"/>
        </w:rPr>
        <w:t xml:space="preserve"> Instruments, 23 Feb. 2010. Web. 23 July 2013.</w:t>
      </w:r>
    </w:p>
    <w:p w14:paraId="6ED617BB" w14:textId="77777777" w:rsidR="0035087B" w:rsidRPr="00C6491A" w:rsidRDefault="0035087B" w:rsidP="0035087B">
      <w:pPr>
        <w:rPr>
          <w:rFonts w:ascii="Times New Roman" w:hAnsi="Times New Roman" w:cs="Times New Roman"/>
          <w:i/>
          <w:sz w:val="24"/>
          <w:szCs w:val="24"/>
        </w:rPr>
      </w:pPr>
      <w:proofErr w:type="spellStart"/>
      <w:r w:rsidRPr="00C6491A">
        <w:rPr>
          <w:rFonts w:ascii="Times New Roman" w:hAnsi="Times New Roman" w:cs="Times New Roman"/>
          <w:sz w:val="24"/>
          <w:szCs w:val="24"/>
        </w:rPr>
        <w:t>Qiagen</w:t>
      </w:r>
      <w:proofErr w:type="spellEnd"/>
      <w:r w:rsidRPr="00C6491A">
        <w:rPr>
          <w:rFonts w:ascii="Times New Roman" w:hAnsi="Times New Roman" w:cs="Times New Roman"/>
          <w:sz w:val="24"/>
          <w:szCs w:val="24"/>
        </w:rPr>
        <w:t xml:space="preserve">. (2010) Protocol: Purification of Total RNA from Yeast. </w:t>
      </w:r>
      <w:proofErr w:type="spellStart"/>
      <w:proofErr w:type="gramStart"/>
      <w:r w:rsidRPr="00C6491A">
        <w:rPr>
          <w:rFonts w:ascii="Times New Roman" w:hAnsi="Times New Roman" w:cs="Times New Roman"/>
          <w:i/>
          <w:sz w:val="24"/>
          <w:szCs w:val="24"/>
        </w:rPr>
        <w:t>RNeasy</w:t>
      </w:r>
      <w:proofErr w:type="spellEnd"/>
      <w:r w:rsidRPr="00C6491A">
        <w:rPr>
          <w:rFonts w:ascii="Times New Roman" w:hAnsi="Times New Roman" w:cs="Times New Roman"/>
          <w:i/>
          <w:sz w:val="24"/>
          <w:szCs w:val="24"/>
        </w:rPr>
        <w:t xml:space="preserve"> Mini Handbook.</w:t>
      </w:r>
      <w:proofErr w:type="gramEnd"/>
      <w:r w:rsidRPr="00C6491A">
        <w:rPr>
          <w:rFonts w:ascii="Times New Roman" w:hAnsi="Times New Roman" w:cs="Times New Roman"/>
          <w:i/>
          <w:sz w:val="24"/>
          <w:szCs w:val="24"/>
        </w:rPr>
        <w:t xml:space="preserve"> </w:t>
      </w:r>
    </w:p>
    <w:p w14:paraId="26596077" w14:textId="77777777" w:rsidR="00C6491A" w:rsidRPr="00C6491A" w:rsidRDefault="00C6491A" w:rsidP="0035087B">
      <w:pPr>
        <w:rPr>
          <w:rFonts w:ascii="Times New Roman" w:hAnsi="Times New Roman" w:cs="Times New Roman"/>
          <w:i/>
          <w:sz w:val="24"/>
          <w:szCs w:val="24"/>
        </w:rPr>
      </w:pPr>
      <w:r w:rsidRPr="00C6491A">
        <w:rPr>
          <w:rFonts w:ascii="Times New Roman" w:hAnsi="Times New Roman" w:cs="Times New Roman"/>
          <w:color w:val="222222"/>
          <w:sz w:val="24"/>
          <w:szCs w:val="24"/>
          <w:shd w:val="clear" w:color="auto" w:fill="FFFFFF"/>
        </w:rPr>
        <w:t>Ross, Edward A., Lilia C. Koo, and James B. Moberly. "Low whole blood and erythrocyte levels of glutathione in hemodialysis and peritoneal dialysis patients."</w:t>
      </w:r>
      <w:r w:rsidRPr="00C6491A">
        <w:rPr>
          <w:rStyle w:val="apple-converted-space"/>
          <w:rFonts w:ascii="Times New Roman" w:hAnsi="Times New Roman" w:cs="Times New Roman"/>
          <w:color w:val="222222"/>
          <w:sz w:val="24"/>
          <w:szCs w:val="24"/>
          <w:shd w:val="clear" w:color="auto" w:fill="FFFFFF"/>
        </w:rPr>
        <w:t> </w:t>
      </w:r>
      <w:proofErr w:type="gramStart"/>
      <w:r w:rsidRPr="00C6491A">
        <w:rPr>
          <w:rFonts w:ascii="Times New Roman" w:hAnsi="Times New Roman" w:cs="Times New Roman"/>
          <w:i/>
          <w:iCs/>
          <w:color w:val="222222"/>
          <w:sz w:val="24"/>
          <w:szCs w:val="24"/>
          <w:shd w:val="clear" w:color="auto" w:fill="FFFFFF"/>
        </w:rPr>
        <w:t>American journal of kidney diseases</w:t>
      </w:r>
      <w:r w:rsidRPr="00C6491A">
        <w:rPr>
          <w:rStyle w:val="apple-converted-space"/>
          <w:rFonts w:ascii="Times New Roman" w:hAnsi="Times New Roman" w:cs="Times New Roman"/>
          <w:color w:val="222222"/>
          <w:sz w:val="24"/>
          <w:szCs w:val="24"/>
          <w:shd w:val="clear" w:color="auto" w:fill="FFFFFF"/>
        </w:rPr>
        <w:t> </w:t>
      </w:r>
      <w:r w:rsidRPr="00C6491A">
        <w:rPr>
          <w:rFonts w:ascii="Times New Roman" w:hAnsi="Times New Roman" w:cs="Times New Roman"/>
          <w:color w:val="222222"/>
          <w:sz w:val="24"/>
          <w:szCs w:val="24"/>
          <w:shd w:val="clear" w:color="auto" w:fill="FFFFFF"/>
        </w:rPr>
        <w:t>30.4 (1997): 489-494.</w:t>
      </w:r>
      <w:proofErr w:type="gramEnd"/>
    </w:p>
    <w:p w14:paraId="4DD66EB3" w14:textId="77777777" w:rsidR="003107AF" w:rsidRPr="00C6491A" w:rsidRDefault="003107AF" w:rsidP="0035087B">
      <w:pPr>
        <w:rPr>
          <w:rFonts w:ascii="Times New Roman" w:hAnsi="Times New Roman" w:cs="Times New Roman"/>
          <w:i/>
          <w:sz w:val="24"/>
          <w:szCs w:val="24"/>
        </w:rPr>
      </w:pPr>
      <w:proofErr w:type="spellStart"/>
      <w:r w:rsidRPr="00C6491A">
        <w:rPr>
          <w:rFonts w:ascii="Times New Roman" w:hAnsi="Times New Roman" w:cs="Times New Roman"/>
          <w:sz w:val="24"/>
          <w:szCs w:val="24"/>
          <w:shd w:val="clear" w:color="auto" w:fill="FFFFFF"/>
        </w:rPr>
        <w:t>Sheu</w:t>
      </w:r>
      <w:proofErr w:type="spellEnd"/>
      <w:r w:rsidRPr="00C6491A">
        <w:rPr>
          <w:rFonts w:ascii="Times New Roman" w:hAnsi="Times New Roman" w:cs="Times New Roman"/>
          <w:sz w:val="24"/>
          <w:szCs w:val="24"/>
          <w:shd w:val="clear" w:color="auto" w:fill="FFFFFF"/>
        </w:rPr>
        <w:t xml:space="preserve">, </w:t>
      </w:r>
      <w:proofErr w:type="spellStart"/>
      <w:r w:rsidRPr="00C6491A">
        <w:rPr>
          <w:rFonts w:ascii="Times New Roman" w:hAnsi="Times New Roman" w:cs="Times New Roman"/>
          <w:sz w:val="24"/>
          <w:szCs w:val="24"/>
          <w:shd w:val="clear" w:color="auto" w:fill="FFFFFF"/>
        </w:rPr>
        <w:t>Shey-Shing</w:t>
      </w:r>
      <w:proofErr w:type="spellEnd"/>
      <w:r w:rsidRPr="00C6491A">
        <w:rPr>
          <w:rFonts w:ascii="Times New Roman" w:hAnsi="Times New Roman" w:cs="Times New Roman"/>
          <w:sz w:val="24"/>
          <w:szCs w:val="24"/>
          <w:shd w:val="clear" w:color="auto" w:fill="FFFFFF"/>
        </w:rPr>
        <w:t xml:space="preserve">, </w:t>
      </w:r>
      <w:proofErr w:type="spellStart"/>
      <w:r w:rsidRPr="00C6491A">
        <w:rPr>
          <w:rFonts w:ascii="Times New Roman" w:hAnsi="Times New Roman" w:cs="Times New Roman"/>
          <w:sz w:val="24"/>
          <w:szCs w:val="24"/>
          <w:shd w:val="clear" w:color="auto" w:fill="FFFFFF"/>
        </w:rPr>
        <w:t>Dhananjaya</w:t>
      </w:r>
      <w:proofErr w:type="spellEnd"/>
      <w:r w:rsidRPr="00C6491A">
        <w:rPr>
          <w:rFonts w:ascii="Times New Roman" w:hAnsi="Times New Roman" w:cs="Times New Roman"/>
          <w:sz w:val="24"/>
          <w:szCs w:val="24"/>
          <w:shd w:val="clear" w:color="auto" w:fill="FFFFFF"/>
        </w:rPr>
        <w:t xml:space="preserve"> </w:t>
      </w:r>
      <w:proofErr w:type="spellStart"/>
      <w:r w:rsidRPr="00C6491A">
        <w:rPr>
          <w:rFonts w:ascii="Times New Roman" w:hAnsi="Times New Roman" w:cs="Times New Roman"/>
          <w:sz w:val="24"/>
          <w:szCs w:val="24"/>
          <w:shd w:val="clear" w:color="auto" w:fill="FFFFFF"/>
        </w:rPr>
        <w:t>Nauduri</w:t>
      </w:r>
      <w:proofErr w:type="spellEnd"/>
      <w:r w:rsidRPr="00C6491A">
        <w:rPr>
          <w:rFonts w:ascii="Times New Roman" w:hAnsi="Times New Roman" w:cs="Times New Roman"/>
          <w:sz w:val="24"/>
          <w:szCs w:val="24"/>
          <w:shd w:val="clear" w:color="auto" w:fill="FFFFFF"/>
        </w:rPr>
        <w:t>, and M. W. Anders. "Targeting antioxidants to mitochondria: a new therapeutic direction."</w:t>
      </w:r>
      <w:r w:rsidRPr="00C6491A">
        <w:rPr>
          <w:rStyle w:val="apple-converted-space"/>
          <w:rFonts w:ascii="Times New Roman" w:hAnsi="Times New Roman" w:cs="Times New Roman"/>
          <w:sz w:val="24"/>
          <w:szCs w:val="24"/>
          <w:shd w:val="clear" w:color="auto" w:fill="FFFFFF"/>
        </w:rPr>
        <w:t> </w:t>
      </w:r>
      <w:proofErr w:type="spellStart"/>
      <w:r w:rsidRPr="00C6491A">
        <w:rPr>
          <w:rFonts w:ascii="Times New Roman" w:hAnsi="Times New Roman" w:cs="Times New Roman"/>
          <w:i/>
          <w:iCs/>
          <w:sz w:val="24"/>
          <w:szCs w:val="24"/>
          <w:shd w:val="clear" w:color="auto" w:fill="FFFFFF"/>
        </w:rPr>
        <w:t>Biochimica</w:t>
      </w:r>
      <w:proofErr w:type="spellEnd"/>
      <w:r w:rsidRPr="00C6491A">
        <w:rPr>
          <w:rFonts w:ascii="Times New Roman" w:hAnsi="Times New Roman" w:cs="Times New Roman"/>
          <w:i/>
          <w:iCs/>
          <w:sz w:val="24"/>
          <w:szCs w:val="24"/>
          <w:shd w:val="clear" w:color="auto" w:fill="FFFFFF"/>
        </w:rPr>
        <w:t xml:space="preserve"> </w:t>
      </w:r>
      <w:proofErr w:type="gramStart"/>
      <w:r w:rsidRPr="00C6491A">
        <w:rPr>
          <w:rFonts w:ascii="Times New Roman" w:hAnsi="Times New Roman" w:cs="Times New Roman"/>
          <w:i/>
          <w:iCs/>
          <w:sz w:val="24"/>
          <w:szCs w:val="24"/>
          <w:shd w:val="clear" w:color="auto" w:fill="FFFFFF"/>
        </w:rPr>
        <w:t xml:space="preserve">et </w:t>
      </w:r>
      <w:proofErr w:type="spellStart"/>
      <w:r w:rsidRPr="00C6491A">
        <w:rPr>
          <w:rFonts w:ascii="Times New Roman" w:hAnsi="Times New Roman" w:cs="Times New Roman"/>
          <w:i/>
          <w:iCs/>
          <w:sz w:val="24"/>
          <w:szCs w:val="24"/>
          <w:shd w:val="clear" w:color="auto" w:fill="FFFFFF"/>
        </w:rPr>
        <w:t>Biophysica</w:t>
      </w:r>
      <w:proofErr w:type="spellEnd"/>
      <w:r w:rsidRPr="00C6491A">
        <w:rPr>
          <w:rFonts w:ascii="Times New Roman" w:hAnsi="Times New Roman" w:cs="Times New Roman"/>
          <w:i/>
          <w:iCs/>
          <w:sz w:val="24"/>
          <w:szCs w:val="24"/>
          <w:shd w:val="clear" w:color="auto" w:fill="FFFFFF"/>
        </w:rPr>
        <w:t xml:space="preserve"> </w:t>
      </w:r>
      <w:proofErr w:type="spellStart"/>
      <w:r w:rsidRPr="00C6491A">
        <w:rPr>
          <w:rFonts w:ascii="Times New Roman" w:hAnsi="Times New Roman" w:cs="Times New Roman"/>
          <w:i/>
          <w:iCs/>
          <w:sz w:val="24"/>
          <w:szCs w:val="24"/>
          <w:shd w:val="clear" w:color="auto" w:fill="FFFFFF"/>
        </w:rPr>
        <w:t>Acta</w:t>
      </w:r>
      <w:proofErr w:type="spellEnd"/>
      <w:r w:rsidRPr="00C6491A">
        <w:rPr>
          <w:rFonts w:ascii="Times New Roman" w:hAnsi="Times New Roman" w:cs="Times New Roman"/>
          <w:i/>
          <w:iCs/>
          <w:sz w:val="24"/>
          <w:szCs w:val="24"/>
          <w:shd w:val="clear" w:color="auto" w:fill="FFFFFF"/>
        </w:rPr>
        <w:t xml:space="preserve"> (BBA)-</w:t>
      </w:r>
      <w:proofErr w:type="gramEnd"/>
      <w:r w:rsidRPr="00C6491A">
        <w:rPr>
          <w:rFonts w:ascii="Times New Roman" w:hAnsi="Times New Roman" w:cs="Times New Roman"/>
          <w:i/>
          <w:iCs/>
          <w:sz w:val="24"/>
          <w:szCs w:val="24"/>
          <w:shd w:val="clear" w:color="auto" w:fill="FFFFFF"/>
        </w:rPr>
        <w:t>Molecular Basis of Disease</w:t>
      </w:r>
      <w:r w:rsidRPr="00C6491A">
        <w:rPr>
          <w:rStyle w:val="apple-converted-space"/>
          <w:rFonts w:ascii="Times New Roman" w:hAnsi="Times New Roman" w:cs="Times New Roman"/>
          <w:sz w:val="24"/>
          <w:szCs w:val="24"/>
          <w:shd w:val="clear" w:color="auto" w:fill="FFFFFF"/>
        </w:rPr>
        <w:t> </w:t>
      </w:r>
      <w:r w:rsidRPr="00C6491A">
        <w:rPr>
          <w:rFonts w:ascii="Times New Roman" w:hAnsi="Times New Roman" w:cs="Times New Roman"/>
          <w:sz w:val="24"/>
          <w:szCs w:val="24"/>
          <w:shd w:val="clear" w:color="auto" w:fill="FFFFFF"/>
        </w:rPr>
        <w:t>1762.2 (2006): 256-265.</w:t>
      </w:r>
    </w:p>
    <w:p w14:paraId="3661AF15" w14:textId="77777777" w:rsidR="0035087B" w:rsidRPr="00C6491A" w:rsidRDefault="0009664D">
      <w:pPr>
        <w:rPr>
          <w:rFonts w:ascii="Times New Roman" w:hAnsi="Times New Roman" w:cs="Times New Roman"/>
          <w:sz w:val="24"/>
          <w:szCs w:val="24"/>
        </w:rPr>
      </w:pPr>
      <w:proofErr w:type="spellStart"/>
      <w:r w:rsidRPr="00C6491A">
        <w:rPr>
          <w:rFonts w:ascii="Times New Roman" w:hAnsi="Times New Roman" w:cs="Times New Roman"/>
          <w:sz w:val="24"/>
          <w:szCs w:val="24"/>
          <w:shd w:val="clear" w:color="auto" w:fill="FFFFFF"/>
        </w:rPr>
        <w:t>Sohal</w:t>
      </w:r>
      <w:proofErr w:type="spellEnd"/>
      <w:r w:rsidRPr="00C6491A">
        <w:rPr>
          <w:rFonts w:ascii="Times New Roman" w:hAnsi="Times New Roman" w:cs="Times New Roman"/>
          <w:sz w:val="24"/>
          <w:szCs w:val="24"/>
          <w:shd w:val="clear" w:color="auto" w:fill="FFFFFF"/>
        </w:rPr>
        <w:t xml:space="preserve">, </w:t>
      </w:r>
      <w:proofErr w:type="spellStart"/>
      <w:r w:rsidRPr="00C6491A">
        <w:rPr>
          <w:rFonts w:ascii="Times New Roman" w:hAnsi="Times New Roman" w:cs="Times New Roman"/>
          <w:sz w:val="24"/>
          <w:szCs w:val="24"/>
          <w:shd w:val="clear" w:color="auto" w:fill="FFFFFF"/>
        </w:rPr>
        <w:t>Rajindal</w:t>
      </w:r>
      <w:proofErr w:type="spellEnd"/>
      <w:r w:rsidRPr="00C6491A">
        <w:rPr>
          <w:rFonts w:ascii="Times New Roman" w:hAnsi="Times New Roman" w:cs="Times New Roman"/>
          <w:sz w:val="24"/>
          <w:szCs w:val="24"/>
          <w:shd w:val="clear" w:color="auto" w:fill="FFFFFF"/>
        </w:rPr>
        <w:t xml:space="preserve"> S., Hung-</w:t>
      </w:r>
      <w:proofErr w:type="spellStart"/>
      <w:r w:rsidRPr="00C6491A">
        <w:rPr>
          <w:rFonts w:ascii="Times New Roman" w:hAnsi="Times New Roman" w:cs="Times New Roman"/>
          <w:sz w:val="24"/>
          <w:szCs w:val="24"/>
          <w:shd w:val="clear" w:color="auto" w:fill="FFFFFF"/>
        </w:rPr>
        <w:t>Hai</w:t>
      </w:r>
      <w:proofErr w:type="spellEnd"/>
      <w:r w:rsidRPr="00C6491A">
        <w:rPr>
          <w:rFonts w:ascii="Times New Roman" w:hAnsi="Times New Roman" w:cs="Times New Roman"/>
          <w:sz w:val="24"/>
          <w:szCs w:val="24"/>
          <w:shd w:val="clear" w:color="auto" w:fill="FFFFFF"/>
        </w:rPr>
        <w:t xml:space="preserve"> Ku, </w:t>
      </w:r>
      <w:proofErr w:type="spellStart"/>
      <w:r w:rsidRPr="00C6491A">
        <w:rPr>
          <w:rFonts w:ascii="Times New Roman" w:hAnsi="Times New Roman" w:cs="Times New Roman"/>
          <w:sz w:val="24"/>
          <w:szCs w:val="24"/>
          <w:shd w:val="clear" w:color="auto" w:fill="FFFFFF"/>
        </w:rPr>
        <w:t>Sanjiv</w:t>
      </w:r>
      <w:proofErr w:type="spellEnd"/>
      <w:r w:rsidRPr="00C6491A">
        <w:rPr>
          <w:rFonts w:ascii="Times New Roman" w:hAnsi="Times New Roman" w:cs="Times New Roman"/>
          <w:sz w:val="24"/>
          <w:szCs w:val="24"/>
          <w:shd w:val="clear" w:color="auto" w:fill="FFFFFF"/>
        </w:rPr>
        <w:t xml:space="preserve"> </w:t>
      </w:r>
      <w:proofErr w:type="spellStart"/>
      <w:r w:rsidRPr="00C6491A">
        <w:rPr>
          <w:rFonts w:ascii="Times New Roman" w:hAnsi="Times New Roman" w:cs="Times New Roman"/>
          <w:sz w:val="24"/>
          <w:szCs w:val="24"/>
          <w:shd w:val="clear" w:color="auto" w:fill="FFFFFF"/>
        </w:rPr>
        <w:t>Agarwal</w:t>
      </w:r>
      <w:proofErr w:type="spellEnd"/>
      <w:r w:rsidRPr="00C6491A">
        <w:rPr>
          <w:rFonts w:ascii="Times New Roman" w:hAnsi="Times New Roman" w:cs="Times New Roman"/>
          <w:sz w:val="24"/>
          <w:szCs w:val="24"/>
          <w:shd w:val="clear" w:color="auto" w:fill="FFFFFF"/>
        </w:rPr>
        <w:t xml:space="preserve">, Michael J. Forster, and </w:t>
      </w:r>
      <w:proofErr w:type="spellStart"/>
      <w:r w:rsidRPr="00C6491A">
        <w:rPr>
          <w:rFonts w:ascii="Times New Roman" w:hAnsi="Times New Roman" w:cs="Times New Roman"/>
          <w:sz w:val="24"/>
          <w:szCs w:val="24"/>
          <w:shd w:val="clear" w:color="auto" w:fill="FFFFFF"/>
        </w:rPr>
        <w:t>Harbans</w:t>
      </w:r>
      <w:proofErr w:type="spellEnd"/>
      <w:r w:rsidRPr="00C6491A">
        <w:rPr>
          <w:rFonts w:ascii="Times New Roman" w:hAnsi="Times New Roman" w:cs="Times New Roman"/>
          <w:sz w:val="24"/>
          <w:szCs w:val="24"/>
          <w:shd w:val="clear" w:color="auto" w:fill="FFFFFF"/>
        </w:rPr>
        <w:t xml:space="preserve"> </w:t>
      </w:r>
      <w:proofErr w:type="spellStart"/>
      <w:r w:rsidRPr="00C6491A">
        <w:rPr>
          <w:rFonts w:ascii="Times New Roman" w:hAnsi="Times New Roman" w:cs="Times New Roman"/>
          <w:sz w:val="24"/>
          <w:szCs w:val="24"/>
          <w:shd w:val="clear" w:color="auto" w:fill="FFFFFF"/>
        </w:rPr>
        <w:t>Lal</w:t>
      </w:r>
      <w:proofErr w:type="spellEnd"/>
      <w:r w:rsidRPr="00C6491A">
        <w:rPr>
          <w:rFonts w:ascii="Times New Roman" w:hAnsi="Times New Roman" w:cs="Times New Roman"/>
          <w:sz w:val="24"/>
          <w:szCs w:val="24"/>
          <w:shd w:val="clear" w:color="auto" w:fill="FFFFFF"/>
        </w:rPr>
        <w:t>. "Oxidative Damage, Mitochondrial Oxidant Generation and Antioxidant Defenses during Aging and in Response to Food Restriction in the Mouse."</w:t>
      </w:r>
      <w:r w:rsidRPr="00C6491A">
        <w:rPr>
          <w:rStyle w:val="apple-converted-space"/>
          <w:rFonts w:ascii="Times New Roman" w:hAnsi="Times New Roman" w:cs="Times New Roman"/>
          <w:sz w:val="24"/>
          <w:szCs w:val="24"/>
          <w:shd w:val="clear" w:color="auto" w:fill="FFFFFF"/>
        </w:rPr>
        <w:t> </w:t>
      </w:r>
      <w:r w:rsidRPr="00C6491A">
        <w:rPr>
          <w:rFonts w:ascii="Times New Roman" w:hAnsi="Times New Roman" w:cs="Times New Roman"/>
          <w:i/>
          <w:iCs/>
          <w:sz w:val="24"/>
          <w:szCs w:val="24"/>
          <w:shd w:val="clear" w:color="auto" w:fill="FFFFFF"/>
        </w:rPr>
        <w:t>Mechanisms of Ageing and Development</w:t>
      </w:r>
      <w:r w:rsidRPr="00C6491A">
        <w:rPr>
          <w:rStyle w:val="apple-converted-space"/>
          <w:rFonts w:ascii="Times New Roman" w:hAnsi="Times New Roman" w:cs="Times New Roman"/>
          <w:sz w:val="24"/>
          <w:szCs w:val="24"/>
          <w:shd w:val="clear" w:color="auto" w:fill="FFFFFF"/>
        </w:rPr>
        <w:t> </w:t>
      </w:r>
      <w:r w:rsidRPr="00C6491A">
        <w:rPr>
          <w:rFonts w:ascii="Times New Roman" w:hAnsi="Times New Roman" w:cs="Times New Roman"/>
          <w:sz w:val="24"/>
          <w:szCs w:val="24"/>
          <w:shd w:val="clear" w:color="auto" w:fill="FFFFFF"/>
        </w:rPr>
        <w:t>74.1-2 (1994): 121-33. Print.</w:t>
      </w:r>
    </w:p>
    <w:sectPr w:rsidR="0035087B" w:rsidRPr="00C6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31D"/>
    <w:rsid w:val="00067565"/>
    <w:rsid w:val="0009664D"/>
    <w:rsid w:val="0019192D"/>
    <w:rsid w:val="001E0E05"/>
    <w:rsid w:val="00217DCA"/>
    <w:rsid w:val="00296819"/>
    <w:rsid w:val="002C2EC0"/>
    <w:rsid w:val="003107AF"/>
    <w:rsid w:val="00324A97"/>
    <w:rsid w:val="00346197"/>
    <w:rsid w:val="0035087B"/>
    <w:rsid w:val="004575FE"/>
    <w:rsid w:val="00480218"/>
    <w:rsid w:val="004D2D12"/>
    <w:rsid w:val="006319C0"/>
    <w:rsid w:val="00647894"/>
    <w:rsid w:val="00783B4A"/>
    <w:rsid w:val="007938B5"/>
    <w:rsid w:val="008110F6"/>
    <w:rsid w:val="00833CFC"/>
    <w:rsid w:val="00850E45"/>
    <w:rsid w:val="008B2274"/>
    <w:rsid w:val="008D330B"/>
    <w:rsid w:val="00903D25"/>
    <w:rsid w:val="009111D8"/>
    <w:rsid w:val="0099031D"/>
    <w:rsid w:val="00A1020E"/>
    <w:rsid w:val="00AD2901"/>
    <w:rsid w:val="00AE3DC5"/>
    <w:rsid w:val="00B36EC3"/>
    <w:rsid w:val="00B67DB6"/>
    <w:rsid w:val="00BF3BEF"/>
    <w:rsid w:val="00C6491A"/>
    <w:rsid w:val="00CC4558"/>
    <w:rsid w:val="00CF13D6"/>
    <w:rsid w:val="00D56041"/>
    <w:rsid w:val="00D8135E"/>
    <w:rsid w:val="00E35AD7"/>
    <w:rsid w:val="00F45657"/>
    <w:rsid w:val="00F87DCC"/>
    <w:rsid w:val="00FA172A"/>
    <w:rsid w:val="00FD2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66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087B"/>
  </w:style>
  <w:style w:type="character" w:styleId="Hyperlink">
    <w:name w:val="Hyperlink"/>
    <w:basedOn w:val="DefaultParagraphFont"/>
    <w:uiPriority w:val="99"/>
    <w:semiHidden/>
    <w:unhideWhenUsed/>
    <w:rsid w:val="004D2D12"/>
    <w:rPr>
      <w:color w:val="0000FF"/>
      <w:u w:val="single"/>
    </w:rPr>
  </w:style>
  <w:style w:type="paragraph" w:styleId="BalloonText">
    <w:name w:val="Balloon Text"/>
    <w:basedOn w:val="Normal"/>
    <w:link w:val="BalloonTextChar"/>
    <w:uiPriority w:val="99"/>
    <w:semiHidden/>
    <w:unhideWhenUsed/>
    <w:rsid w:val="00310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7A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087B"/>
  </w:style>
  <w:style w:type="character" w:styleId="Hyperlink">
    <w:name w:val="Hyperlink"/>
    <w:basedOn w:val="DefaultParagraphFont"/>
    <w:uiPriority w:val="99"/>
    <w:semiHidden/>
    <w:unhideWhenUsed/>
    <w:rsid w:val="004D2D12"/>
    <w:rPr>
      <w:color w:val="0000FF"/>
      <w:u w:val="single"/>
    </w:rPr>
  </w:style>
  <w:style w:type="paragraph" w:styleId="BalloonText">
    <w:name w:val="Balloon Text"/>
    <w:basedOn w:val="Normal"/>
    <w:link w:val="BalloonTextChar"/>
    <w:uiPriority w:val="99"/>
    <w:semiHidden/>
    <w:unhideWhenUsed/>
    <w:rsid w:val="00310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7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411074">
      <w:bodyDiv w:val="1"/>
      <w:marLeft w:val="0"/>
      <w:marRight w:val="0"/>
      <w:marTop w:val="0"/>
      <w:marBottom w:val="0"/>
      <w:divBdr>
        <w:top w:val="none" w:sz="0" w:space="0" w:color="auto"/>
        <w:left w:val="none" w:sz="0" w:space="0" w:color="auto"/>
        <w:bottom w:val="none" w:sz="0" w:space="0" w:color="auto"/>
        <w:right w:val="none" w:sz="0" w:space="0" w:color="auto"/>
      </w:divBdr>
    </w:div>
    <w:div w:id="149337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jpe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inead\Downloads\Practice%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inead\Downloads\Practice%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inead\Downloads\Practice%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inead\Downloads\Practice%20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inead\Downloads\Practice%20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inead\Downloads\Practice%20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inead\Downloads\Practice%20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inead\Downloads\Practice%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July 22 - Blank</a:t>
            </a:r>
            <a:r>
              <a:rPr lang="en-US" baseline="0"/>
              <a:t> 1</a:t>
            </a:r>
            <a:endParaRPr lang="en-US"/>
          </a:p>
        </c:rich>
      </c:tx>
      <c:layout/>
      <c:overlay val="0"/>
    </c:title>
    <c:autoTitleDeleted val="0"/>
    <c:plotArea>
      <c:layout/>
      <c:scatterChart>
        <c:scatterStyle val="lineMarker"/>
        <c:varyColors val="0"/>
        <c:ser>
          <c:idx val="0"/>
          <c:order val="0"/>
          <c:spPr>
            <a:ln w="28575">
              <a:noFill/>
            </a:ln>
          </c:spPr>
          <c:xVal>
            <c:numRef>
              <c:f>'[Practice Data.xlsx]Sheet1'!$A$2:$A$53</c:f>
              <c:numCache>
                <c:formatCode>General</c:formatCode>
                <c:ptCount val="52"/>
                <c:pt idx="0">
                  <c:v>0.0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numCache>
            </c:numRef>
          </c:xVal>
          <c:yVal>
            <c:numRef>
              <c:f>'[Practice Data.xlsx]Sheet1'!$B$2:$B$53</c:f>
              <c:numCache>
                <c:formatCode>General</c:formatCode>
                <c:ptCount val="52"/>
                <c:pt idx="0">
                  <c:v>38.2</c:v>
                </c:pt>
                <c:pt idx="1">
                  <c:v>38.2</c:v>
                </c:pt>
                <c:pt idx="2">
                  <c:v>38.2</c:v>
                </c:pt>
                <c:pt idx="3">
                  <c:v>38.1</c:v>
                </c:pt>
                <c:pt idx="4">
                  <c:v>38.1</c:v>
                </c:pt>
                <c:pt idx="5">
                  <c:v>38.1</c:v>
                </c:pt>
                <c:pt idx="6">
                  <c:v>38.0</c:v>
                </c:pt>
                <c:pt idx="7">
                  <c:v>38.0</c:v>
                </c:pt>
                <c:pt idx="8">
                  <c:v>38.0</c:v>
                </c:pt>
                <c:pt idx="9">
                  <c:v>38.0</c:v>
                </c:pt>
                <c:pt idx="10">
                  <c:v>38.0</c:v>
                </c:pt>
                <c:pt idx="11">
                  <c:v>38.0</c:v>
                </c:pt>
                <c:pt idx="12">
                  <c:v>37.9</c:v>
                </c:pt>
                <c:pt idx="13">
                  <c:v>37.9</c:v>
                </c:pt>
                <c:pt idx="14">
                  <c:v>38.1</c:v>
                </c:pt>
                <c:pt idx="15">
                  <c:v>37.3</c:v>
                </c:pt>
                <c:pt idx="16">
                  <c:v>34.4</c:v>
                </c:pt>
                <c:pt idx="17">
                  <c:v>32.5</c:v>
                </c:pt>
                <c:pt idx="18">
                  <c:v>31.5</c:v>
                </c:pt>
                <c:pt idx="19">
                  <c:v>30.8</c:v>
                </c:pt>
                <c:pt idx="20">
                  <c:v>30.4</c:v>
                </c:pt>
                <c:pt idx="21">
                  <c:v>30.2</c:v>
                </c:pt>
                <c:pt idx="22">
                  <c:v>30.2</c:v>
                </c:pt>
                <c:pt idx="23">
                  <c:v>30.1</c:v>
                </c:pt>
                <c:pt idx="24">
                  <c:v>29.9</c:v>
                </c:pt>
                <c:pt idx="25">
                  <c:v>29.9</c:v>
                </c:pt>
                <c:pt idx="26">
                  <c:v>29.8</c:v>
                </c:pt>
                <c:pt idx="27">
                  <c:v>29.8</c:v>
                </c:pt>
                <c:pt idx="28">
                  <c:v>29.8</c:v>
                </c:pt>
                <c:pt idx="29">
                  <c:v>29.7</c:v>
                </c:pt>
                <c:pt idx="30">
                  <c:v>29.7</c:v>
                </c:pt>
                <c:pt idx="31">
                  <c:v>29.7</c:v>
                </c:pt>
                <c:pt idx="32">
                  <c:v>29.6</c:v>
                </c:pt>
                <c:pt idx="33">
                  <c:v>29.6</c:v>
                </c:pt>
                <c:pt idx="34">
                  <c:v>29.5</c:v>
                </c:pt>
                <c:pt idx="35">
                  <c:v>29.5</c:v>
                </c:pt>
                <c:pt idx="36">
                  <c:v>29.4</c:v>
                </c:pt>
                <c:pt idx="37">
                  <c:v>29.7</c:v>
                </c:pt>
                <c:pt idx="38">
                  <c:v>29.5</c:v>
                </c:pt>
                <c:pt idx="39">
                  <c:v>29.2</c:v>
                </c:pt>
                <c:pt idx="40">
                  <c:v>29.1</c:v>
                </c:pt>
                <c:pt idx="41">
                  <c:v>29.2</c:v>
                </c:pt>
                <c:pt idx="42">
                  <c:v>29.2</c:v>
                </c:pt>
                <c:pt idx="43">
                  <c:v>29.3</c:v>
                </c:pt>
                <c:pt idx="44">
                  <c:v>29.3</c:v>
                </c:pt>
                <c:pt idx="45">
                  <c:v>29.3</c:v>
                </c:pt>
                <c:pt idx="46">
                  <c:v>29.3</c:v>
                </c:pt>
                <c:pt idx="47">
                  <c:v>29.3</c:v>
                </c:pt>
                <c:pt idx="48">
                  <c:v>29.3</c:v>
                </c:pt>
                <c:pt idx="49">
                  <c:v>29.3</c:v>
                </c:pt>
                <c:pt idx="50">
                  <c:v>29.4</c:v>
                </c:pt>
                <c:pt idx="51">
                  <c:v>29.4</c:v>
                </c:pt>
              </c:numCache>
            </c:numRef>
          </c:yVal>
          <c:smooth val="0"/>
        </c:ser>
        <c:dLbls>
          <c:showLegendKey val="0"/>
          <c:showVal val="0"/>
          <c:showCatName val="0"/>
          <c:showSerName val="0"/>
          <c:showPercent val="0"/>
          <c:showBubbleSize val="0"/>
        </c:dLbls>
        <c:axId val="2094384056"/>
        <c:axId val="2094390856"/>
      </c:scatterChart>
      <c:valAx>
        <c:axId val="2094384056"/>
        <c:scaling>
          <c:orientation val="minMax"/>
        </c:scaling>
        <c:delete val="0"/>
        <c:axPos val="b"/>
        <c:title>
          <c:tx>
            <c:rich>
              <a:bodyPr/>
              <a:lstStyle/>
              <a:p>
                <a:pPr>
                  <a:defRPr/>
                </a:pPr>
                <a:r>
                  <a:rPr lang="en-US"/>
                  <a:t>Time (sec)</a:t>
                </a:r>
              </a:p>
            </c:rich>
          </c:tx>
          <c:layout/>
          <c:overlay val="0"/>
        </c:title>
        <c:numFmt formatCode="General" sourceLinked="1"/>
        <c:majorTickMark val="out"/>
        <c:minorTickMark val="none"/>
        <c:tickLblPos val="nextTo"/>
        <c:crossAx val="2094390856"/>
        <c:crosses val="autoZero"/>
        <c:crossBetween val="midCat"/>
      </c:valAx>
      <c:valAx>
        <c:axId val="2094390856"/>
        <c:scaling>
          <c:orientation val="minMax"/>
        </c:scaling>
        <c:delete val="0"/>
        <c:axPos val="l"/>
        <c:majorGridlines/>
        <c:title>
          <c:tx>
            <c:rich>
              <a:bodyPr rot="-5400000" vert="horz"/>
              <a:lstStyle/>
              <a:p>
                <a:pPr>
                  <a:defRPr/>
                </a:pPr>
                <a:r>
                  <a:rPr lang="en-US"/>
                  <a:t>% O2</a:t>
                </a:r>
              </a:p>
            </c:rich>
          </c:tx>
          <c:layout/>
          <c:overlay val="0"/>
        </c:title>
        <c:numFmt formatCode="General" sourceLinked="1"/>
        <c:majorTickMark val="out"/>
        <c:minorTickMark val="none"/>
        <c:tickLblPos val="nextTo"/>
        <c:crossAx val="20943840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July 11 - Blank 1</a:t>
            </a:r>
          </a:p>
        </c:rich>
      </c:tx>
      <c:layout/>
      <c:overlay val="0"/>
    </c:title>
    <c:autoTitleDeleted val="0"/>
    <c:plotArea>
      <c:layout/>
      <c:scatterChart>
        <c:scatterStyle val="lineMarker"/>
        <c:varyColors val="0"/>
        <c:ser>
          <c:idx val="0"/>
          <c:order val="0"/>
          <c:spPr>
            <a:ln w="28575">
              <a:noFill/>
            </a:ln>
          </c:spPr>
          <c:xVal>
            <c:numRef>
              <c:f>'[Practice Data.xlsx]Sheet2'!$A$2:$A$46</c:f>
              <c:numCache>
                <c:formatCode>General</c:formatCode>
                <c:ptCount val="45"/>
                <c:pt idx="0">
                  <c:v>0.0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numCache>
            </c:numRef>
          </c:xVal>
          <c:yVal>
            <c:numRef>
              <c:f>'[Practice Data.xlsx]Sheet2'!$B$2:$B$46</c:f>
              <c:numCache>
                <c:formatCode>General</c:formatCode>
                <c:ptCount val="45"/>
                <c:pt idx="0">
                  <c:v>37.6</c:v>
                </c:pt>
                <c:pt idx="1">
                  <c:v>37.6</c:v>
                </c:pt>
                <c:pt idx="2">
                  <c:v>37.6</c:v>
                </c:pt>
                <c:pt idx="3">
                  <c:v>37.7</c:v>
                </c:pt>
                <c:pt idx="4">
                  <c:v>37.7</c:v>
                </c:pt>
                <c:pt idx="5">
                  <c:v>37.7</c:v>
                </c:pt>
                <c:pt idx="6">
                  <c:v>37.7</c:v>
                </c:pt>
                <c:pt idx="7">
                  <c:v>37.8</c:v>
                </c:pt>
                <c:pt idx="8">
                  <c:v>37.7</c:v>
                </c:pt>
                <c:pt idx="9">
                  <c:v>37.8</c:v>
                </c:pt>
                <c:pt idx="10">
                  <c:v>37.8</c:v>
                </c:pt>
                <c:pt idx="11">
                  <c:v>37.9</c:v>
                </c:pt>
                <c:pt idx="12">
                  <c:v>35.8</c:v>
                </c:pt>
                <c:pt idx="13">
                  <c:v>32.0</c:v>
                </c:pt>
                <c:pt idx="14">
                  <c:v>30.2</c:v>
                </c:pt>
                <c:pt idx="15">
                  <c:v>29.4</c:v>
                </c:pt>
                <c:pt idx="16">
                  <c:v>29.0</c:v>
                </c:pt>
                <c:pt idx="17">
                  <c:v>28.8</c:v>
                </c:pt>
                <c:pt idx="18">
                  <c:v>28.6</c:v>
                </c:pt>
                <c:pt idx="19">
                  <c:v>28.4</c:v>
                </c:pt>
                <c:pt idx="20">
                  <c:v>28.2</c:v>
                </c:pt>
                <c:pt idx="21">
                  <c:v>28.1</c:v>
                </c:pt>
                <c:pt idx="22">
                  <c:v>27.9</c:v>
                </c:pt>
                <c:pt idx="23">
                  <c:v>27.9</c:v>
                </c:pt>
                <c:pt idx="24">
                  <c:v>27.9</c:v>
                </c:pt>
                <c:pt idx="25">
                  <c:v>27.9</c:v>
                </c:pt>
                <c:pt idx="26">
                  <c:v>28.0</c:v>
                </c:pt>
                <c:pt idx="27">
                  <c:v>27.8</c:v>
                </c:pt>
                <c:pt idx="28">
                  <c:v>27.7</c:v>
                </c:pt>
                <c:pt idx="29">
                  <c:v>27.6</c:v>
                </c:pt>
                <c:pt idx="30">
                  <c:v>27.4</c:v>
                </c:pt>
                <c:pt idx="31">
                  <c:v>27.5</c:v>
                </c:pt>
                <c:pt idx="32">
                  <c:v>27.4</c:v>
                </c:pt>
                <c:pt idx="33">
                  <c:v>27.1</c:v>
                </c:pt>
                <c:pt idx="34">
                  <c:v>27.0</c:v>
                </c:pt>
                <c:pt idx="35">
                  <c:v>27.0</c:v>
                </c:pt>
                <c:pt idx="36">
                  <c:v>27.2</c:v>
                </c:pt>
                <c:pt idx="37">
                  <c:v>27.3</c:v>
                </c:pt>
                <c:pt idx="38">
                  <c:v>27.3</c:v>
                </c:pt>
                <c:pt idx="39">
                  <c:v>27.2</c:v>
                </c:pt>
                <c:pt idx="40">
                  <c:v>27.1</c:v>
                </c:pt>
                <c:pt idx="41">
                  <c:v>27.1</c:v>
                </c:pt>
                <c:pt idx="42">
                  <c:v>27.1</c:v>
                </c:pt>
                <c:pt idx="43">
                  <c:v>27.1</c:v>
                </c:pt>
                <c:pt idx="44">
                  <c:v>27.3</c:v>
                </c:pt>
              </c:numCache>
            </c:numRef>
          </c:yVal>
          <c:smooth val="0"/>
        </c:ser>
        <c:dLbls>
          <c:showLegendKey val="0"/>
          <c:showVal val="0"/>
          <c:showCatName val="0"/>
          <c:showSerName val="0"/>
          <c:showPercent val="0"/>
          <c:showBubbleSize val="0"/>
        </c:dLbls>
        <c:axId val="2094469272"/>
        <c:axId val="2094474936"/>
      </c:scatterChart>
      <c:valAx>
        <c:axId val="2094469272"/>
        <c:scaling>
          <c:orientation val="minMax"/>
        </c:scaling>
        <c:delete val="0"/>
        <c:axPos val="b"/>
        <c:title>
          <c:tx>
            <c:rich>
              <a:bodyPr/>
              <a:lstStyle/>
              <a:p>
                <a:pPr>
                  <a:defRPr/>
                </a:pPr>
                <a:r>
                  <a:rPr lang="en-US"/>
                  <a:t>Time</a:t>
                </a:r>
                <a:r>
                  <a:rPr lang="en-US" baseline="0"/>
                  <a:t> (sec)</a:t>
                </a:r>
                <a:endParaRPr lang="en-US"/>
              </a:p>
            </c:rich>
          </c:tx>
          <c:layout/>
          <c:overlay val="0"/>
        </c:title>
        <c:numFmt formatCode="General" sourceLinked="1"/>
        <c:majorTickMark val="out"/>
        <c:minorTickMark val="none"/>
        <c:tickLblPos val="nextTo"/>
        <c:crossAx val="2094474936"/>
        <c:crosses val="autoZero"/>
        <c:crossBetween val="midCat"/>
      </c:valAx>
      <c:valAx>
        <c:axId val="2094474936"/>
        <c:scaling>
          <c:orientation val="minMax"/>
        </c:scaling>
        <c:delete val="0"/>
        <c:axPos val="l"/>
        <c:majorGridlines/>
        <c:title>
          <c:tx>
            <c:rich>
              <a:bodyPr rot="-5400000" vert="horz"/>
              <a:lstStyle/>
              <a:p>
                <a:pPr>
                  <a:defRPr/>
                </a:pPr>
                <a:r>
                  <a:rPr lang="en-US"/>
                  <a:t>% O2</a:t>
                </a:r>
              </a:p>
            </c:rich>
          </c:tx>
          <c:layout/>
          <c:overlay val="0"/>
        </c:title>
        <c:numFmt formatCode="General" sourceLinked="1"/>
        <c:majorTickMark val="out"/>
        <c:minorTickMark val="none"/>
        <c:tickLblPos val="nextTo"/>
        <c:crossAx val="209446927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July 11</a:t>
            </a:r>
            <a:r>
              <a:rPr lang="en-US" baseline="0"/>
              <a:t> - Blank 2</a:t>
            </a:r>
          </a:p>
        </c:rich>
      </c:tx>
      <c:layout/>
      <c:overlay val="0"/>
    </c:title>
    <c:autoTitleDeleted val="0"/>
    <c:plotArea>
      <c:layout/>
      <c:scatterChart>
        <c:scatterStyle val="lineMarker"/>
        <c:varyColors val="0"/>
        <c:ser>
          <c:idx val="0"/>
          <c:order val="0"/>
          <c:spPr>
            <a:ln w="28575">
              <a:noFill/>
            </a:ln>
          </c:spPr>
          <c:xVal>
            <c:numRef>
              <c:f>'[Practice Data.xlsx]Sheet2'!$C$2:$C$57</c:f>
              <c:numCache>
                <c:formatCode>General</c:formatCode>
                <c:ptCount val="56"/>
                <c:pt idx="0">
                  <c:v>0.0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numCache>
            </c:numRef>
          </c:xVal>
          <c:yVal>
            <c:numRef>
              <c:f>'[Practice Data.xlsx]Sheet2'!$D$2:$D$57</c:f>
              <c:numCache>
                <c:formatCode>General</c:formatCode>
                <c:ptCount val="56"/>
                <c:pt idx="0">
                  <c:v>35.0</c:v>
                </c:pt>
                <c:pt idx="1">
                  <c:v>35.0</c:v>
                </c:pt>
                <c:pt idx="2">
                  <c:v>35.0</c:v>
                </c:pt>
                <c:pt idx="3">
                  <c:v>35.1</c:v>
                </c:pt>
                <c:pt idx="4">
                  <c:v>35.1</c:v>
                </c:pt>
                <c:pt idx="5">
                  <c:v>35.1</c:v>
                </c:pt>
                <c:pt idx="6">
                  <c:v>35.1</c:v>
                </c:pt>
                <c:pt idx="7">
                  <c:v>35.1</c:v>
                </c:pt>
                <c:pt idx="8">
                  <c:v>35.1</c:v>
                </c:pt>
                <c:pt idx="9">
                  <c:v>35.1</c:v>
                </c:pt>
                <c:pt idx="10">
                  <c:v>35.1</c:v>
                </c:pt>
                <c:pt idx="11">
                  <c:v>35.2</c:v>
                </c:pt>
                <c:pt idx="12">
                  <c:v>34.5</c:v>
                </c:pt>
                <c:pt idx="13">
                  <c:v>31.9</c:v>
                </c:pt>
                <c:pt idx="14">
                  <c:v>29.5</c:v>
                </c:pt>
                <c:pt idx="15">
                  <c:v>28.3</c:v>
                </c:pt>
                <c:pt idx="16">
                  <c:v>27.6</c:v>
                </c:pt>
                <c:pt idx="17">
                  <c:v>27.2</c:v>
                </c:pt>
                <c:pt idx="18">
                  <c:v>26.9</c:v>
                </c:pt>
                <c:pt idx="19">
                  <c:v>26.6</c:v>
                </c:pt>
                <c:pt idx="20">
                  <c:v>26.5</c:v>
                </c:pt>
                <c:pt idx="21">
                  <c:v>26.3</c:v>
                </c:pt>
                <c:pt idx="22">
                  <c:v>26.1</c:v>
                </c:pt>
                <c:pt idx="23">
                  <c:v>26.1</c:v>
                </c:pt>
                <c:pt idx="24">
                  <c:v>25.9</c:v>
                </c:pt>
                <c:pt idx="25">
                  <c:v>25.7</c:v>
                </c:pt>
                <c:pt idx="26">
                  <c:v>25.8</c:v>
                </c:pt>
                <c:pt idx="27">
                  <c:v>25.7</c:v>
                </c:pt>
                <c:pt idx="28">
                  <c:v>25.7</c:v>
                </c:pt>
                <c:pt idx="29">
                  <c:v>25.7</c:v>
                </c:pt>
                <c:pt idx="30">
                  <c:v>25.7</c:v>
                </c:pt>
                <c:pt idx="31">
                  <c:v>25.6</c:v>
                </c:pt>
                <c:pt idx="32">
                  <c:v>25.5</c:v>
                </c:pt>
                <c:pt idx="33">
                  <c:v>25.5</c:v>
                </c:pt>
                <c:pt idx="34">
                  <c:v>25.5</c:v>
                </c:pt>
                <c:pt idx="35">
                  <c:v>25.5</c:v>
                </c:pt>
                <c:pt idx="36">
                  <c:v>25.5</c:v>
                </c:pt>
                <c:pt idx="37">
                  <c:v>25.4</c:v>
                </c:pt>
                <c:pt idx="38">
                  <c:v>25.4</c:v>
                </c:pt>
                <c:pt idx="39">
                  <c:v>25.2</c:v>
                </c:pt>
                <c:pt idx="40">
                  <c:v>25.0</c:v>
                </c:pt>
                <c:pt idx="41">
                  <c:v>24.8</c:v>
                </c:pt>
                <c:pt idx="42">
                  <c:v>24.8</c:v>
                </c:pt>
                <c:pt idx="43">
                  <c:v>24.8</c:v>
                </c:pt>
                <c:pt idx="44">
                  <c:v>24.8</c:v>
                </c:pt>
                <c:pt idx="45">
                  <c:v>24.8</c:v>
                </c:pt>
                <c:pt idx="46">
                  <c:v>24.7</c:v>
                </c:pt>
                <c:pt idx="47">
                  <c:v>24.7</c:v>
                </c:pt>
                <c:pt idx="48">
                  <c:v>24.7</c:v>
                </c:pt>
                <c:pt idx="49">
                  <c:v>24.6</c:v>
                </c:pt>
                <c:pt idx="50">
                  <c:v>24.6</c:v>
                </c:pt>
                <c:pt idx="51">
                  <c:v>24.5</c:v>
                </c:pt>
                <c:pt idx="52">
                  <c:v>24.5</c:v>
                </c:pt>
                <c:pt idx="53">
                  <c:v>24.6</c:v>
                </c:pt>
                <c:pt idx="54">
                  <c:v>24.6</c:v>
                </c:pt>
                <c:pt idx="55">
                  <c:v>24.5</c:v>
                </c:pt>
              </c:numCache>
            </c:numRef>
          </c:yVal>
          <c:smooth val="0"/>
        </c:ser>
        <c:dLbls>
          <c:showLegendKey val="0"/>
          <c:showVal val="0"/>
          <c:showCatName val="0"/>
          <c:showSerName val="0"/>
          <c:showPercent val="0"/>
          <c:showBubbleSize val="0"/>
        </c:dLbls>
        <c:axId val="2094502872"/>
        <c:axId val="2094508312"/>
      </c:scatterChart>
      <c:valAx>
        <c:axId val="2094502872"/>
        <c:scaling>
          <c:orientation val="minMax"/>
        </c:scaling>
        <c:delete val="0"/>
        <c:axPos val="b"/>
        <c:title>
          <c:tx>
            <c:rich>
              <a:bodyPr/>
              <a:lstStyle/>
              <a:p>
                <a:pPr>
                  <a:defRPr/>
                </a:pPr>
                <a:r>
                  <a:rPr lang="en-US"/>
                  <a:t>Time (sec)</a:t>
                </a:r>
              </a:p>
            </c:rich>
          </c:tx>
          <c:layout/>
          <c:overlay val="0"/>
        </c:title>
        <c:numFmt formatCode="General" sourceLinked="1"/>
        <c:majorTickMark val="out"/>
        <c:minorTickMark val="none"/>
        <c:tickLblPos val="nextTo"/>
        <c:crossAx val="2094508312"/>
        <c:crosses val="autoZero"/>
        <c:crossBetween val="midCat"/>
      </c:valAx>
      <c:valAx>
        <c:axId val="2094508312"/>
        <c:scaling>
          <c:orientation val="minMax"/>
        </c:scaling>
        <c:delete val="0"/>
        <c:axPos val="l"/>
        <c:majorGridlines/>
        <c:title>
          <c:tx>
            <c:rich>
              <a:bodyPr rot="-5400000" vert="horz"/>
              <a:lstStyle/>
              <a:p>
                <a:pPr>
                  <a:defRPr/>
                </a:pPr>
                <a:r>
                  <a:rPr lang="en-US"/>
                  <a:t>% O2</a:t>
                </a:r>
              </a:p>
            </c:rich>
          </c:tx>
          <c:layout/>
          <c:overlay val="0"/>
        </c:title>
        <c:numFmt formatCode="General" sourceLinked="1"/>
        <c:majorTickMark val="out"/>
        <c:minorTickMark val="none"/>
        <c:tickLblPos val="nextTo"/>
        <c:crossAx val="209450287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July 11 - Blank 3</a:t>
            </a:r>
          </a:p>
        </c:rich>
      </c:tx>
      <c:layout/>
      <c:overlay val="0"/>
    </c:title>
    <c:autoTitleDeleted val="0"/>
    <c:plotArea>
      <c:layout/>
      <c:scatterChart>
        <c:scatterStyle val="lineMarker"/>
        <c:varyColors val="0"/>
        <c:ser>
          <c:idx val="0"/>
          <c:order val="0"/>
          <c:spPr>
            <a:ln w="28575">
              <a:noFill/>
            </a:ln>
          </c:spPr>
          <c:xVal>
            <c:numRef>
              <c:f>'[Practice Data.xlsx]Sheet2'!$E$2:$E$55</c:f>
              <c:numCache>
                <c:formatCode>General</c:formatCode>
                <c:ptCount val="54"/>
                <c:pt idx="0">
                  <c:v>0.0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numCache>
            </c:numRef>
          </c:xVal>
          <c:yVal>
            <c:numRef>
              <c:f>'[Practice Data.xlsx]Sheet2'!$F$2:$F$55</c:f>
              <c:numCache>
                <c:formatCode>General</c:formatCode>
                <c:ptCount val="54"/>
                <c:pt idx="0">
                  <c:v>37.8</c:v>
                </c:pt>
                <c:pt idx="1">
                  <c:v>37.8</c:v>
                </c:pt>
                <c:pt idx="2">
                  <c:v>37.8</c:v>
                </c:pt>
                <c:pt idx="3">
                  <c:v>37.8</c:v>
                </c:pt>
                <c:pt idx="4">
                  <c:v>37.8</c:v>
                </c:pt>
                <c:pt idx="5">
                  <c:v>37.8</c:v>
                </c:pt>
                <c:pt idx="6">
                  <c:v>37.8</c:v>
                </c:pt>
                <c:pt idx="7">
                  <c:v>37.8</c:v>
                </c:pt>
                <c:pt idx="8">
                  <c:v>37.8</c:v>
                </c:pt>
                <c:pt idx="9">
                  <c:v>37.8</c:v>
                </c:pt>
                <c:pt idx="10">
                  <c:v>37.8</c:v>
                </c:pt>
                <c:pt idx="11">
                  <c:v>37.8</c:v>
                </c:pt>
                <c:pt idx="12">
                  <c:v>37.8</c:v>
                </c:pt>
                <c:pt idx="13">
                  <c:v>37.7</c:v>
                </c:pt>
                <c:pt idx="14">
                  <c:v>35.5</c:v>
                </c:pt>
                <c:pt idx="15">
                  <c:v>31.9</c:v>
                </c:pt>
                <c:pt idx="16">
                  <c:v>29.5</c:v>
                </c:pt>
                <c:pt idx="17">
                  <c:v>28.3</c:v>
                </c:pt>
                <c:pt idx="18">
                  <c:v>27.5</c:v>
                </c:pt>
                <c:pt idx="19">
                  <c:v>27.1</c:v>
                </c:pt>
                <c:pt idx="20">
                  <c:v>26.7</c:v>
                </c:pt>
                <c:pt idx="21">
                  <c:v>26.5</c:v>
                </c:pt>
                <c:pt idx="22">
                  <c:v>26.3</c:v>
                </c:pt>
                <c:pt idx="23">
                  <c:v>26.2</c:v>
                </c:pt>
                <c:pt idx="24">
                  <c:v>26.0</c:v>
                </c:pt>
                <c:pt idx="25">
                  <c:v>25.9</c:v>
                </c:pt>
                <c:pt idx="26">
                  <c:v>25.8</c:v>
                </c:pt>
                <c:pt idx="27">
                  <c:v>25.7</c:v>
                </c:pt>
                <c:pt idx="28">
                  <c:v>25.7</c:v>
                </c:pt>
                <c:pt idx="29">
                  <c:v>25.6</c:v>
                </c:pt>
                <c:pt idx="30">
                  <c:v>25.6</c:v>
                </c:pt>
                <c:pt idx="31">
                  <c:v>25.5</c:v>
                </c:pt>
                <c:pt idx="32">
                  <c:v>25.5</c:v>
                </c:pt>
                <c:pt idx="33">
                  <c:v>25.4</c:v>
                </c:pt>
                <c:pt idx="34">
                  <c:v>25.4</c:v>
                </c:pt>
                <c:pt idx="35">
                  <c:v>25.3</c:v>
                </c:pt>
                <c:pt idx="36">
                  <c:v>25.3</c:v>
                </c:pt>
                <c:pt idx="37">
                  <c:v>25.3</c:v>
                </c:pt>
                <c:pt idx="38">
                  <c:v>25.2</c:v>
                </c:pt>
                <c:pt idx="39">
                  <c:v>25.2</c:v>
                </c:pt>
                <c:pt idx="40">
                  <c:v>25.2</c:v>
                </c:pt>
                <c:pt idx="41">
                  <c:v>25.2</c:v>
                </c:pt>
                <c:pt idx="42">
                  <c:v>25.2</c:v>
                </c:pt>
                <c:pt idx="43">
                  <c:v>25.1</c:v>
                </c:pt>
                <c:pt idx="44">
                  <c:v>24.9</c:v>
                </c:pt>
                <c:pt idx="45">
                  <c:v>24.8</c:v>
                </c:pt>
                <c:pt idx="46">
                  <c:v>24.7</c:v>
                </c:pt>
                <c:pt idx="47">
                  <c:v>24.7</c:v>
                </c:pt>
                <c:pt idx="48">
                  <c:v>24.7</c:v>
                </c:pt>
                <c:pt idx="49">
                  <c:v>24.7</c:v>
                </c:pt>
                <c:pt idx="50">
                  <c:v>24.6</c:v>
                </c:pt>
                <c:pt idx="51">
                  <c:v>24.6</c:v>
                </c:pt>
                <c:pt idx="52">
                  <c:v>24.7</c:v>
                </c:pt>
                <c:pt idx="53">
                  <c:v>24.6</c:v>
                </c:pt>
              </c:numCache>
            </c:numRef>
          </c:yVal>
          <c:smooth val="0"/>
        </c:ser>
        <c:dLbls>
          <c:showLegendKey val="0"/>
          <c:showVal val="0"/>
          <c:showCatName val="0"/>
          <c:showSerName val="0"/>
          <c:showPercent val="0"/>
          <c:showBubbleSize val="0"/>
        </c:dLbls>
        <c:axId val="2094536568"/>
        <c:axId val="2094542008"/>
      </c:scatterChart>
      <c:valAx>
        <c:axId val="2094536568"/>
        <c:scaling>
          <c:orientation val="minMax"/>
        </c:scaling>
        <c:delete val="0"/>
        <c:axPos val="b"/>
        <c:title>
          <c:tx>
            <c:rich>
              <a:bodyPr/>
              <a:lstStyle/>
              <a:p>
                <a:pPr>
                  <a:defRPr/>
                </a:pPr>
                <a:r>
                  <a:rPr lang="en-US"/>
                  <a:t>Time (sec)</a:t>
                </a:r>
              </a:p>
            </c:rich>
          </c:tx>
          <c:layout/>
          <c:overlay val="0"/>
        </c:title>
        <c:numFmt formatCode="General" sourceLinked="1"/>
        <c:majorTickMark val="out"/>
        <c:minorTickMark val="none"/>
        <c:tickLblPos val="nextTo"/>
        <c:crossAx val="2094542008"/>
        <c:crosses val="autoZero"/>
        <c:crossBetween val="midCat"/>
      </c:valAx>
      <c:valAx>
        <c:axId val="2094542008"/>
        <c:scaling>
          <c:orientation val="minMax"/>
        </c:scaling>
        <c:delete val="0"/>
        <c:axPos val="l"/>
        <c:majorGridlines/>
        <c:title>
          <c:tx>
            <c:rich>
              <a:bodyPr rot="-5400000" vert="horz"/>
              <a:lstStyle/>
              <a:p>
                <a:pPr>
                  <a:defRPr/>
                </a:pPr>
                <a:r>
                  <a:rPr lang="en-US"/>
                  <a:t>% O2</a:t>
                </a:r>
              </a:p>
            </c:rich>
          </c:tx>
          <c:layout/>
          <c:overlay val="0"/>
        </c:title>
        <c:numFmt formatCode="General" sourceLinked="1"/>
        <c:majorTickMark val="out"/>
        <c:minorTickMark val="none"/>
        <c:tickLblPos val="nextTo"/>
        <c:crossAx val="2094536568"/>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July 11 - Blank</a:t>
            </a:r>
            <a:r>
              <a:rPr lang="en-US" baseline="0"/>
              <a:t> 4</a:t>
            </a:r>
            <a:endParaRPr lang="en-US"/>
          </a:p>
        </c:rich>
      </c:tx>
      <c:layout/>
      <c:overlay val="0"/>
    </c:title>
    <c:autoTitleDeleted val="0"/>
    <c:plotArea>
      <c:layout/>
      <c:scatterChart>
        <c:scatterStyle val="lineMarker"/>
        <c:varyColors val="0"/>
        <c:ser>
          <c:idx val="0"/>
          <c:order val="0"/>
          <c:spPr>
            <a:ln w="28575">
              <a:noFill/>
            </a:ln>
          </c:spPr>
          <c:xVal>
            <c:numRef>
              <c:f>'[Practice Data.xlsx]Sheet2'!$G$2:$G$62</c:f>
              <c:numCache>
                <c:formatCode>General</c:formatCode>
                <c:ptCount val="61"/>
                <c:pt idx="0">
                  <c:v>0.0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pt idx="35">
                  <c:v>175.0</c:v>
                </c:pt>
                <c:pt idx="36">
                  <c:v>180.0</c:v>
                </c:pt>
                <c:pt idx="37">
                  <c:v>185.0</c:v>
                </c:pt>
                <c:pt idx="38">
                  <c:v>190.0</c:v>
                </c:pt>
                <c:pt idx="39">
                  <c:v>195.0</c:v>
                </c:pt>
                <c:pt idx="40">
                  <c:v>200.0</c:v>
                </c:pt>
                <c:pt idx="41">
                  <c:v>205.0</c:v>
                </c:pt>
                <c:pt idx="42">
                  <c:v>210.0</c:v>
                </c:pt>
                <c:pt idx="43">
                  <c:v>215.0</c:v>
                </c:pt>
                <c:pt idx="44">
                  <c:v>220.0</c:v>
                </c:pt>
                <c:pt idx="45">
                  <c:v>225.0</c:v>
                </c:pt>
                <c:pt idx="46">
                  <c:v>230.0</c:v>
                </c:pt>
                <c:pt idx="47">
                  <c:v>235.0</c:v>
                </c:pt>
                <c:pt idx="48">
                  <c:v>240.0</c:v>
                </c:pt>
                <c:pt idx="49">
                  <c:v>245.0</c:v>
                </c:pt>
                <c:pt idx="50">
                  <c:v>250.0</c:v>
                </c:pt>
                <c:pt idx="51">
                  <c:v>255.0</c:v>
                </c:pt>
                <c:pt idx="52">
                  <c:v>260.0</c:v>
                </c:pt>
                <c:pt idx="53">
                  <c:v>265.0</c:v>
                </c:pt>
                <c:pt idx="54">
                  <c:v>270.0</c:v>
                </c:pt>
                <c:pt idx="55">
                  <c:v>275.0</c:v>
                </c:pt>
                <c:pt idx="56">
                  <c:v>280.0</c:v>
                </c:pt>
                <c:pt idx="57">
                  <c:v>285.0</c:v>
                </c:pt>
                <c:pt idx="58">
                  <c:v>290.0</c:v>
                </c:pt>
                <c:pt idx="59">
                  <c:v>295.0</c:v>
                </c:pt>
                <c:pt idx="60">
                  <c:v>300.0</c:v>
                </c:pt>
              </c:numCache>
            </c:numRef>
          </c:xVal>
          <c:yVal>
            <c:numRef>
              <c:f>'[Practice Data.xlsx]Sheet2'!$H$2:$H$62</c:f>
              <c:numCache>
                <c:formatCode>General</c:formatCode>
                <c:ptCount val="61"/>
                <c:pt idx="0">
                  <c:v>36.1</c:v>
                </c:pt>
                <c:pt idx="1">
                  <c:v>36.1</c:v>
                </c:pt>
                <c:pt idx="2">
                  <c:v>36.1</c:v>
                </c:pt>
                <c:pt idx="3">
                  <c:v>36.1</c:v>
                </c:pt>
                <c:pt idx="4">
                  <c:v>36.1</c:v>
                </c:pt>
                <c:pt idx="5">
                  <c:v>36.1</c:v>
                </c:pt>
                <c:pt idx="6">
                  <c:v>36.1</c:v>
                </c:pt>
                <c:pt idx="7">
                  <c:v>36.1</c:v>
                </c:pt>
                <c:pt idx="8">
                  <c:v>36.1</c:v>
                </c:pt>
                <c:pt idx="9">
                  <c:v>36.1</c:v>
                </c:pt>
                <c:pt idx="10">
                  <c:v>36.1</c:v>
                </c:pt>
                <c:pt idx="11">
                  <c:v>36.1</c:v>
                </c:pt>
                <c:pt idx="12">
                  <c:v>33.6</c:v>
                </c:pt>
                <c:pt idx="13">
                  <c:v>30.2</c:v>
                </c:pt>
                <c:pt idx="14">
                  <c:v>27.7</c:v>
                </c:pt>
                <c:pt idx="15">
                  <c:v>26.1</c:v>
                </c:pt>
                <c:pt idx="16">
                  <c:v>25.2</c:v>
                </c:pt>
                <c:pt idx="17">
                  <c:v>24.8</c:v>
                </c:pt>
                <c:pt idx="18">
                  <c:v>24.5</c:v>
                </c:pt>
                <c:pt idx="19">
                  <c:v>24.3</c:v>
                </c:pt>
                <c:pt idx="20">
                  <c:v>24.1</c:v>
                </c:pt>
                <c:pt idx="21">
                  <c:v>23.8</c:v>
                </c:pt>
                <c:pt idx="22">
                  <c:v>23.4</c:v>
                </c:pt>
                <c:pt idx="23">
                  <c:v>23.1</c:v>
                </c:pt>
                <c:pt idx="24">
                  <c:v>23.2</c:v>
                </c:pt>
                <c:pt idx="25">
                  <c:v>23.2</c:v>
                </c:pt>
                <c:pt idx="26">
                  <c:v>23.0</c:v>
                </c:pt>
                <c:pt idx="27">
                  <c:v>22.8</c:v>
                </c:pt>
                <c:pt idx="28">
                  <c:v>22.6</c:v>
                </c:pt>
                <c:pt idx="29">
                  <c:v>22.5</c:v>
                </c:pt>
                <c:pt idx="30">
                  <c:v>22.2</c:v>
                </c:pt>
                <c:pt idx="31">
                  <c:v>21.9</c:v>
                </c:pt>
                <c:pt idx="32">
                  <c:v>21.9</c:v>
                </c:pt>
                <c:pt idx="33">
                  <c:v>22.1</c:v>
                </c:pt>
                <c:pt idx="34">
                  <c:v>22.3</c:v>
                </c:pt>
                <c:pt idx="35">
                  <c:v>23.2</c:v>
                </c:pt>
                <c:pt idx="36">
                  <c:v>23.0</c:v>
                </c:pt>
                <c:pt idx="37">
                  <c:v>22.6</c:v>
                </c:pt>
                <c:pt idx="38">
                  <c:v>22.4</c:v>
                </c:pt>
                <c:pt idx="39">
                  <c:v>22.3</c:v>
                </c:pt>
                <c:pt idx="40">
                  <c:v>22.2</c:v>
                </c:pt>
                <c:pt idx="41">
                  <c:v>22.4</c:v>
                </c:pt>
                <c:pt idx="42">
                  <c:v>22.4</c:v>
                </c:pt>
                <c:pt idx="43">
                  <c:v>22.1</c:v>
                </c:pt>
                <c:pt idx="44">
                  <c:v>22.0</c:v>
                </c:pt>
                <c:pt idx="45">
                  <c:v>21.9</c:v>
                </c:pt>
                <c:pt idx="46">
                  <c:v>21.7</c:v>
                </c:pt>
                <c:pt idx="47">
                  <c:v>21.6</c:v>
                </c:pt>
                <c:pt idx="48">
                  <c:v>21.4</c:v>
                </c:pt>
                <c:pt idx="49">
                  <c:v>21.3</c:v>
                </c:pt>
                <c:pt idx="50">
                  <c:v>21.4</c:v>
                </c:pt>
                <c:pt idx="51">
                  <c:v>21.3</c:v>
                </c:pt>
                <c:pt idx="52">
                  <c:v>21.2</c:v>
                </c:pt>
                <c:pt idx="53">
                  <c:v>21.1</c:v>
                </c:pt>
                <c:pt idx="54">
                  <c:v>20.9</c:v>
                </c:pt>
                <c:pt idx="55">
                  <c:v>20.8</c:v>
                </c:pt>
                <c:pt idx="56">
                  <c:v>20.7</c:v>
                </c:pt>
                <c:pt idx="57">
                  <c:v>20.7</c:v>
                </c:pt>
                <c:pt idx="58">
                  <c:v>20.8</c:v>
                </c:pt>
                <c:pt idx="59">
                  <c:v>21.0</c:v>
                </c:pt>
                <c:pt idx="60">
                  <c:v>21.1</c:v>
                </c:pt>
              </c:numCache>
            </c:numRef>
          </c:yVal>
          <c:smooth val="0"/>
        </c:ser>
        <c:dLbls>
          <c:showLegendKey val="0"/>
          <c:showVal val="0"/>
          <c:showCatName val="0"/>
          <c:showSerName val="0"/>
          <c:showPercent val="0"/>
          <c:showBubbleSize val="0"/>
        </c:dLbls>
        <c:axId val="2094570440"/>
        <c:axId val="2094575880"/>
      </c:scatterChart>
      <c:valAx>
        <c:axId val="2094570440"/>
        <c:scaling>
          <c:orientation val="minMax"/>
        </c:scaling>
        <c:delete val="0"/>
        <c:axPos val="b"/>
        <c:title>
          <c:tx>
            <c:rich>
              <a:bodyPr/>
              <a:lstStyle/>
              <a:p>
                <a:pPr>
                  <a:defRPr/>
                </a:pPr>
                <a:r>
                  <a:rPr lang="en-US"/>
                  <a:t>Time (sec)</a:t>
                </a:r>
              </a:p>
            </c:rich>
          </c:tx>
          <c:layout/>
          <c:overlay val="0"/>
        </c:title>
        <c:numFmt formatCode="General" sourceLinked="1"/>
        <c:majorTickMark val="out"/>
        <c:minorTickMark val="none"/>
        <c:tickLblPos val="nextTo"/>
        <c:crossAx val="2094575880"/>
        <c:crosses val="autoZero"/>
        <c:crossBetween val="midCat"/>
      </c:valAx>
      <c:valAx>
        <c:axId val="2094575880"/>
        <c:scaling>
          <c:orientation val="minMax"/>
        </c:scaling>
        <c:delete val="0"/>
        <c:axPos val="l"/>
        <c:majorGridlines/>
        <c:title>
          <c:tx>
            <c:rich>
              <a:bodyPr rot="-5400000" vert="horz"/>
              <a:lstStyle/>
              <a:p>
                <a:pPr>
                  <a:defRPr/>
                </a:pPr>
                <a:r>
                  <a:rPr lang="en-US"/>
                  <a:t>% O2</a:t>
                </a:r>
              </a:p>
            </c:rich>
          </c:tx>
          <c:layout/>
          <c:overlay val="0"/>
        </c:title>
        <c:numFmt formatCode="General" sourceLinked="1"/>
        <c:majorTickMark val="out"/>
        <c:minorTickMark val="none"/>
        <c:tickLblPos val="nextTo"/>
        <c:crossAx val="2094570440"/>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July</a:t>
            </a:r>
            <a:r>
              <a:rPr lang="en-US" baseline="0"/>
              <a:t> 8 - </a:t>
            </a:r>
            <a:r>
              <a:rPr lang="en-US"/>
              <a:t>Blank 1</a:t>
            </a:r>
          </a:p>
        </c:rich>
      </c:tx>
      <c:layout/>
      <c:overlay val="0"/>
    </c:title>
    <c:autoTitleDeleted val="0"/>
    <c:plotArea>
      <c:layout/>
      <c:scatterChart>
        <c:scatterStyle val="lineMarker"/>
        <c:varyColors val="0"/>
        <c:ser>
          <c:idx val="0"/>
          <c:order val="0"/>
          <c:spPr>
            <a:ln w="28575">
              <a:noFill/>
            </a:ln>
          </c:spPr>
          <c:xVal>
            <c:numRef>
              <c:f>'[Practice Data.xlsx]Sheet3'!$A$2:$A$36</c:f>
              <c:numCache>
                <c:formatCode>General</c:formatCode>
                <c:ptCount val="35"/>
                <c:pt idx="0">
                  <c:v>0.0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pt idx="33">
                  <c:v>165.0</c:v>
                </c:pt>
                <c:pt idx="34">
                  <c:v>170.0</c:v>
                </c:pt>
              </c:numCache>
            </c:numRef>
          </c:xVal>
          <c:yVal>
            <c:numRef>
              <c:f>'[Practice Data.xlsx]Sheet3'!$B$2:$B$36</c:f>
              <c:numCache>
                <c:formatCode>General</c:formatCode>
                <c:ptCount val="35"/>
                <c:pt idx="0">
                  <c:v>43.4</c:v>
                </c:pt>
                <c:pt idx="1">
                  <c:v>43.4</c:v>
                </c:pt>
                <c:pt idx="2">
                  <c:v>43.4</c:v>
                </c:pt>
                <c:pt idx="3">
                  <c:v>43.4</c:v>
                </c:pt>
                <c:pt idx="4">
                  <c:v>43.5</c:v>
                </c:pt>
                <c:pt idx="5">
                  <c:v>43.4</c:v>
                </c:pt>
                <c:pt idx="6">
                  <c:v>43.4</c:v>
                </c:pt>
                <c:pt idx="7">
                  <c:v>43.4</c:v>
                </c:pt>
                <c:pt idx="8">
                  <c:v>43.3</c:v>
                </c:pt>
                <c:pt idx="9">
                  <c:v>43.3</c:v>
                </c:pt>
                <c:pt idx="10">
                  <c:v>41.1</c:v>
                </c:pt>
                <c:pt idx="11">
                  <c:v>37.8</c:v>
                </c:pt>
                <c:pt idx="12">
                  <c:v>36.1</c:v>
                </c:pt>
                <c:pt idx="13">
                  <c:v>35.5</c:v>
                </c:pt>
                <c:pt idx="14">
                  <c:v>35.5</c:v>
                </c:pt>
                <c:pt idx="15">
                  <c:v>35.3</c:v>
                </c:pt>
                <c:pt idx="16">
                  <c:v>35.0</c:v>
                </c:pt>
                <c:pt idx="17">
                  <c:v>35.2</c:v>
                </c:pt>
                <c:pt idx="18">
                  <c:v>35.4</c:v>
                </c:pt>
                <c:pt idx="19">
                  <c:v>35.0</c:v>
                </c:pt>
                <c:pt idx="20">
                  <c:v>34.6</c:v>
                </c:pt>
                <c:pt idx="21">
                  <c:v>34.3</c:v>
                </c:pt>
                <c:pt idx="22">
                  <c:v>33.8</c:v>
                </c:pt>
                <c:pt idx="23">
                  <c:v>34.1</c:v>
                </c:pt>
                <c:pt idx="24">
                  <c:v>34.2</c:v>
                </c:pt>
                <c:pt idx="25">
                  <c:v>34.0</c:v>
                </c:pt>
                <c:pt idx="26">
                  <c:v>34.2</c:v>
                </c:pt>
                <c:pt idx="27">
                  <c:v>34.2</c:v>
                </c:pt>
                <c:pt idx="28">
                  <c:v>33.9</c:v>
                </c:pt>
                <c:pt idx="29">
                  <c:v>33.9</c:v>
                </c:pt>
                <c:pt idx="30">
                  <c:v>34.1</c:v>
                </c:pt>
                <c:pt idx="31">
                  <c:v>34.1</c:v>
                </c:pt>
                <c:pt idx="32">
                  <c:v>34.0</c:v>
                </c:pt>
                <c:pt idx="33">
                  <c:v>34.0</c:v>
                </c:pt>
                <c:pt idx="34">
                  <c:v>34.0</c:v>
                </c:pt>
              </c:numCache>
            </c:numRef>
          </c:yVal>
          <c:smooth val="0"/>
        </c:ser>
        <c:dLbls>
          <c:showLegendKey val="0"/>
          <c:showVal val="0"/>
          <c:showCatName val="0"/>
          <c:showSerName val="0"/>
          <c:showPercent val="0"/>
          <c:showBubbleSize val="0"/>
        </c:dLbls>
        <c:axId val="2062348920"/>
        <c:axId val="2062354328"/>
      </c:scatterChart>
      <c:valAx>
        <c:axId val="2062348920"/>
        <c:scaling>
          <c:orientation val="minMax"/>
        </c:scaling>
        <c:delete val="0"/>
        <c:axPos val="b"/>
        <c:title>
          <c:tx>
            <c:rich>
              <a:bodyPr/>
              <a:lstStyle/>
              <a:p>
                <a:pPr>
                  <a:defRPr/>
                </a:pPr>
                <a:r>
                  <a:rPr lang="en-US"/>
                  <a:t>Time (sec)</a:t>
                </a:r>
              </a:p>
            </c:rich>
          </c:tx>
          <c:layout/>
          <c:overlay val="0"/>
        </c:title>
        <c:numFmt formatCode="General" sourceLinked="1"/>
        <c:majorTickMark val="out"/>
        <c:minorTickMark val="none"/>
        <c:tickLblPos val="nextTo"/>
        <c:crossAx val="2062354328"/>
        <c:crosses val="autoZero"/>
        <c:crossBetween val="midCat"/>
      </c:valAx>
      <c:valAx>
        <c:axId val="2062354328"/>
        <c:scaling>
          <c:orientation val="minMax"/>
        </c:scaling>
        <c:delete val="0"/>
        <c:axPos val="l"/>
        <c:majorGridlines/>
        <c:title>
          <c:tx>
            <c:rich>
              <a:bodyPr rot="-5400000" vert="horz"/>
              <a:lstStyle/>
              <a:p>
                <a:pPr>
                  <a:defRPr/>
                </a:pPr>
                <a:r>
                  <a:rPr lang="en-US"/>
                  <a:t>% O</a:t>
                </a:r>
                <a:r>
                  <a:rPr lang="en-US" sz="800"/>
                  <a:t>2</a:t>
                </a:r>
              </a:p>
            </c:rich>
          </c:tx>
          <c:layout/>
          <c:overlay val="0"/>
        </c:title>
        <c:numFmt formatCode="General" sourceLinked="1"/>
        <c:majorTickMark val="out"/>
        <c:minorTickMark val="none"/>
        <c:tickLblPos val="nextTo"/>
        <c:crossAx val="2062348920"/>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July 8 - Blank 2</a:t>
            </a:r>
          </a:p>
        </c:rich>
      </c:tx>
      <c:overlay val="0"/>
    </c:title>
    <c:autoTitleDeleted val="0"/>
    <c:plotArea>
      <c:layout/>
      <c:scatterChart>
        <c:scatterStyle val="lineMarker"/>
        <c:varyColors val="0"/>
        <c:ser>
          <c:idx val="0"/>
          <c:order val="0"/>
          <c:spPr>
            <a:ln w="28575">
              <a:noFill/>
            </a:ln>
          </c:spPr>
          <c:xVal>
            <c:numRef>
              <c:f>'[Practice Data.xlsx]Sheet3'!$C$2:$C$31</c:f>
              <c:numCache>
                <c:formatCode>General</c:formatCode>
                <c:ptCount val="30"/>
                <c:pt idx="0">
                  <c:v>0.0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numCache>
            </c:numRef>
          </c:xVal>
          <c:yVal>
            <c:numRef>
              <c:f>'[Practice Data.xlsx]Sheet3'!$D$2:$D$31</c:f>
              <c:numCache>
                <c:formatCode>General</c:formatCode>
                <c:ptCount val="30"/>
                <c:pt idx="0">
                  <c:v>41.7</c:v>
                </c:pt>
                <c:pt idx="1">
                  <c:v>41.7</c:v>
                </c:pt>
                <c:pt idx="2">
                  <c:v>41.7</c:v>
                </c:pt>
                <c:pt idx="3">
                  <c:v>41.8</c:v>
                </c:pt>
                <c:pt idx="4">
                  <c:v>41.7</c:v>
                </c:pt>
                <c:pt idx="5">
                  <c:v>41.7</c:v>
                </c:pt>
                <c:pt idx="6">
                  <c:v>41.8</c:v>
                </c:pt>
                <c:pt idx="7">
                  <c:v>41.7</c:v>
                </c:pt>
                <c:pt idx="8">
                  <c:v>41.7</c:v>
                </c:pt>
                <c:pt idx="9">
                  <c:v>41.6</c:v>
                </c:pt>
                <c:pt idx="10">
                  <c:v>38.8</c:v>
                </c:pt>
                <c:pt idx="11">
                  <c:v>35.6</c:v>
                </c:pt>
                <c:pt idx="12">
                  <c:v>33.5</c:v>
                </c:pt>
                <c:pt idx="13">
                  <c:v>32.3</c:v>
                </c:pt>
                <c:pt idx="14">
                  <c:v>31.4</c:v>
                </c:pt>
                <c:pt idx="15">
                  <c:v>30.9</c:v>
                </c:pt>
                <c:pt idx="16">
                  <c:v>30.6</c:v>
                </c:pt>
                <c:pt idx="17">
                  <c:v>30.5</c:v>
                </c:pt>
                <c:pt idx="18">
                  <c:v>30.5</c:v>
                </c:pt>
                <c:pt idx="19">
                  <c:v>30.6</c:v>
                </c:pt>
                <c:pt idx="20">
                  <c:v>30.7</c:v>
                </c:pt>
                <c:pt idx="21">
                  <c:v>30.7</c:v>
                </c:pt>
                <c:pt idx="22">
                  <c:v>30.7</c:v>
                </c:pt>
                <c:pt idx="23">
                  <c:v>30.7</c:v>
                </c:pt>
                <c:pt idx="24">
                  <c:v>30.6</c:v>
                </c:pt>
                <c:pt idx="25">
                  <c:v>30.7</c:v>
                </c:pt>
                <c:pt idx="26">
                  <c:v>30.8</c:v>
                </c:pt>
                <c:pt idx="27">
                  <c:v>30.3</c:v>
                </c:pt>
                <c:pt idx="28">
                  <c:v>29.8</c:v>
                </c:pt>
                <c:pt idx="29">
                  <c:v>29.8</c:v>
                </c:pt>
              </c:numCache>
            </c:numRef>
          </c:yVal>
          <c:smooth val="0"/>
        </c:ser>
        <c:dLbls>
          <c:showLegendKey val="0"/>
          <c:showVal val="0"/>
          <c:showCatName val="0"/>
          <c:showSerName val="0"/>
          <c:showPercent val="0"/>
          <c:showBubbleSize val="0"/>
        </c:dLbls>
        <c:axId val="2062402328"/>
        <c:axId val="2062407752"/>
      </c:scatterChart>
      <c:valAx>
        <c:axId val="2062402328"/>
        <c:scaling>
          <c:orientation val="minMax"/>
        </c:scaling>
        <c:delete val="0"/>
        <c:axPos val="b"/>
        <c:title>
          <c:tx>
            <c:rich>
              <a:bodyPr/>
              <a:lstStyle/>
              <a:p>
                <a:pPr>
                  <a:defRPr/>
                </a:pPr>
                <a:r>
                  <a:rPr lang="en-US"/>
                  <a:t>Time (sec)</a:t>
                </a:r>
              </a:p>
            </c:rich>
          </c:tx>
          <c:layout>
            <c:manualLayout>
              <c:xMode val="edge"/>
              <c:yMode val="edge"/>
              <c:x val="0.463055086150761"/>
              <c:y val="0.933888776723422"/>
            </c:manualLayout>
          </c:layout>
          <c:overlay val="0"/>
        </c:title>
        <c:numFmt formatCode="General" sourceLinked="1"/>
        <c:majorTickMark val="out"/>
        <c:minorTickMark val="none"/>
        <c:tickLblPos val="nextTo"/>
        <c:crossAx val="2062407752"/>
        <c:crosses val="autoZero"/>
        <c:crossBetween val="midCat"/>
      </c:valAx>
      <c:valAx>
        <c:axId val="2062407752"/>
        <c:scaling>
          <c:orientation val="minMax"/>
        </c:scaling>
        <c:delete val="0"/>
        <c:axPos val="l"/>
        <c:majorGridlines/>
        <c:title>
          <c:tx>
            <c:rich>
              <a:bodyPr rot="-5400000" vert="horz"/>
              <a:lstStyle/>
              <a:p>
                <a:pPr>
                  <a:defRPr/>
                </a:pPr>
                <a:r>
                  <a:rPr lang="en-US" sz="1800" b="1" i="0" baseline="0">
                    <a:effectLst/>
                  </a:rPr>
                  <a:t>% O2</a:t>
                </a:r>
                <a:endParaRPr lang="en-US">
                  <a:effectLst/>
                </a:endParaRPr>
              </a:p>
            </c:rich>
          </c:tx>
          <c:overlay val="0"/>
        </c:title>
        <c:numFmt formatCode="General" sourceLinked="1"/>
        <c:majorTickMark val="out"/>
        <c:minorTickMark val="none"/>
        <c:tickLblPos val="nextTo"/>
        <c:crossAx val="2062402328"/>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July 8 - Blank 3</a:t>
            </a:r>
            <a:endParaRPr lang="en-US">
              <a:effectLst/>
            </a:endParaRPr>
          </a:p>
        </c:rich>
      </c:tx>
      <c:overlay val="0"/>
    </c:title>
    <c:autoTitleDeleted val="0"/>
    <c:plotArea>
      <c:layout/>
      <c:scatterChart>
        <c:scatterStyle val="lineMarker"/>
        <c:varyColors val="0"/>
        <c:ser>
          <c:idx val="0"/>
          <c:order val="0"/>
          <c:spPr>
            <a:ln w="28575">
              <a:noFill/>
            </a:ln>
          </c:spPr>
          <c:xVal>
            <c:numRef>
              <c:f>'[Practice Data.xlsx]Sheet3'!$E$2:$E$34</c:f>
              <c:numCache>
                <c:formatCode>General</c:formatCode>
                <c:ptCount val="33"/>
                <c:pt idx="0">
                  <c:v>0.0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pt idx="21">
                  <c:v>105.0</c:v>
                </c:pt>
                <c:pt idx="22">
                  <c:v>110.0</c:v>
                </c:pt>
                <c:pt idx="23">
                  <c:v>115.0</c:v>
                </c:pt>
                <c:pt idx="24">
                  <c:v>120.0</c:v>
                </c:pt>
                <c:pt idx="25">
                  <c:v>125.0</c:v>
                </c:pt>
                <c:pt idx="26">
                  <c:v>130.0</c:v>
                </c:pt>
                <c:pt idx="27">
                  <c:v>135.0</c:v>
                </c:pt>
                <c:pt idx="28">
                  <c:v>140.0</c:v>
                </c:pt>
                <c:pt idx="29">
                  <c:v>145.0</c:v>
                </c:pt>
                <c:pt idx="30">
                  <c:v>150.0</c:v>
                </c:pt>
                <c:pt idx="31">
                  <c:v>155.0</c:v>
                </c:pt>
                <c:pt idx="32">
                  <c:v>160.0</c:v>
                </c:pt>
              </c:numCache>
            </c:numRef>
          </c:xVal>
          <c:yVal>
            <c:numRef>
              <c:f>'[Practice Data.xlsx]Sheet3'!$F$2:$F$34</c:f>
              <c:numCache>
                <c:formatCode>General</c:formatCode>
                <c:ptCount val="33"/>
                <c:pt idx="0">
                  <c:v>44.0</c:v>
                </c:pt>
                <c:pt idx="1">
                  <c:v>43.9</c:v>
                </c:pt>
                <c:pt idx="2">
                  <c:v>43.9</c:v>
                </c:pt>
                <c:pt idx="3">
                  <c:v>43.9</c:v>
                </c:pt>
                <c:pt idx="4">
                  <c:v>43.9</c:v>
                </c:pt>
                <c:pt idx="5">
                  <c:v>44.0</c:v>
                </c:pt>
                <c:pt idx="6">
                  <c:v>44.0</c:v>
                </c:pt>
                <c:pt idx="7">
                  <c:v>44.0</c:v>
                </c:pt>
                <c:pt idx="8">
                  <c:v>44.0</c:v>
                </c:pt>
                <c:pt idx="9">
                  <c:v>44.0</c:v>
                </c:pt>
                <c:pt idx="10">
                  <c:v>43.9</c:v>
                </c:pt>
                <c:pt idx="11">
                  <c:v>43.9</c:v>
                </c:pt>
                <c:pt idx="12">
                  <c:v>43.3</c:v>
                </c:pt>
                <c:pt idx="13">
                  <c:v>39.1</c:v>
                </c:pt>
                <c:pt idx="14">
                  <c:v>35.7</c:v>
                </c:pt>
                <c:pt idx="15">
                  <c:v>33.6</c:v>
                </c:pt>
                <c:pt idx="16">
                  <c:v>32.2</c:v>
                </c:pt>
                <c:pt idx="17">
                  <c:v>31.2</c:v>
                </c:pt>
                <c:pt idx="18">
                  <c:v>30.6</c:v>
                </c:pt>
                <c:pt idx="19">
                  <c:v>30.0</c:v>
                </c:pt>
                <c:pt idx="20">
                  <c:v>29.6</c:v>
                </c:pt>
                <c:pt idx="21">
                  <c:v>29.2</c:v>
                </c:pt>
                <c:pt idx="22">
                  <c:v>29.0</c:v>
                </c:pt>
                <c:pt idx="23">
                  <c:v>28.7</c:v>
                </c:pt>
                <c:pt idx="24">
                  <c:v>28.6</c:v>
                </c:pt>
                <c:pt idx="25">
                  <c:v>28.4</c:v>
                </c:pt>
                <c:pt idx="26">
                  <c:v>28.2</c:v>
                </c:pt>
                <c:pt idx="27">
                  <c:v>28.0</c:v>
                </c:pt>
                <c:pt idx="28">
                  <c:v>27.7</c:v>
                </c:pt>
                <c:pt idx="29">
                  <c:v>27.4</c:v>
                </c:pt>
                <c:pt idx="30">
                  <c:v>27.2</c:v>
                </c:pt>
                <c:pt idx="31">
                  <c:v>26.9</c:v>
                </c:pt>
                <c:pt idx="32">
                  <c:v>27.0</c:v>
                </c:pt>
              </c:numCache>
            </c:numRef>
          </c:yVal>
          <c:smooth val="0"/>
        </c:ser>
        <c:dLbls>
          <c:showLegendKey val="0"/>
          <c:showVal val="0"/>
          <c:showCatName val="0"/>
          <c:showSerName val="0"/>
          <c:showPercent val="0"/>
          <c:showBubbleSize val="0"/>
        </c:dLbls>
        <c:axId val="2061800360"/>
        <c:axId val="2061794952"/>
      </c:scatterChart>
      <c:valAx>
        <c:axId val="2061800360"/>
        <c:scaling>
          <c:orientation val="minMax"/>
        </c:scaling>
        <c:delete val="0"/>
        <c:axPos val="b"/>
        <c:title>
          <c:tx>
            <c:rich>
              <a:bodyPr/>
              <a:lstStyle/>
              <a:p>
                <a:pPr>
                  <a:defRPr/>
                </a:pPr>
                <a:r>
                  <a:rPr lang="en-US"/>
                  <a:t>Time (sec)</a:t>
                </a:r>
              </a:p>
            </c:rich>
          </c:tx>
          <c:overlay val="0"/>
        </c:title>
        <c:numFmt formatCode="General" sourceLinked="1"/>
        <c:majorTickMark val="out"/>
        <c:minorTickMark val="none"/>
        <c:tickLblPos val="nextTo"/>
        <c:crossAx val="2061794952"/>
        <c:crosses val="autoZero"/>
        <c:crossBetween val="midCat"/>
      </c:valAx>
      <c:valAx>
        <c:axId val="2061794952"/>
        <c:scaling>
          <c:orientation val="minMax"/>
        </c:scaling>
        <c:delete val="0"/>
        <c:axPos val="l"/>
        <c:majorGridlines/>
        <c:title>
          <c:tx>
            <c:rich>
              <a:bodyPr rot="-5400000" vert="horz"/>
              <a:lstStyle/>
              <a:p>
                <a:pPr>
                  <a:defRPr/>
                </a:pPr>
                <a:r>
                  <a:rPr lang="en-US"/>
                  <a:t>% O2</a:t>
                </a:r>
              </a:p>
            </c:rich>
          </c:tx>
          <c:overlay val="0"/>
        </c:title>
        <c:numFmt formatCode="General" sourceLinked="1"/>
        <c:majorTickMark val="out"/>
        <c:minorTickMark val="none"/>
        <c:tickLblPos val="nextTo"/>
        <c:crossAx val="206180036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1265</Words>
  <Characters>7212</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Marian University</Company>
  <LinksUpToDate>false</LinksUpToDate>
  <CharactersWithSpaces>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MarianROC MarianROC</dc:creator>
  <cp:lastModifiedBy>Syed</cp:lastModifiedBy>
  <cp:revision>2</cp:revision>
  <dcterms:created xsi:type="dcterms:W3CDTF">2013-08-28T14:11:00Z</dcterms:created>
  <dcterms:modified xsi:type="dcterms:W3CDTF">2013-08-28T14:11:00Z</dcterms:modified>
</cp:coreProperties>
</file>