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Professional Practices Groups</w:t>
      </w:r>
      <w:r>
        <w:rPr>
          <w:b/>
          <w:sz w:val="48"/>
          <w:szCs w:val="48"/>
        </w:rPr>
      </w:r>
    </w:p>
    <w:p>
      <w:pPr>
        <w:pBdr/>
        <w:spacing/>
        <w:ind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Section C10 </w:t>
      </w:r>
      <w:r>
        <w:rPr>
          <w:b/>
          <w:sz w:val="44"/>
          <w:szCs w:val="44"/>
        </w:rPr>
      </w:r>
    </w:p>
    <w:tbl>
      <w:tblPr>
        <w:tblStyle w:val="668"/>
        <w:tblInd w:w="-1106" w:type="dxa"/>
        <w:tblW w:w="11855" w:type="dxa"/>
        <w:tblBorders/>
        <w:tblLayout w:type="fixed"/>
        <w:tblLook w:val="04A0" w:firstRow="1" w:lastRow="0" w:firstColumn="1" w:lastColumn="0" w:noHBand="0" w:noVBand="1"/>
      </w:tblPr>
      <w:tblGrid>
        <w:gridCol w:w="1845"/>
        <w:gridCol w:w="1790"/>
        <w:gridCol w:w="1984"/>
        <w:gridCol w:w="1559"/>
        <w:gridCol w:w="4677"/>
      </w:tblGrid>
      <w:tr>
        <w:trPr>
          <w:trHeight w:val="701"/>
        </w:trPr>
        <w:tc>
          <w:tcPr>
            <w:tcBorders/>
            <w:tcW w:w="18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Group No</w:t>
            </w:r>
            <w:r>
              <w:rPr>
                <w:sz w:val="36"/>
                <w:szCs w:val="36"/>
              </w:rPr>
            </w:r>
          </w:p>
        </w:tc>
        <w:tc>
          <w:tcPr>
            <w:tcBorders/>
            <w:tcW w:w="179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</w:t>
            </w:r>
            <w:r>
              <w:rPr>
                <w:b/>
                <w:sz w:val="32"/>
                <w:szCs w:val="32"/>
              </w:rPr>
              <w:t xml:space="preserve"> Member1</w:t>
            </w:r>
            <w:r>
              <w:rPr>
                <w:b/>
                <w:sz w:val="32"/>
                <w:szCs w:val="32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</w:t>
            </w:r>
            <w:r>
              <w:rPr>
                <w:b/>
                <w:sz w:val="32"/>
                <w:szCs w:val="32"/>
              </w:rPr>
              <w:t xml:space="preserve"> Member2</w:t>
            </w:r>
            <w:r>
              <w:rPr>
                <w:b/>
                <w:sz w:val="32"/>
                <w:szCs w:val="32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Member3</w:t>
            </w:r>
            <w:r>
              <w:rPr>
                <w:b/>
                <w:sz w:val="32"/>
                <w:szCs w:val="32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</w:r>
            <w:r>
              <w:rPr>
                <w:b/>
                <w:sz w:val="32"/>
                <w:szCs w:val="32"/>
              </w:rPr>
            </w:r>
          </w:p>
        </w:tc>
      </w:tr>
      <w:tr>
        <w:trPr>
          <w:trHeight w:val="847"/>
        </w:trPr>
        <w:tc>
          <w:tcPr>
            <w:tcBorders/>
            <w:tcW w:w="18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Group 1</w:t>
            </w:r>
            <w:r>
              <w:rPr>
                <w:b/>
              </w:rPr>
            </w:r>
          </w:p>
        </w:tc>
        <w:tc>
          <w:tcPr>
            <w:gridSpan w:val="3"/>
            <w:tcBorders/>
            <w:tcW w:w="533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Hamza Riaz-0856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24"/>
                <w:szCs w:val="24"/>
              </w:rPr>
              <w:t xml:space="preserve">Hadia Asad-0860</w:t>
            </w:r>
            <w:r>
              <w:rPr>
                <w:b/>
                <w:sz w:val="44"/>
                <w:szCs w:val="4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tabs>
                <w:tab w:val="left" w:leader="none" w:pos="720"/>
                <w:tab w:val="left" w:leader="none" w:pos="1440"/>
                <w:tab w:val="left" w:leader="none" w:pos="2160"/>
              </w:tabs>
              <w:spacing w:after="0" w:line="240" w:lineRule="auto"/>
              <w:ind/>
              <w:rPr>
                <w:rFonts w:ascii="Arial" w:hAnsi="Arial" w:cs="Arial"/>
                <w:highlight w:val="green"/>
              </w:rPr>
            </w:pPr>
            <w:r>
              <w:rPr>
                <w:rFonts w:ascii="Arial" w:hAnsi="Arial" w:cs="Arial"/>
                <w:b/>
                <w:highlight w:val="green"/>
              </w:rPr>
              <w:t xml:space="preserve">Computer and Internet Crime</w:t>
            </w:r>
            <w:r>
              <w:rPr>
                <w:rFonts w:ascii="Arial" w:hAnsi="Arial" w:cs="Arial"/>
                <w:highlight w:val="green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44"/>
                <w:szCs w:val="44"/>
              </w:rPr>
            </w:pPr>
            <w:r>
              <w:rPr>
                <w:rFonts w:ascii="Arial" w:hAnsi="Arial" w:cs="Arial"/>
                <w:highlight w:val="green"/>
              </w:rPr>
              <w:t xml:space="preserve">Hacking, Theft and Credit Card Fraud, Scams &amp; Forgery</w:t>
            </w:r>
            <w:r>
              <w:rPr>
                <w:b/>
                <w:sz w:val="44"/>
                <w:szCs w:val="44"/>
              </w:rPr>
            </w:r>
          </w:p>
        </w:tc>
      </w:tr>
      <w:tr>
        <w:trPr>
          <w:trHeight w:val="467"/>
        </w:trPr>
        <w:tc>
          <w:tcPr>
            <w:tcBorders/>
            <w:tcW w:w="18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Group2</w:t>
            </w:r>
            <w:r>
              <w:rPr>
                <w:b/>
              </w:rPr>
            </w:r>
          </w:p>
        </w:tc>
        <w:tc>
          <w:tcPr>
            <w:gridSpan w:val="3"/>
            <w:tcBorders/>
            <w:tcW w:w="533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Talha khurram-0938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Salman Farooq-0829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Waleed Rehan-1024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green"/>
              </w:rPr>
            </w:pPr>
            <w:r>
              <w:rPr>
                <w:highlight w:val="green"/>
              </w:rPr>
            </w:r>
            <w:r>
              <w:rPr>
                <w:highlight w:val="green"/>
              </w:rPr>
            </w:r>
          </w:p>
          <w:p>
            <w:pPr>
              <w:pStyle w:val="669"/>
              <w:pBdr/>
              <w:spacing w:after="0" w:line="240" w:lineRule="auto"/>
              <w:ind w:left="0"/>
              <w:contextualSpacing w:val="true"/>
              <w:jc w:val="both"/>
              <w:rPr>
                <w:rFonts w:ascii="Arial" w:hAnsi="Arial"/>
                <w:sz w:val="20"/>
                <w:szCs w:val="20"/>
                <w:highlight w:val="green"/>
                <w14:ligatures w14:val="standardContextual"/>
              </w:rPr>
            </w:pPr>
            <w:r>
              <w:rPr>
                <w:rFonts w:ascii="Arial" w:hAnsi="Arial"/>
                <w:sz w:val="20"/>
                <w:szCs w:val="20"/>
                <w:highlight w:val="green"/>
                <w14:ligatures w14:val="standardContextual"/>
              </w:rPr>
              <w:t xml:space="preserve">What are the Cyber Crime Laws of Pakistan?</w:t>
            </w:r>
            <w:r>
              <w:rPr>
                <w:rFonts w:ascii="Arial" w:hAnsi="Arial"/>
                <w:sz w:val="20"/>
                <w:szCs w:val="20"/>
                <w:highlight w:val="green"/>
                <w14:ligatures w14:val="standardContextual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  <w:highlight w:val="green"/>
                <w14:ligatures w14:val="standardContextual"/>
              </w:rPr>
            </w:pPr>
            <w:r>
              <w:rPr>
                <w:rFonts w:ascii="Arial" w:hAnsi="Arial"/>
                <w:highlight w:val="green"/>
              </w:rPr>
              <w:t xml:space="preserve">What initiative Pakistan has taken to control Cyber Electronic Crime?</w:t>
            </w:r>
            <w:r>
              <w:rPr>
                <w:sz w:val="24"/>
                <w:szCs w:val="24"/>
                <w:highlight w:val="green"/>
                <w14:ligatures w14:val="standardContextual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919"/>
        </w:trPr>
        <w:tc>
          <w:tcPr>
            <w:tcBorders/>
            <w:tcW w:w="18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Group3</w:t>
            </w:r>
            <w:r>
              <w:rPr>
                <w:b/>
              </w:rPr>
            </w:r>
          </w:p>
        </w:tc>
        <w:tc>
          <w:tcPr>
            <w:gridSpan w:val="3"/>
            <w:tcBorders/>
            <w:tcW w:w="533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Javeria Arshad-1015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Shumaima</w:t>
            </w:r>
            <w:r>
              <w:rPr>
                <w:b/>
                <w:sz w:val="24"/>
                <w:szCs w:val="24"/>
              </w:rPr>
              <w:t xml:space="preserve"> Fatima-0740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Esha Shareef-1019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b/>
                <w:highlight w:val="yellow"/>
                <w:u w:val="single"/>
              </w:rPr>
            </w:pPr>
            <w:r>
              <w:rPr>
                <w:rFonts w:ascii="Arial" w:hAnsi="Arial" w:cs="Arial"/>
                <w:b/>
                <w:highlight w:val="yellow"/>
                <w:u w:val="single"/>
              </w:rPr>
              <w:t xml:space="preserve">Errors Failures and Risks</w:t>
            </w:r>
            <w:r>
              <w:rPr>
                <w:rFonts w:ascii="Arial" w:hAnsi="Arial" w:cs="Arial"/>
                <w:b/>
                <w:highlight w:val="yellow"/>
                <w:u w:val="single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highlight w:val="yellow"/>
              </w:rPr>
              <w:t xml:space="preserve">Failures and Errors in Computer Systems</w:t>
            </w:r>
            <w:r>
              <w:rPr>
                <w:rFonts w:ascii="Arial" w:hAnsi="Arial" w:cs="Arial"/>
                <w:highlight w:val="yellow"/>
              </w:rPr>
            </w:r>
          </w:p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Case Study: The Therac-25</w:t>
            </w:r>
            <w:r>
              <w:rPr>
                <w:highlight w:val="yellow"/>
              </w:rPr>
            </w:r>
          </w:p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Reasons  for occurrence of  incidents</w:t>
            </w:r>
            <w:r>
              <w:rPr>
                <w:highlight w:val="yellow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highlight w:val="yellow"/>
              </w:rPr>
              <w:t xml:space="preserve">Increasing Reliability and Safety</w:t>
            </w: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1335"/>
        </w:trPr>
        <w:tc>
          <w:tcPr>
            <w:tcBorders/>
            <w:tcW w:w="18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Group4</w:t>
            </w:r>
            <w:r>
              <w:rPr>
                <w:b/>
              </w:rPr>
            </w:r>
          </w:p>
        </w:tc>
        <w:tc>
          <w:tcPr>
            <w:gridSpan w:val="3"/>
            <w:tcBorders/>
            <w:tcW w:w="533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Abdullah ali-0426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Usman sajjad-0149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Ali hamza-1037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Social Networking </w:t>
            </w:r>
            <w:r>
              <w:rPr>
                <w:highlight w:val="yellow"/>
              </w:rPr>
            </w:r>
          </w:p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What is a Social Networking Website?</w:t>
            </w:r>
            <w:r>
              <w:rPr>
                <w:highlight w:val="yellow"/>
              </w:rPr>
            </w:r>
          </w:p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Business Applications of online Social Networking</w:t>
            </w:r>
            <w:r>
              <w:rPr>
                <w:highlight w:val="yellow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919"/>
        </w:trPr>
        <w:tc>
          <w:tcPr>
            <w:tcBorders/>
            <w:tcW w:w="18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Group5</w:t>
            </w:r>
            <w:r>
              <w:rPr>
                <w:b/>
              </w:rPr>
            </w:r>
          </w:p>
        </w:tc>
        <w:tc>
          <w:tcPr>
            <w:gridSpan w:val="3"/>
            <w:tcBorders/>
            <w:tcW w:w="533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Muhammad hammad-0761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Eshan suhail-1064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 .Farhan-0462 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highlight w:val="green"/>
              </w:rPr>
            </w:pPr>
            <w:r>
              <w:rPr>
                <w:highlight w:val="green"/>
              </w:rPr>
              <w:t xml:space="preserve">Social network Advertising </w:t>
            </w:r>
            <w:r>
              <w:rPr>
                <w:highlight w:val="green"/>
              </w:rPr>
            </w:r>
          </w:p>
          <w:p>
            <w:pPr>
              <w:pBdr/>
              <w:spacing/>
              <w:ind/>
              <w:rPr>
                <w:highlight w:val="green"/>
              </w:rPr>
            </w:pPr>
            <w:r>
              <w:rPr>
                <w:highlight w:val="green"/>
              </w:rPr>
              <w:t xml:space="preserve">The use of social networks in the hiring process</w:t>
            </w:r>
            <w:r>
              <w:rPr>
                <w:highlight w:val="green"/>
              </w:rPr>
            </w:r>
          </w:p>
          <w:p>
            <w:pPr>
              <w:pBdr/>
              <w:spacing/>
              <w:ind/>
              <w:rPr>
                <w:highlight w:val="green"/>
              </w:rPr>
            </w:pPr>
            <w:r>
              <w:rPr>
                <w:highlight w:val="green"/>
              </w:rPr>
              <w:t xml:space="preserve">Social shopping website </w:t>
            </w:r>
            <w:r>
              <w:rPr>
                <w:highlight w:val="green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865"/>
        </w:trPr>
        <w:tc>
          <w:tcPr>
            <w:tcBorders/>
            <w:tcW w:w="18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Group6</w:t>
            </w:r>
            <w:r>
              <w:rPr>
                <w:b/>
              </w:rPr>
            </w:r>
          </w:p>
        </w:tc>
        <w:tc>
          <w:tcPr>
            <w:gridSpan w:val="3"/>
            <w:tcBorders/>
            <w:tcW w:w="533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Ibad Hassan-0599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M.muhtashim</w:t>
            </w:r>
            <w:r>
              <w:rPr>
                <w:b/>
                <w:sz w:val="24"/>
                <w:szCs w:val="24"/>
              </w:rPr>
              <w:t xml:space="preserve"> Askari-0929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M. Aanis ibrar-1059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green"/>
              </w:rPr>
            </w:pPr>
            <w:r>
              <w:rPr>
                <w:highlight w:val="green"/>
              </w:rPr>
              <w:t xml:space="preserve">Social networking Ethical Issues</w:t>
            </w:r>
            <w:r>
              <w:rPr>
                <w:highlight w:val="green"/>
              </w:rPr>
            </w:r>
          </w:p>
          <w:p>
            <w:pPr>
              <w:pBdr/>
              <w:spacing/>
              <w:ind/>
              <w:rPr>
                <w:highlight w:val="green"/>
              </w:rPr>
            </w:pPr>
            <w:r>
              <w:rPr>
                <w:highlight w:val="green"/>
              </w:rPr>
              <w:t xml:space="preserve">Cyber bullying </w:t>
            </w:r>
            <w:r>
              <w:rPr>
                <w:highlight w:val="green"/>
              </w:rPr>
            </w:r>
          </w:p>
          <w:p>
            <w:pPr>
              <w:pBdr/>
              <w:spacing/>
              <w:ind/>
              <w:rPr>
                <w:highlight w:val="green"/>
              </w:rPr>
            </w:pPr>
            <w:r>
              <w:rPr>
                <w:highlight w:val="green"/>
              </w:rPr>
              <w:t xml:space="preserve">Cyber stalking</w:t>
            </w:r>
            <w:r>
              <w:rPr>
                <w:highlight w:val="green"/>
              </w:rPr>
            </w:r>
          </w:p>
          <w:p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847"/>
        </w:trPr>
        <w:tc>
          <w:tcPr>
            <w:tcBorders/>
            <w:tcW w:w="18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Group7</w:t>
            </w:r>
            <w:r>
              <w:rPr>
                <w:b/>
              </w:rPr>
            </w:r>
          </w:p>
        </w:tc>
        <w:tc>
          <w:tcPr>
            <w:gridSpan w:val="3"/>
            <w:tcBorders/>
            <w:tcW w:w="533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Hussain durrani-0937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Hafiz </w:t>
            </w:r>
            <w:r>
              <w:rPr>
                <w:b/>
                <w:sz w:val="24"/>
                <w:szCs w:val="24"/>
              </w:rPr>
              <w:t xml:space="preserve">haseeb</w:t>
            </w:r>
            <w:r>
              <w:rPr>
                <w:b/>
                <w:sz w:val="24"/>
                <w:szCs w:val="24"/>
              </w:rPr>
              <w:t xml:space="preserve"> Ahmed sail-0577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24"/>
                <w:szCs w:val="24"/>
              </w:rPr>
              <w:t xml:space="preserve">Danish Umer-0543</w:t>
            </w:r>
            <w:r>
              <w:rPr>
                <w:b/>
                <w:sz w:val="44"/>
                <w:szCs w:val="4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Ethics of IT organization </w:t>
            </w:r>
            <w:r>
              <w:rPr>
                <w:highlight w:val="yellow"/>
              </w:rPr>
            </w:r>
          </w:p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Key ethical issues for organizations</w:t>
            </w:r>
            <w:r>
              <w:rPr>
                <w:highlight w:val="yellow"/>
              </w:rPr>
            </w:r>
          </w:p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Outsourcing </w:t>
            </w:r>
            <w:r>
              <w:rPr>
                <w:highlight w:val="yellow"/>
              </w:rPr>
            </w:r>
          </w:p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Offshore outsourcing</w:t>
            </w:r>
            <w:r>
              <w:rPr>
                <w:highlight w:val="yellow"/>
              </w:rPr>
            </w:r>
          </w:p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Offshore outsourcing </w:t>
            </w:r>
            <w:r>
              <w:rPr>
                <w:highlight w:val="yellow"/>
              </w:rPr>
            </w:r>
          </w:p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Pros and cons of offshore </w:t>
            </w:r>
            <w:r>
              <w:rPr>
                <w:highlight w:val="yellow"/>
              </w:rPr>
              <w:t xml:space="preserve">outsourceing</w:t>
            </w:r>
            <w:r>
              <w:rPr>
                <w:highlight w:val="yellow"/>
              </w:rPr>
            </w:r>
          </w:p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919"/>
        </w:trPr>
        <w:tc>
          <w:tcPr>
            <w:tcBorders/>
            <w:tcW w:w="18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Group8</w:t>
            </w:r>
            <w:r>
              <w:rPr>
                <w:b/>
              </w:rPr>
            </w:r>
          </w:p>
        </w:tc>
        <w:tc>
          <w:tcPr>
            <w:gridSpan w:val="3"/>
            <w:tcBorders/>
            <w:tcW w:w="533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Hamza Awais Mattoo-0229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Musaffa</w:t>
            </w:r>
            <w:r>
              <w:rPr>
                <w:b/>
                <w:sz w:val="24"/>
                <w:szCs w:val="24"/>
              </w:rPr>
              <w:t xml:space="preserve"> Asrar-0228</w:t>
            </w:r>
            <w:r>
              <w:rPr>
                <w:b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Bilal Ansari-1031</w:t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highlight w:val="green"/>
              </w:rPr>
            </w:pPr>
            <w:r>
              <w:rPr>
                <w:highlight w:val="green"/>
              </w:rPr>
              <w:t xml:space="preserve">Contingent workers </w:t>
            </w:r>
            <w:r>
              <w:rPr>
                <w:highlight w:val="green"/>
              </w:rPr>
            </w:r>
          </w:p>
          <w:p>
            <w:pPr>
              <w:pBdr/>
              <w:spacing/>
              <w:ind/>
              <w:rPr>
                <w:highlight w:val="green"/>
              </w:rPr>
            </w:pPr>
            <w:r>
              <w:rPr>
                <w:highlight w:val="green"/>
              </w:rPr>
              <w:t xml:space="preserve">Advantages of using contingent workers</w:t>
            </w:r>
            <w:r>
              <w:rPr>
                <w:highlight w:val="green"/>
              </w:rPr>
            </w:r>
          </w:p>
          <w:p>
            <w:pPr>
              <w:pBdr/>
              <w:spacing/>
              <w:ind/>
              <w:rPr>
                <w:highlight w:val="green"/>
              </w:rPr>
            </w:pPr>
            <w:r>
              <w:rPr>
                <w:highlight w:val="green"/>
              </w:rPr>
              <w:t xml:space="preserve">Disadvantages of using contingent workers</w:t>
            </w:r>
            <w:r>
              <w:rPr>
                <w:highlight w:val="green"/>
              </w:rPr>
            </w:r>
          </w:p>
          <w:p>
            <w:pPr>
              <w:pBdr/>
              <w:spacing/>
              <w:ind/>
              <w:rPr>
                <w:highlight w:val="yellow"/>
              </w:rPr>
            </w:pPr>
            <w:r>
              <w:rPr>
                <w:highlight w:val="green"/>
              </w:rPr>
              <w:t xml:space="preserve">Deciding when to use contingent workers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</w:r>
          </w:p>
        </w:tc>
      </w:tr>
    </w:tbl>
    <w:p>
      <w:pPr>
        <w:pBdr/>
        <w:spacing/>
        <w:ind/>
        <w:jc w:val="left"/>
        <w:rPr>
          <w:b/>
          <w:sz w:val="44"/>
          <w:szCs w:val="44"/>
        </w:rPr>
      </w:pPr>
      <w:r>
        <w:rPr>
          <w:b/>
          <w:sz w:val="44"/>
          <w:szCs w:val="44"/>
        </w:rPr>
      </w:r>
      <w:r>
        <w:rPr>
          <w:b/>
          <w:sz w:val="44"/>
          <w:szCs w:val="4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table" w:styleId="668">
    <w:name w:val="Table Grid"/>
    <w:basedOn w:val="66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9">
    <w:name w:val="List Paragraph"/>
    <w:basedOn w:val="664"/>
    <w:uiPriority w:val="34"/>
    <w:qFormat/>
    <w:pPr>
      <w:pBdr/>
      <w:spacing w:after="200" w:line="276" w:lineRule="auto"/>
      <w:ind w:left="720"/>
    </w:pPr>
    <w:rPr>
      <w:rFonts w:ascii="Calibri" w:hAnsi="Calibri" w:eastAsia="Times New Roman" w:cs="Aria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revision>7</cp:revision>
  <dcterms:created xsi:type="dcterms:W3CDTF">2025-12-04T17:40:00Z</dcterms:created>
  <dcterms:modified xsi:type="dcterms:W3CDTF">2025-12-08T07:52:28Z</dcterms:modified>
</cp:coreProperties>
</file>