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4F72"/>
          <w:sz w:val="28"/>
          <w:szCs w:val="28"/>
        </w:rPr>
        <w:t xml:space="preserve">Table of Contents</w:t>
      </w:r>
    </w:p>
    <w:p>
      <w:pPr>
        <w:spacing w:after="100"/>
        <w:ind w:left="0"/>
      </w:pPr>
      <w:hyperlink w:history="1" w:anchor="bm_0_how_this_revision_works_0">
        <w:r>
          <w:rPr>
            <w:b/>
            <w:bCs/>
            <w:color w:val="1B4F72"/>
            <w:sz w:val="21"/>
            <w:szCs w:val="21"/>
          </w:rPr>
          <w:t xml:space="preserve">0. How This Revision Works</w:t>
        </w:r>
      </w:hyperlink>
    </w:p>
    <w:p>
      <w:pPr>
        <w:spacing w:after="60"/>
        <w:ind w:left="360"/>
      </w:pPr>
      <w:hyperlink w:history="1" w:anchor="bm_0_1_corrections_made_in_this_revision_1">
        <w:r>
          <w:rPr>
            <w:b w:val="false"/>
            <w:bCs w:val="false"/>
            <w:color w:val="1B4F72"/>
            <w:sz w:val="20"/>
            <w:szCs w:val="20"/>
            <w:u w:val="single" w:color="AAAAAA"/>
          </w:rPr>
          <w:t xml:space="preserve">0.1 Corrections Made in This Revision</w:t>
        </w:r>
      </w:hyperlink>
    </w:p>
    <w:p>
      <w:pPr>
        <w:spacing w:after="100"/>
        <w:ind w:left="0"/>
      </w:pPr>
      <w:hyperlink w:history="1" w:anchor="bm_1_governing_principles_referenced_by_nam_2">
        <w:r>
          <w:rPr>
            <w:b/>
            <w:bCs/>
            <w:color w:val="1B4F72"/>
            <w:sz w:val="21"/>
            <w:szCs w:val="21"/>
          </w:rPr>
          <w:t xml:space="preserve">1. Governing Principles — Referenced by Name Throughout Section 2</w:t>
        </w:r>
      </w:hyperlink>
    </w:p>
    <w:p>
      <w:pPr>
        <w:spacing w:after="60"/>
        <w:ind w:left="360"/>
      </w:pPr>
      <w:hyperlink w:history="1" w:anchor="bm_1_1_population_benchmark_substitution_3">
        <w:r>
          <w:rPr>
            <w:b w:val="false"/>
            <w:bCs w:val="false"/>
            <w:color w:val="1B4F72"/>
            <w:sz w:val="20"/>
            <w:szCs w:val="20"/>
            <w:u w:val="single" w:color="AAAAAA"/>
          </w:rPr>
          <w:t xml:space="preserve">1.1 Population-Benchmark Substitution</w:t>
        </w:r>
      </w:hyperlink>
    </w:p>
    <w:p>
      <w:pPr>
        <w:spacing w:after="60"/>
        <w:ind w:left="360"/>
      </w:pPr>
      <w:hyperlink w:history="1" w:anchor="bm_1_2_wider_tolerance_for_new_users_4">
        <w:r>
          <w:rPr>
            <w:b w:val="false"/>
            <w:bCs w:val="false"/>
            <w:color w:val="1B4F72"/>
            <w:sz w:val="20"/>
            <w:szCs w:val="20"/>
            <w:u w:val="single" w:color="AAAAAA"/>
          </w:rPr>
          <w:t xml:space="preserve">1.2 Wider Tolerance for New Users</w:t>
        </w:r>
      </w:hyperlink>
    </w:p>
    <w:p>
      <w:pPr>
        <w:spacing w:after="60"/>
        <w:ind w:left="360"/>
      </w:pPr>
      <w:hyperlink w:history="1" w:anchor="bm_1_3_never_invent_history_that_doesn_t_ex_5">
        <w:r>
          <w:rPr>
            <w:b w:val="false"/>
            <w:bCs w:val="false"/>
            <w:color w:val="1B4F72"/>
            <w:sz w:val="20"/>
            <w:szCs w:val="20"/>
            <w:u w:val="single" w:color="AAAAAA"/>
          </w:rPr>
          <w:t xml:space="preserve">1.3 Never Invent History That Doesn't Exist</w:t>
        </w:r>
      </w:hyperlink>
    </w:p>
    <w:p>
      <w:pPr>
        <w:spacing w:after="100"/>
        <w:ind w:left="0"/>
      </w:pPr>
      <w:hyperlink w:history="1" w:anchor="bm_2_complete_mathematics_all_15_models_6">
        <w:r>
          <w:rPr>
            <w:b/>
            <w:bCs/>
            <w:color w:val="1B4F72"/>
            <w:sz w:val="21"/>
            <w:szCs w:val="21"/>
          </w:rPr>
          <w:t xml:space="preserve">2. Complete Mathematics — All 15 Models</w:t>
        </w:r>
      </w:hyperlink>
    </w:p>
    <w:p>
      <w:pPr>
        <w:spacing w:after="60"/>
        <w:ind w:left="360"/>
      </w:pPr>
      <w:hyperlink w:history="1" w:anchor="bm_2_1_model_1_transaction_risk_score_7">
        <w:r>
          <w:rPr>
            <w:b w:val="false"/>
            <w:bCs w:val="false"/>
            <w:color w:val="1B4F72"/>
            <w:sz w:val="20"/>
            <w:szCs w:val="20"/>
            <w:u w:val="single" w:color="AAAAAA"/>
          </w:rPr>
          <w:t xml:space="preserve">2.1 Model 1 — Transaction Risk Score</w:t>
        </w:r>
      </w:hyperlink>
    </w:p>
    <w:p>
      <w:pPr>
        <w:spacing w:after="60"/>
        <w:ind w:left="720"/>
      </w:pPr>
      <w:hyperlink w:history="1" w:anchor="bm_2_1_1_sub_formulae_shared_by_both_paths__8">
        <w:r>
          <w:rPr>
            <w:b w:val="false"/>
            <w:bCs w:val="false"/>
            <w:color w:val="1B4F72"/>
            <w:sz w:val="19"/>
            <w:szCs w:val="19"/>
            <w:u w:val="single" w:color="AAAAAA"/>
          </w:rPr>
          <w:t xml:space="preserve">2.1.1 Sub-formulae (shared by both paths)</w:t>
        </w:r>
      </w:hyperlink>
    </w:p>
    <w:p>
      <w:pPr>
        <w:spacing w:after="60"/>
        <w:ind w:left="720"/>
      </w:pPr>
      <w:hyperlink w:history="1" w:anchor="bm_2_1_2_total_formula_ml_path_6_months_per_9">
        <w:r>
          <w:rPr>
            <w:b w:val="false"/>
            <w:bCs w:val="false"/>
            <w:color w:val="1B4F72"/>
            <w:sz w:val="19"/>
            <w:szCs w:val="19"/>
            <w:u w:val="single" w:color="AAAAAA"/>
          </w:rPr>
          <w:t xml:space="preserve">2.1.2 Total formula — ML path (≥ 6 months personal transaction history)</w:t>
        </w:r>
      </w:hyperlink>
    </w:p>
    <w:p>
      <w:pPr>
        <w:spacing w:after="60"/>
        <w:ind w:left="720"/>
      </w:pPr>
      <w:hyperlink w:history="1" w:anchor="bm_2_1_3_total_formula_rule_based_path_6_mo_10">
        <w:r>
          <w:rPr>
            <w:b w:val="false"/>
            <w:bCs w:val="false"/>
            <w:color w:val="1B4F72"/>
            <w:sz w:val="19"/>
            <w:szCs w:val="19"/>
            <w:u w:val="single" w:color="AAAAAA"/>
          </w:rPr>
          <w:t xml:space="preserve">2.1.3 Total formula — Rule-based path (&lt; 6 months history)</w:t>
        </w:r>
      </w:hyperlink>
    </w:p>
    <w:p>
      <w:pPr>
        <w:spacing w:after="60"/>
        <w:ind w:left="720"/>
      </w:pPr>
      <w:hyperlink w:history="1" w:anchor="bm_2_1_4_plain_language_summary_11">
        <w:r>
          <w:rPr>
            <w:b w:val="false"/>
            <w:bCs w:val="false"/>
            <w:color w:val="1B4F72"/>
            <w:sz w:val="19"/>
            <w:szCs w:val="19"/>
            <w:u w:val="single" w:color="AAAAAA"/>
          </w:rPr>
          <w:t xml:space="preserve">2.1.4 Plain-language summary</w:t>
        </w:r>
      </w:hyperlink>
    </w:p>
    <w:p>
      <w:pPr>
        <w:spacing w:after="60"/>
        <w:ind w:left="360"/>
      </w:pPr>
      <w:hyperlink w:history="1" w:anchor="bm_2_2_model_2_financial_health_score_12">
        <w:r>
          <w:rPr>
            <w:b w:val="false"/>
            <w:bCs w:val="false"/>
            <w:color w:val="1B4F72"/>
            <w:sz w:val="20"/>
            <w:szCs w:val="20"/>
            <w:u w:val="single" w:color="AAAAAA"/>
          </w:rPr>
          <w:t xml:space="preserve">2.2 Model 2 — Financial Health Score</w:t>
        </w:r>
      </w:hyperlink>
    </w:p>
    <w:p>
      <w:pPr>
        <w:spacing w:after="60"/>
        <w:ind w:left="720"/>
      </w:pPr>
      <w:hyperlink w:history="1" w:anchor="bm_2_2_1_shared_toolkit_used_inside_every_p_13">
        <w:r>
          <w:rPr>
            <w:b w:val="false"/>
            <w:bCs w:val="false"/>
            <w:color w:val="1B4F72"/>
            <w:sz w:val="19"/>
            <w:szCs w:val="19"/>
            <w:u w:val="single" w:color="AAAAAA"/>
          </w:rPr>
          <w:t xml:space="preserve">2.2.1 Shared toolkit (used inside every pillar below)</w:t>
        </w:r>
      </w:hyperlink>
    </w:p>
    <w:p>
      <w:pPr>
        <w:spacing w:after="60"/>
        <w:ind w:left="720"/>
      </w:pPr>
      <w:hyperlink w:history="1" w:anchor="bm_2_2_2_pillar_1_liquidity_18__14">
        <w:r>
          <w:rPr>
            <w:b w:val="false"/>
            <w:bCs w:val="false"/>
            <w:color w:val="1B4F72"/>
            <w:sz w:val="19"/>
            <w:szCs w:val="19"/>
            <w:u w:val="single" w:color="AAAAAA"/>
          </w:rPr>
          <w:t xml:space="preserve">2.2.2 Pillar 1 — Liquidity (18%)</w:t>
        </w:r>
      </w:hyperlink>
    </w:p>
    <w:p>
      <w:pPr>
        <w:spacing w:after="60"/>
        <w:ind w:left="720"/>
      </w:pPr>
      <w:hyperlink w:history="1" w:anchor="bm_2_2_3_pillar_2_debt_health_18__15">
        <w:r>
          <w:rPr>
            <w:b w:val="false"/>
            <w:bCs w:val="false"/>
            <w:color w:val="1B4F72"/>
            <w:sz w:val="19"/>
            <w:szCs w:val="19"/>
            <w:u w:val="single" w:color="AAAAAA"/>
          </w:rPr>
          <w:t xml:space="preserve">2.2.3 Pillar 2 — Debt Health (18%)</w:t>
        </w:r>
      </w:hyperlink>
    </w:p>
    <w:p>
      <w:pPr>
        <w:spacing w:after="60"/>
        <w:ind w:left="720"/>
      </w:pPr>
      <w:hyperlink w:history="1" w:anchor="bm_2_2_4_pillar_3_savings_behaviour_15__16">
        <w:r>
          <w:rPr>
            <w:b w:val="false"/>
            <w:bCs w:val="false"/>
            <w:color w:val="1B4F72"/>
            <w:sz w:val="19"/>
            <w:szCs w:val="19"/>
            <w:u w:val="single" w:color="AAAAAA"/>
          </w:rPr>
          <w:t xml:space="preserve">2.2.4 Pillar 3 — Savings Behaviour (15%)</w:t>
        </w:r>
      </w:hyperlink>
    </w:p>
    <w:p>
      <w:pPr>
        <w:spacing w:after="60"/>
        <w:ind w:left="720"/>
      </w:pPr>
      <w:hyperlink w:history="1" w:anchor="bm_2_2_5_pillar_4_investment_quality_15__17">
        <w:r>
          <w:rPr>
            <w:b w:val="false"/>
            <w:bCs w:val="false"/>
            <w:color w:val="1B4F72"/>
            <w:sz w:val="19"/>
            <w:szCs w:val="19"/>
            <w:u w:val="single" w:color="AAAAAA"/>
          </w:rPr>
          <w:t xml:space="preserve">2.2.5 Pillar 4 — Investment Quality (15%)</w:t>
        </w:r>
      </w:hyperlink>
    </w:p>
    <w:p>
      <w:pPr>
        <w:spacing w:after="60"/>
        <w:ind w:left="720"/>
      </w:pPr>
      <w:hyperlink w:history="1" w:anchor="bm_2_2_6_pillar_5_protection_coverage_15__18">
        <w:r>
          <w:rPr>
            <w:b w:val="false"/>
            <w:bCs w:val="false"/>
            <w:color w:val="1B4F72"/>
            <w:sz w:val="19"/>
            <w:szCs w:val="19"/>
            <w:u w:val="single" w:color="AAAAAA"/>
          </w:rPr>
          <w:t xml:space="preserve">2.2.6 Pillar 5 — Protection Coverage (15%)</w:t>
        </w:r>
      </w:hyperlink>
    </w:p>
    <w:p>
      <w:pPr>
        <w:spacing w:after="60"/>
        <w:ind w:left="720"/>
      </w:pPr>
      <w:hyperlink w:history="1" w:anchor="bm_2_2_7_pillar_6_goal_alignment_12__19">
        <w:r>
          <w:rPr>
            <w:b w:val="false"/>
            <w:bCs w:val="false"/>
            <w:color w:val="1B4F72"/>
            <w:sz w:val="19"/>
            <w:szCs w:val="19"/>
            <w:u w:val="single" w:color="AAAAAA"/>
          </w:rPr>
          <w:t xml:space="preserve">2.2.7 Pillar 6 — Goal Alignment (12%)</w:t>
        </w:r>
      </w:hyperlink>
    </w:p>
    <w:p>
      <w:pPr>
        <w:spacing w:after="60"/>
        <w:ind w:left="720"/>
      </w:pPr>
      <w:hyperlink w:history="1" w:anchor="bm_2_2_8_pillar_7_financial_behaviour_7__20">
        <w:r>
          <w:rPr>
            <w:b w:val="false"/>
            <w:bCs w:val="false"/>
            <w:color w:val="1B4F72"/>
            <w:sz w:val="19"/>
            <w:szCs w:val="19"/>
            <w:u w:val="single" w:color="AAAAAA"/>
          </w:rPr>
          <w:t xml:space="preserve">2.2.8 Pillar 7 — Financial Behaviour (7%)</w:t>
        </w:r>
      </w:hyperlink>
    </w:p>
    <w:p>
      <w:pPr>
        <w:spacing w:after="60"/>
        <w:ind w:left="720"/>
      </w:pPr>
      <w:hyperlink w:history="1" w:anchor="bm_2_2_9_composite_formula_21">
        <w:r>
          <w:rPr>
            <w:b w:val="false"/>
            <w:bCs w:val="false"/>
            <w:color w:val="1B4F72"/>
            <w:sz w:val="19"/>
            <w:szCs w:val="19"/>
            <w:u w:val="single" w:color="AAAAAA"/>
          </w:rPr>
          <w:t xml:space="preserve">2.2.9 Composite formula</w:t>
        </w:r>
      </w:hyperlink>
    </w:p>
    <w:p>
      <w:pPr>
        <w:spacing w:after="60"/>
        <w:ind w:left="720"/>
      </w:pPr>
      <w:hyperlink w:history="1" w:anchor="bm_2_2_10_rule_based_path_6_months_history__22">
        <w:r>
          <w:rPr>
            <w:b w:val="false"/>
            <w:bCs w:val="false"/>
            <w:color w:val="1B4F72"/>
            <w:sz w:val="19"/>
            <w:szCs w:val="19"/>
            <w:u w:val="single" w:color="AAAAAA"/>
          </w:rPr>
          <w:t xml:space="preserve">2.2.10 Rule-based path (&lt; 6 months history)</w:t>
        </w:r>
      </w:hyperlink>
    </w:p>
    <w:p>
      <w:pPr>
        <w:spacing w:after="60"/>
        <w:ind w:left="720"/>
      </w:pPr>
      <w:hyperlink w:history="1" w:anchor="bm_2_2_11_plain_language_summary_23">
        <w:r>
          <w:rPr>
            <w:b w:val="false"/>
            <w:bCs w:val="false"/>
            <w:color w:val="1B4F72"/>
            <w:sz w:val="19"/>
            <w:szCs w:val="19"/>
            <w:u w:val="single" w:color="AAAAAA"/>
          </w:rPr>
          <w:t xml:space="preserve">2.2.11 Plain-language summary</w:t>
        </w:r>
      </w:hyperlink>
    </w:p>
    <w:p>
      <w:pPr>
        <w:spacing w:after="60"/>
        <w:ind w:left="360"/>
      </w:pPr>
      <w:hyperlink w:history="1" w:anchor="bm_2_3_model_3_financial_persona_classifier_24">
        <w:r>
          <w:rPr>
            <w:b w:val="false"/>
            <w:bCs w:val="false"/>
            <w:color w:val="1B4F72"/>
            <w:sz w:val="20"/>
            <w:szCs w:val="20"/>
            <w:u w:val="single" w:color="AAAAAA"/>
          </w:rPr>
          <w:t xml:space="preserve">2.3 Model 3 — Financial Persona Classifier</w:t>
        </w:r>
      </w:hyperlink>
    </w:p>
    <w:p>
      <w:pPr>
        <w:spacing w:after="60"/>
        <w:ind w:left="720"/>
      </w:pPr>
      <w:hyperlink w:history="1" w:anchor="bm_2_3_1_rule_derived_labels_also_used_dire_25">
        <w:r>
          <w:rPr>
            <w:b w:val="false"/>
            <w:bCs w:val="false"/>
            <w:color w:val="1B4F72"/>
            <w:sz w:val="19"/>
            <w:szCs w:val="19"/>
            <w:u w:val="single" w:color="AAAAAA"/>
          </w:rPr>
          <w:t xml:space="preserve">2.3.1 Rule-derived labels (also used directly as the rule-based path)</w:t>
        </w:r>
      </w:hyperlink>
    </w:p>
    <w:p>
      <w:pPr>
        <w:spacing w:after="60"/>
        <w:ind w:left="720"/>
      </w:pPr>
      <w:hyperlink w:history="1" w:anchor="bm_2_3_2_ml_path_6_months_behavioural_histo_26">
        <w:r>
          <w:rPr>
            <w:b w:val="false"/>
            <w:bCs w:val="false"/>
            <w:color w:val="1B4F72"/>
            <w:sz w:val="19"/>
            <w:szCs w:val="19"/>
            <w:u w:val="single" w:color="AAAAAA"/>
          </w:rPr>
          <w:t xml:space="preserve">2.3.2 ML path (≥ 6 months behavioural history)</w:t>
        </w:r>
      </w:hyperlink>
    </w:p>
    <w:p>
      <w:pPr>
        <w:spacing w:after="60"/>
        <w:ind w:left="720"/>
      </w:pPr>
      <w:hyperlink w:history="1" w:anchor="bm_2_3_3_plain_language_summary_27">
        <w:r>
          <w:rPr>
            <w:b w:val="false"/>
            <w:bCs w:val="false"/>
            <w:color w:val="1B4F72"/>
            <w:sz w:val="19"/>
            <w:szCs w:val="19"/>
            <w:u w:val="single" w:color="AAAAAA"/>
          </w:rPr>
          <w:t xml:space="preserve">2.3.3 Plain-language summary</w:t>
        </w:r>
      </w:hyperlink>
    </w:p>
    <w:p>
      <w:pPr>
        <w:spacing w:after="60"/>
        <w:ind w:left="360"/>
      </w:pPr>
      <w:hyperlink w:history="1" w:anchor="bm_2_4_model_4_behavioural_nudging_engine_28">
        <w:r>
          <w:rPr>
            <w:b w:val="false"/>
            <w:bCs w:val="false"/>
            <w:color w:val="1B4F72"/>
            <w:sz w:val="20"/>
            <w:szCs w:val="20"/>
            <w:u w:val="single" w:color="AAAAAA"/>
          </w:rPr>
          <w:t xml:space="preserve">2.4 Model 4 — Behavioural Nudging Engine</w:t>
        </w:r>
      </w:hyperlink>
    </w:p>
    <w:p>
      <w:pPr>
        <w:spacing w:after="60"/>
        <w:ind w:left="720"/>
      </w:pPr>
      <w:hyperlink w:history="1" w:anchor="bm_2_4_1_layer_1_rule_triggers_identical_in_29">
        <w:r>
          <w:rPr>
            <w:b w:val="false"/>
            <w:bCs w:val="false"/>
            <w:color w:val="1B4F72"/>
            <w:sz w:val="19"/>
            <w:szCs w:val="19"/>
            <w:u w:val="single" w:color="AAAAAA"/>
          </w:rPr>
          <w:t xml:space="preserve">2.4.1 Layer 1 — rule triggers (identical in both paths, always active)</w:t>
        </w:r>
      </w:hyperlink>
    </w:p>
    <w:p>
      <w:pPr>
        <w:spacing w:after="60"/>
        <w:ind w:left="720"/>
      </w:pPr>
      <w:hyperlink w:history="1" w:anchor="bm_2_4_2_layer_2_ml_path_6_months__30">
        <w:r>
          <w:rPr>
            <w:b w:val="false"/>
            <w:bCs w:val="false"/>
            <w:color w:val="1B4F72"/>
            <w:sz w:val="19"/>
            <w:szCs w:val="19"/>
            <w:u w:val="single" w:color="AAAAAA"/>
          </w:rPr>
          <w:t xml:space="preserve">2.4.2 Layer 2 — ML path (≥ 6 months)</w:t>
        </w:r>
      </w:hyperlink>
    </w:p>
    <w:p>
      <w:pPr>
        <w:spacing w:after="60"/>
        <w:ind w:left="720"/>
      </w:pPr>
      <w:hyperlink w:history="1" w:anchor="bm_2_4_3_layer_2_rule_based_path_6_months__31">
        <w:r>
          <w:rPr>
            <w:b w:val="false"/>
            <w:bCs w:val="false"/>
            <w:color w:val="1B4F72"/>
            <w:sz w:val="19"/>
            <w:szCs w:val="19"/>
            <w:u w:val="single" w:color="AAAAAA"/>
          </w:rPr>
          <w:t xml:space="preserve">2.4.3 Layer 2 — Rule-based path (&lt; 6 months)</w:t>
        </w:r>
      </w:hyperlink>
    </w:p>
    <w:p>
      <w:pPr>
        <w:spacing w:after="60"/>
        <w:ind w:left="720"/>
      </w:pPr>
      <w:hyperlink w:history="1" w:anchor="bm_2_4_4_layer_3_governor_and_delivery_iden_32">
        <w:r>
          <w:rPr>
            <w:b w:val="false"/>
            <w:bCs w:val="false"/>
            <w:color w:val="1B4F72"/>
            <w:sz w:val="19"/>
            <w:szCs w:val="19"/>
            <w:u w:val="single" w:color="AAAAAA"/>
          </w:rPr>
          <w:t xml:space="preserve">2.4.4 Layer 3 — governor and delivery (identical in both paths)</w:t>
        </w:r>
      </w:hyperlink>
    </w:p>
    <w:p>
      <w:pPr>
        <w:spacing w:after="60"/>
        <w:ind w:left="720"/>
      </w:pPr>
      <w:hyperlink w:history="1" w:anchor="bm_2_4_5_plain_language_summary_33">
        <w:r>
          <w:rPr>
            <w:b w:val="false"/>
            <w:bCs w:val="false"/>
            <w:color w:val="1B4F72"/>
            <w:sz w:val="19"/>
            <w:szCs w:val="19"/>
            <w:u w:val="single" w:color="AAAAAA"/>
          </w:rPr>
          <w:t xml:space="preserve">2.4.5 Plain-language summary</w:t>
        </w:r>
      </w:hyperlink>
    </w:p>
    <w:p>
      <w:pPr>
        <w:spacing w:after="60"/>
        <w:ind w:left="360"/>
      </w:pPr>
      <w:hyperlink w:history="1" w:anchor="bm_2_5_model_5_mule_account_detector_gnn__34">
        <w:r>
          <w:rPr>
            <w:b w:val="false"/>
            <w:bCs w:val="false"/>
            <w:color w:val="1B4F72"/>
            <w:sz w:val="20"/>
            <w:szCs w:val="20"/>
            <w:u w:val="single" w:color="AAAAAA"/>
          </w:rPr>
          <w:t xml:space="preserve">2.5 Model 5 — Mule Account Detector (GNN)</w:t>
        </w:r>
      </w:hyperlink>
    </w:p>
    <w:p>
      <w:pPr>
        <w:spacing w:after="60"/>
        <w:ind w:left="720"/>
      </w:pPr>
      <w:hyperlink w:history="1" w:anchor="bm_2_5_1_stage_1_structural_features_this_i_35">
        <w:r>
          <w:rPr>
            <w:b w:val="false"/>
            <w:bCs w:val="false"/>
            <w:color w:val="1B4F72"/>
            <w:sz w:val="19"/>
            <w:szCs w:val="19"/>
            <w:u w:val="single" w:color="AAAAAA"/>
          </w:rPr>
          <w:t xml:space="preserve">2.5.1 Stage 1 — structural features (this IS the current, deployed path)</w:t>
        </w:r>
      </w:hyperlink>
    </w:p>
    <w:p>
      <w:pPr>
        <w:spacing w:after="60"/>
        <w:ind w:left="720"/>
      </w:pPr>
      <w:hyperlink w:history="1" w:anchor="bm_2_5_2_label_propagation_combines_with_2__36">
        <w:r>
          <w:rPr>
            <w:b w:val="false"/>
            <w:bCs w:val="false"/>
            <w:color w:val="1B4F72"/>
            <w:sz w:val="19"/>
            <w:szCs w:val="19"/>
            <w:u w:val="single" w:color="AAAAAA"/>
          </w:rPr>
          <w:t xml:space="preserve">2.5.2 Label propagation (combines with 2.5.1, always active)</w:t>
        </w:r>
      </w:hyperlink>
    </w:p>
    <w:p>
      <w:pPr>
        <w:spacing w:after="60"/>
        <w:ind w:left="720"/>
      </w:pPr>
      <w:hyperlink w:history="1" w:anchor="bm_2_5_3_stage_2_ml_path_not_yet_deployable_37">
        <w:r>
          <w:rPr>
            <w:b w:val="false"/>
            <w:bCs w:val="false"/>
            <w:color w:val="1B4F72"/>
            <w:sz w:val="19"/>
            <w:szCs w:val="19"/>
            <w:u w:val="single" w:color="AAAAAA"/>
          </w:rPr>
          <w:t xml:space="preserve">2.5.3 Stage 2 — ML path (not yet deployable)</w:t>
        </w:r>
      </w:hyperlink>
    </w:p>
    <w:p>
      <w:pPr>
        <w:spacing w:after="60"/>
        <w:ind w:left="720"/>
      </w:pPr>
      <w:hyperlink w:history="1" w:anchor="bm_2_5_4_plain_language_summary_38">
        <w:r>
          <w:rPr>
            <w:b w:val="false"/>
            <w:bCs w:val="false"/>
            <w:color w:val="1B4F72"/>
            <w:sz w:val="19"/>
            <w:szCs w:val="19"/>
            <w:u w:val="single" w:color="AAAAAA"/>
          </w:rPr>
          <w:t xml:space="preserve">2.5.4 Plain-language summary</w:t>
        </w:r>
      </w:hyperlink>
    </w:p>
    <w:p>
      <w:pPr>
        <w:spacing w:after="60"/>
        <w:ind w:left="360"/>
      </w:pPr>
      <w:hyperlink w:history="1" w:anchor="bm_2_6_model_6_investment_risk_assessment_39">
        <w:r>
          <w:rPr>
            <w:b w:val="false"/>
            <w:bCs w:val="false"/>
            <w:color w:val="1B4F72"/>
            <w:sz w:val="20"/>
            <w:szCs w:val="20"/>
            <w:u w:val="single" w:color="AAAAAA"/>
          </w:rPr>
          <w:t xml:space="preserve">2.6 Model 6 — Investment Risk Assessment</w:t>
        </w:r>
      </w:hyperlink>
    </w:p>
    <w:p>
      <w:pPr>
        <w:spacing w:after="60"/>
        <w:ind w:left="720"/>
      </w:pPr>
      <w:hyperlink w:history="1" w:anchor="bm_2_6_1_risk_profiling_40">
        <w:r>
          <w:rPr>
            <w:b w:val="false"/>
            <w:bCs w:val="false"/>
            <w:color w:val="1B4F72"/>
            <w:sz w:val="19"/>
            <w:szCs w:val="19"/>
            <w:u w:val="single" w:color="AAAAAA"/>
          </w:rPr>
          <w:t xml:space="preserve">2.6.1 Risk profiling</w:t>
        </w:r>
      </w:hyperlink>
    </w:p>
    <w:p>
      <w:pPr>
        <w:spacing w:after="60"/>
        <w:ind w:left="720"/>
      </w:pPr>
      <w:hyperlink w:history="1" w:anchor="bm_2_6_2_diversification_overlap_adjusted__41">
        <w:r>
          <w:rPr>
            <w:b w:val="false"/>
            <w:bCs w:val="false"/>
            <w:color w:val="1B4F72"/>
            <w:sz w:val="19"/>
            <w:szCs w:val="19"/>
            <w:u w:val="single" w:color="AAAAAA"/>
          </w:rPr>
          <w:t xml:space="preserve">2.6.2 Diversification (overlap-adjusted)</w:t>
        </w:r>
      </w:hyperlink>
    </w:p>
    <w:p>
      <w:pPr>
        <w:spacing w:after="60"/>
        <w:ind w:left="720"/>
      </w:pPr>
      <w:hyperlink w:history="1" w:anchor="bm_2_6_3_rebalancing_and_sip_allocation_42">
        <w:r>
          <w:rPr>
            <w:b w:val="false"/>
            <w:bCs w:val="false"/>
            <w:color w:val="1B4F72"/>
            <w:sz w:val="19"/>
            <w:szCs w:val="19"/>
            <w:u w:val="single" w:color="AAAAAA"/>
          </w:rPr>
          <w:t xml:space="preserve">2.6.3 Rebalancing and SIP allocation</w:t>
        </w:r>
      </w:hyperlink>
    </w:p>
    <w:p>
      <w:pPr>
        <w:spacing w:after="60"/>
        <w:ind w:left="720"/>
      </w:pPr>
      <w:hyperlink w:history="1" w:anchor="bm_2_6_4_rule_based_path_6_months__43">
        <w:r>
          <w:rPr>
            <w:b w:val="false"/>
            <w:bCs w:val="false"/>
            <w:color w:val="1B4F72"/>
            <w:sz w:val="19"/>
            <w:szCs w:val="19"/>
            <w:u w:val="single" w:color="AAAAAA"/>
          </w:rPr>
          <w:t xml:space="preserve">2.6.4 Rule-based path (&lt; 6 months)</w:t>
        </w:r>
      </w:hyperlink>
    </w:p>
    <w:p>
      <w:pPr>
        <w:spacing w:after="60"/>
        <w:ind w:left="720"/>
      </w:pPr>
      <w:hyperlink w:history="1" w:anchor="bm_2_6_5_plain_language_summary_44">
        <w:r>
          <w:rPr>
            <w:b w:val="false"/>
            <w:bCs w:val="false"/>
            <w:color w:val="1B4F72"/>
            <w:sz w:val="19"/>
            <w:szCs w:val="19"/>
            <w:u w:val="single" w:color="AAAAAA"/>
          </w:rPr>
          <w:t xml:space="preserve">2.6.5 Plain-language summary</w:t>
        </w:r>
      </w:hyperlink>
    </w:p>
    <w:p>
      <w:pPr>
        <w:spacing w:after="60"/>
        <w:ind w:left="360"/>
      </w:pPr>
      <w:hyperlink w:history="1" w:anchor="bm_2_7_model_7_insurance_protection_score_45">
        <w:r>
          <w:rPr>
            <w:b w:val="false"/>
            <w:bCs w:val="false"/>
            <w:color w:val="1B4F72"/>
            <w:sz w:val="20"/>
            <w:szCs w:val="20"/>
            <w:u w:val="single" w:color="AAAAAA"/>
          </w:rPr>
          <w:t xml:space="preserve">2.7 Model 7 — Insurance Protection Score</w:t>
        </w:r>
      </w:hyperlink>
    </w:p>
    <w:p>
      <w:pPr>
        <w:spacing w:after="60"/>
        <w:ind w:left="720"/>
      </w:pPr>
      <w:hyperlink w:history="1" w:anchor="bm_2_7_1_life_and_health_cover_46">
        <w:r>
          <w:rPr>
            <w:b w:val="false"/>
            <w:bCs w:val="false"/>
            <w:color w:val="1B4F72"/>
            <w:sz w:val="19"/>
            <w:szCs w:val="19"/>
            <w:u w:val="single" w:color="AAAAAA"/>
          </w:rPr>
          <w:t xml:space="preserve">2.7.1 Life and health cover</w:t>
        </w:r>
      </w:hyperlink>
    </w:p>
    <w:p>
      <w:pPr>
        <w:spacing w:after="60"/>
        <w:ind w:left="720"/>
      </w:pPr>
      <w:hyperlink w:history="1" w:anchor="bm_2_7_2_asset_insurance_and_policy_type_op_47">
        <w:r>
          <w:rPr>
            <w:b w:val="false"/>
            <w:bCs w:val="false"/>
            <w:color w:val="1B4F72"/>
            <w:sz w:val="19"/>
            <w:szCs w:val="19"/>
            <w:u w:val="single" w:color="AAAAAA"/>
          </w:rPr>
          <w:t xml:space="preserve">2.7.2 Asset insurance and policy-type optimality</w:t>
        </w:r>
      </w:hyperlink>
    </w:p>
    <w:p>
      <w:pPr>
        <w:spacing w:after="60"/>
        <w:ind w:left="720"/>
      </w:pPr>
      <w:hyperlink w:history="1" w:anchor="bm_2_7_3_rule_based_path_48">
        <w:r>
          <w:rPr>
            <w:b w:val="false"/>
            <w:bCs w:val="false"/>
            <w:color w:val="1B4F72"/>
            <w:sz w:val="19"/>
            <w:szCs w:val="19"/>
            <w:u w:val="single" w:color="AAAAAA"/>
          </w:rPr>
          <w:t xml:space="preserve">2.7.3 Rule-based path</w:t>
        </w:r>
      </w:hyperlink>
    </w:p>
    <w:p>
      <w:pPr>
        <w:spacing w:after="60"/>
        <w:ind w:left="720"/>
      </w:pPr>
      <w:hyperlink w:history="1" w:anchor="bm_2_7_4_plain_language_summary_49">
        <w:r>
          <w:rPr>
            <w:b w:val="false"/>
            <w:bCs w:val="false"/>
            <w:color w:val="1B4F72"/>
            <w:sz w:val="19"/>
            <w:szCs w:val="19"/>
            <w:u w:val="single" w:color="AAAAAA"/>
          </w:rPr>
          <w:t xml:space="preserve">2.7.4 Plain-language summary</w:t>
        </w:r>
      </w:hyperlink>
    </w:p>
    <w:p>
      <w:pPr>
        <w:spacing w:after="60"/>
        <w:ind w:left="360"/>
      </w:pPr>
      <w:hyperlink w:history="1" w:anchor="bm_2_8_model_8_tax_calculation_suite_50">
        <w:r>
          <w:rPr>
            <w:b w:val="false"/>
            <w:bCs w:val="false"/>
            <w:color w:val="1B4F72"/>
            <w:sz w:val="20"/>
            <w:szCs w:val="20"/>
            <w:u w:val="single" w:color="AAAAAA"/>
          </w:rPr>
          <w:t xml:space="preserve">2.8 Model 8 — Tax Calculation Suite</w:t>
        </w:r>
      </w:hyperlink>
    </w:p>
    <w:p>
      <w:pPr>
        <w:spacing w:after="60"/>
        <w:ind w:left="720"/>
      </w:pPr>
      <w:hyperlink w:history="1" w:anchor="bm_2_8_1_governing_statute_selection_new_pr_51">
        <w:r>
          <w:rPr>
            <w:b w:val="false"/>
            <w:bCs w:val="false"/>
            <w:color w:val="1B4F72"/>
            <w:sz w:val="19"/>
            <w:szCs w:val="19"/>
            <w:u w:val="single" w:color="AAAAAA"/>
          </w:rPr>
          <w:t xml:space="preserve">2.8.1 Governing statute selection (new — previously absent)</w:t>
        </w:r>
      </w:hyperlink>
    </w:p>
    <w:p>
      <w:pPr>
        <w:spacing w:after="60"/>
        <w:ind w:left="720"/>
      </w:pPr>
      <w:hyperlink w:history="1" w:anchor="bm_2_8_2_tax_liability_both_regimes_52">
        <w:r>
          <w:rPr>
            <w:b w:val="false"/>
            <w:bCs w:val="false"/>
            <w:color w:val="1B4F72"/>
            <w:sz w:val="19"/>
            <w:szCs w:val="19"/>
            <w:u w:val="single" w:color="AAAAAA"/>
          </w:rPr>
          <w:t xml:space="preserve">2.8.2 Tax liability, both regimes</w:t>
        </w:r>
      </w:hyperlink>
    </w:p>
    <w:p>
      <w:pPr>
        <w:spacing w:after="60"/>
        <w:ind w:left="720"/>
      </w:pPr>
      <w:hyperlink w:history="1" w:anchor="bm_2_8_3_deductions_and_capital_gains_53">
        <w:r>
          <w:rPr>
            <w:b w:val="false"/>
            <w:bCs w:val="false"/>
            <w:color w:val="1B4F72"/>
            <w:sz w:val="19"/>
            <w:szCs w:val="19"/>
            <w:u w:val="single" w:color="AAAAAA"/>
          </w:rPr>
          <w:t xml:space="preserve">2.8.3 Deductions and capital gains</w:t>
        </w:r>
      </w:hyperlink>
    </w:p>
    <w:p>
      <w:pPr>
        <w:spacing w:after="60"/>
        <w:ind w:left="720"/>
      </w:pPr>
      <w:hyperlink w:history="1" w:anchor="bm_2_8_4_advance_tax_54">
        <w:r>
          <w:rPr>
            <w:b w:val="false"/>
            <w:bCs w:val="false"/>
            <w:color w:val="1B4F72"/>
            <w:sz w:val="19"/>
            <w:szCs w:val="19"/>
            <w:u w:val="single" w:color="AAAAAA"/>
          </w:rPr>
          <w:t xml:space="preserve">2.8.4 Advance tax</w:t>
        </w:r>
      </w:hyperlink>
    </w:p>
    <w:p>
      <w:pPr>
        <w:spacing w:after="60"/>
        <w:ind w:left="720"/>
      </w:pPr>
      <w:hyperlink w:history="1" w:anchor="bm_2_8_5_rule_based_path_55">
        <w:r>
          <w:rPr>
            <w:b w:val="false"/>
            <w:bCs w:val="false"/>
            <w:color w:val="1B4F72"/>
            <w:sz w:val="19"/>
            <w:szCs w:val="19"/>
            <w:u w:val="single" w:color="AAAAAA"/>
          </w:rPr>
          <w:t xml:space="preserve">2.8.5 Rule-based path</w:t>
        </w:r>
      </w:hyperlink>
    </w:p>
    <w:p>
      <w:pPr>
        <w:spacing w:after="60"/>
        <w:ind w:left="720"/>
      </w:pPr>
      <w:hyperlink w:history="1" w:anchor="bm_2_8_6_plain_language_summary_56">
        <w:r>
          <w:rPr>
            <w:b w:val="false"/>
            <w:bCs w:val="false"/>
            <w:color w:val="1B4F72"/>
            <w:sz w:val="19"/>
            <w:szCs w:val="19"/>
            <w:u w:val="single" w:color="AAAAAA"/>
          </w:rPr>
          <w:t xml:space="preserve">2.8.6 Plain-language summary</w:t>
        </w:r>
      </w:hyperlink>
    </w:p>
    <w:p>
      <w:pPr>
        <w:spacing w:after="60"/>
        <w:ind w:left="360"/>
      </w:pPr>
      <w:hyperlink w:history="1" w:anchor="bm_2_9_model_9_behavioural_biometrics_57">
        <w:r>
          <w:rPr>
            <w:b w:val="false"/>
            <w:bCs w:val="false"/>
            <w:color w:val="1B4F72"/>
            <w:sz w:val="20"/>
            <w:szCs w:val="20"/>
            <w:u w:val="single" w:color="AAAAAA"/>
          </w:rPr>
          <w:t xml:space="preserve">2.9 Model 9 — Behavioural Biometrics</w:t>
        </w:r>
      </w:hyperlink>
    </w:p>
    <w:p>
      <w:pPr>
        <w:spacing w:after="60"/>
        <w:ind w:left="720"/>
      </w:pPr>
      <w:hyperlink w:history="1" w:anchor="bm_2_9_1_baseline_and_drift_calculation_58">
        <w:r>
          <w:rPr>
            <w:b w:val="false"/>
            <w:bCs w:val="false"/>
            <w:color w:val="1B4F72"/>
            <w:sz w:val="19"/>
            <w:szCs w:val="19"/>
            <w:u w:val="single" w:color="AAAAAA"/>
          </w:rPr>
          <w:t xml:space="preserve">2.9.1 Baseline and drift calculation</w:t>
        </w:r>
      </w:hyperlink>
    </w:p>
    <w:p>
      <w:pPr>
        <w:spacing w:after="60"/>
        <w:ind w:left="720"/>
      </w:pPr>
      <w:hyperlink w:history="1" w:anchor="bm_2_9_2_baseline_update_rule_never_uses_fl_59">
        <w:r>
          <w:rPr>
            <w:b w:val="false"/>
            <w:bCs w:val="false"/>
            <w:color w:val="1B4F72"/>
            <w:sz w:val="19"/>
            <w:szCs w:val="19"/>
            <w:u w:val="single" w:color="AAAAAA"/>
          </w:rPr>
          <w:t xml:space="preserve">2.9.2 Baseline update rule (never uses flagged sessions)</w:t>
        </w:r>
      </w:hyperlink>
    </w:p>
    <w:p>
      <w:pPr>
        <w:spacing w:after="60"/>
        <w:ind w:left="720"/>
      </w:pPr>
      <w:hyperlink w:history="1" w:anchor="bm_2_9_3_rule_based_cold_start_path_10_15_s_60">
        <w:r>
          <w:rPr>
            <w:b w:val="false"/>
            <w:bCs w:val="false"/>
            <w:color w:val="1B4F72"/>
            <w:sz w:val="19"/>
            <w:szCs w:val="19"/>
            <w:u w:val="single" w:color="AAAAAA"/>
          </w:rPr>
          <w:t xml:space="preserve">2.9.3 Rule-based / cold-start path (&lt; 10-15 sessions, not calendar-time-gated)</w:t>
        </w:r>
      </w:hyperlink>
    </w:p>
    <w:p>
      <w:pPr>
        <w:spacing w:after="60"/>
        <w:ind w:left="720"/>
      </w:pPr>
      <w:hyperlink w:history="1" w:anchor="bm_2_9_4_plain_language_summary_61">
        <w:r>
          <w:rPr>
            <w:b w:val="false"/>
            <w:bCs w:val="false"/>
            <w:color w:val="1B4F72"/>
            <w:sz w:val="19"/>
            <w:szCs w:val="19"/>
            <w:u w:val="single" w:color="AAAAAA"/>
          </w:rPr>
          <w:t xml:space="preserve">2.9.4 Plain-language summary</w:t>
        </w:r>
      </w:hyperlink>
    </w:p>
    <w:p>
      <w:pPr>
        <w:spacing w:after="60"/>
        <w:ind w:left="360"/>
      </w:pPr>
      <w:hyperlink w:history="1" w:anchor="bm_2_10_model_10_sms_fraud_phishing_classif_62">
        <w:r>
          <w:rPr>
            <w:b w:val="false"/>
            <w:bCs w:val="false"/>
            <w:color w:val="1B4F72"/>
            <w:sz w:val="20"/>
            <w:szCs w:val="20"/>
            <w:u w:val="single" w:color="AAAAAA"/>
          </w:rPr>
          <w:t xml:space="preserve">2.10 Model 10 — SMS Fraud / Phishing Classifier</w:t>
        </w:r>
      </w:hyperlink>
    </w:p>
    <w:p>
      <w:pPr>
        <w:spacing w:after="60"/>
        <w:ind w:left="720"/>
      </w:pPr>
      <w:hyperlink w:history="1" w:anchor="bm_2_10_1_layers_1_5_deterministic_always_a_63">
        <w:r>
          <w:rPr>
            <w:b w:val="false"/>
            <w:bCs w:val="false"/>
            <w:color w:val="1B4F72"/>
            <w:sz w:val="19"/>
            <w:szCs w:val="19"/>
            <w:u w:val="single" w:color="AAAAAA"/>
          </w:rPr>
          <w:t xml:space="preserve">2.10.1 Layers 1-5 (deterministic, always active — this IS the rule-based path)</w:t>
        </w:r>
      </w:hyperlink>
    </w:p>
    <w:p>
      <w:pPr>
        <w:spacing w:after="60"/>
        <w:ind w:left="720"/>
      </w:pPr>
      <w:hyperlink w:history="1" w:anchor="bm_2_10_2_layer_6_ml_path_sufficient_labell_64">
        <w:r>
          <w:rPr>
            <w:b w:val="false"/>
            <w:bCs w:val="false"/>
            <w:color w:val="1B4F72"/>
            <w:sz w:val="19"/>
            <w:szCs w:val="19"/>
            <w:u w:val="single" w:color="AAAAAA"/>
          </w:rPr>
          <w:t xml:space="preserve">2.10.2 Layer 6 — ML path (≥ sufficient labelled corpus)</w:t>
        </w:r>
      </w:hyperlink>
    </w:p>
    <w:p>
      <w:pPr>
        <w:spacing w:after="60"/>
        <w:ind w:left="720"/>
      </w:pPr>
      <w:hyperlink w:history="1" w:anchor="bm_2_10_3_final_combination_both_paths__65">
        <w:r>
          <w:rPr>
            <w:b w:val="false"/>
            <w:bCs w:val="false"/>
            <w:color w:val="1B4F72"/>
            <w:sz w:val="19"/>
            <w:szCs w:val="19"/>
            <w:u w:val="single" w:color="AAAAAA"/>
          </w:rPr>
          <w:t xml:space="preserve">2.10.3 Final combination (both paths)</w:t>
        </w:r>
      </w:hyperlink>
    </w:p>
    <w:p>
      <w:pPr>
        <w:spacing w:after="60"/>
        <w:ind w:left="720"/>
      </w:pPr>
      <w:hyperlink w:history="1" w:anchor="bm_2_10_4_plain_language_summary_66">
        <w:r>
          <w:rPr>
            <w:b w:val="false"/>
            <w:bCs w:val="false"/>
            <w:color w:val="1B4F72"/>
            <w:sz w:val="19"/>
            <w:szCs w:val="19"/>
            <w:u w:val="single" w:color="AAAAAA"/>
          </w:rPr>
          <w:t xml:space="preserve">2.10.4 Plain-language summary</w:t>
        </w:r>
      </w:hyperlink>
    </w:p>
    <w:p>
      <w:pPr>
        <w:spacing w:after="60"/>
        <w:ind w:left="360"/>
      </w:pPr>
      <w:hyperlink w:history="1" w:anchor="bm_2_11_model_11_shared_explainability_xai__67">
        <w:r>
          <w:rPr>
            <w:b w:val="false"/>
            <w:bCs w:val="false"/>
            <w:color w:val="1B4F72"/>
            <w:sz w:val="20"/>
            <w:szCs w:val="20"/>
            <w:u w:val="single" w:color="AAAAAA"/>
          </w:rPr>
          <w:t xml:space="preserve">2.11 Model 11 — Shared Explainability (XAI) Framework</w:t>
        </w:r>
      </w:hyperlink>
    </w:p>
    <w:p>
      <w:pPr>
        <w:spacing w:after="60"/>
        <w:ind w:left="720"/>
      </w:pPr>
      <w:hyperlink w:history="1" w:anchor="bm_2_11_1_the_shared_explanation_object_68">
        <w:r>
          <w:rPr>
            <w:b w:val="false"/>
            <w:bCs w:val="false"/>
            <w:color w:val="1B4F72"/>
            <w:sz w:val="19"/>
            <w:szCs w:val="19"/>
            <w:u w:val="single" w:color="AAAAAA"/>
          </w:rPr>
          <w:t xml:space="preserve">2.11.1 The shared explanation object</w:t>
        </w:r>
      </w:hyperlink>
    </w:p>
    <w:p>
      <w:pPr>
        <w:spacing w:after="60"/>
        <w:ind w:left="720"/>
      </w:pPr>
      <w:hyperlink w:history="1" w:anchor="bm_2_11_2_topfactors_extraction_69">
        <w:r>
          <w:rPr>
            <w:b w:val="false"/>
            <w:bCs w:val="false"/>
            <w:color w:val="1B4F72"/>
            <w:sz w:val="19"/>
            <w:szCs w:val="19"/>
            <w:u w:val="single" w:color="AAAAAA"/>
          </w:rPr>
          <w:t xml:space="preserve">2.11.2 topFactors extraction</w:t>
        </w:r>
      </w:hyperlink>
    </w:p>
    <w:p>
      <w:pPr>
        <w:spacing w:after="60"/>
        <w:ind w:left="720"/>
      </w:pPr>
      <w:hyperlink w:history="1" w:anchor="bm_2_11_3_confidence_calibration_70">
        <w:r>
          <w:rPr>
            <w:b w:val="false"/>
            <w:bCs w:val="false"/>
            <w:color w:val="1B4F72"/>
            <w:sz w:val="19"/>
            <w:szCs w:val="19"/>
            <w:u w:val="single" w:color="AAAAAA"/>
          </w:rPr>
          <w:t xml:space="preserve">2.11.3 Confidence calibration</w:t>
        </w:r>
      </w:hyperlink>
    </w:p>
    <w:p>
      <w:pPr>
        <w:spacing w:after="60"/>
        <w:ind w:left="720"/>
      </w:pPr>
      <w:hyperlink w:history="1" w:anchor="bm_2_11_4_counterfactual_generation_71">
        <w:r>
          <w:rPr>
            <w:b w:val="false"/>
            <w:bCs w:val="false"/>
            <w:color w:val="1B4F72"/>
            <w:sz w:val="19"/>
            <w:szCs w:val="19"/>
            <w:u w:val="single" w:color="AAAAAA"/>
          </w:rPr>
          <w:t xml:space="preserve">2.11.4 Counterfactual generation</w:t>
        </w:r>
      </w:hyperlink>
    </w:p>
    <w:p>
      <w:pPr>
        <w:spacing w:after="60"/>
        <w:ind w:left="720"/>
      </w:pPr>
      <w:hyperlink w:history="1" w:anchor="bm_2_11_5_output_vocabulary_constraint_appl_72">
        <w:r>
          <w:rPr>
            <w:b w:val="false"/>
            <w:bCs w:val="false"/>
            <w:color w:val="1B4F72"/>
            <w:sz w:val="19"/>
            <w:szCs w:val="19"/>
            <w:u w:val="single" w:color="AAAAAA"/>
          </w:rPr>
          <w:t xml:space="preserve">2.11.5 Output-vocabulary constraint (applies to every model's user-facing text, not just this one)</w:t>
        </w:r>
      </w:hyperlink>
    </w:p>
    <w:p>
      <w:pPr>
        <w:spacing w:after="60"/>
        <w:ind w:left="720"/>
      </w:pPr>
      <w:hyperlink w:history="1" w:anchor="bm_2_11_6_plain_language_summary_73">
        <w:r>
          <w:rPr>
            <w:b w:val="false"/>
            <w:bCs w:val="false"/>
            <w:color w:val="1B4F72"/>
            <w:sz w:val="19"/>
            <w:szCs w:val="19"/>
            <w:u w:val="single" w:color="AAAAAA"/>
          </w:rPr>
          <w:t xml:space="preserve">2.11.6 Plain-language summary</w:t>
        </w:r>
      </w:hyperlink>
    </w:p>
    <w:p>
      <w:pPr>
        <w:spacing w:after="60"/>
        <w:ind w:left="360"/>
      </w:pPr>
      <w:hyperlink w:history="1" w:anchor="bm_2_12_model_12_debt_optimisation_engine_74">
        <w:r>
          <w:rPr>
            <w:b w:val="false"/>
            <w:bCs w:val="false"/>
            <w:color w:val="1B4F72"/>
            <w:sz w:val="20"/>
            <w:szCs w:val="20"/>
            <w:u w:val="single" w:color="AAAAAA"/>
          </w:rPr>
          <w:t xml:space="preserve">2.12 Model 12 — Debt Optimisation Engine</w:t>
        </w:r>
      </w:hyperlink>
    </w:p>
    <w:p>
      <w:pPr>
        <w:spacing w:after="60"/>
        <w:ind w:left="720"/>
      </w:pPr>
      <w:hyperlink w:history="1" w:anchor="bm_2_12_1_amortisation_primitives_75">
        <w:r>
          <w:rPr>
            <w:b w:val="false"/>
            <w:bCs w:val="false"/>
            <w:color w:val="1B4F72"/>
            <w:sz w:val="19"/>
            <w:szCs w:val="19"/>
            <w:u w:val="single" w:color="AAAAAA"/>
          </w:rPr>
          <w:t xml:space="preserve">2.12.1 Amortisation primitives</w:t>
        </w:r>
      </w:hyperlink>
    </w:p>
    <w:p>
      <w:pPr>
        <w:spacing w:after="60"/>
        <w:ind w:left="720"/>
      </w:pPr>
      <w:hyperlink w:history="1" w:anchor="bm_2_12_2_floating_rate_recompute_76">
        <w:r>
          <w:rPr>
            <w:b w:val="false"/>
            <w:bCs w:val="false"/>
            <w:color w:val="1B4F72"/>
            <w:sz w:val="19"/>
            <w:szCs w:val="19"/>
            <w:u w:val="single" w:color="AAAAAA"/>
          </w:rPr>
          <w:t xml:space="preserve">2.12.2 Floating-rate recompute</w:t>
        </w:r>
      </w:hyperlink>
    </w:p>
    <w:p>
      <w:pPr>
        <w:spacing w:after="60"/>
        <w:ind w:left="720"/>
      </w:pPr>
      <w:hyperlink w:history="1" w:anchor="bm_2_12_3_avalanche_vs_snowball_77">
        <w:r>
          <w:rPr>
            <w:b w:val="false"/>
            <w:bCs w:val="false"/>
            <w:color w:val="1B4F72"/>
            <w:sz w:val="19"/>
            <w:szCs w:val="19"/>
            <w:u w:val="single" w:color="AAAAAA"/>
          </w:rPr>
          <w:t xml:space="preserve">2.12.3 Avalanche vs Snowball</w:t>
        </w:r>
      </w:hyperlink>
    </w:p>
    <w:p>
      <w:pPr>
        <w:spacing w:after="60"/>
        <w:ind w:left="720"/>
      </w:pPr>
      <w:hyperlink w:history="1" w:anchor="bm_2_12_4_foreclosure_decision_78">
        <w:r>
          <w:rPr>
            <w:b w:val="false"/>
            <w:bCs w:val="false"/>
            <w:color w:val="1B4F72"/>
            <w:sz w:val="19"/>
            <w:szCs w:val="19"/>
            <w:u w:val="single" w:color="AAAAAA"/>
          </w:rPr>
          <w:t xml:space="preserve">2.12.4 Foreclosure decision</w:t>
        </w:r>
      </w:hyperlink>
    </w:p>
    <w:p>
      <w:pPr>
        <w:spacing w:after="60"/>
        <w:ind w:left="720"/>
      </w:pPr>
      <w:hyperlink w:history="1" w:anchor="bm_2_12_5_rule_based_path_79">
        <w:r>
          <w:rPr>
            <w:b w:val="false"/>
            <w:bCs w:val="false"/>
            <w:color w:val="1B4F72"/>
            <w:sz w:val="19"/>
            <w:szCs w:val="19"/>
            <w:u w:val="single" w:color="AAAAAA"/>
          </w:rPr>
          <w:t xml:space="preserve">2.12.5 Rule-based path</w:t>
        </w:r>
      </w:hyperlink>
    </w:p>
    <w:p>
      <w:pPr>
        <w:spacing w:after="60"/>
        <w:ind w:left="720"/>
      </w:pPr>
      <w:hyperlink w:history="1" w:anchor="bm_2_12_6_plain_language_summary_80">
        <w:r>
          <w:rPr>
            <w:b w:val="false"/>
            <w:bCs w:val="false"/>
            <w:color w:val="1B4F72"/>
            <w:sz w:val="19"/>
            <w:szCs w:val="19"/>
            <w:u w:val="single" w:color="AAAAAA"/>
          </w:rPr>
          <w:t xml:space="preserve">2.12.6 Plain-language summary</w:t>
        </w:r>
      </w:hyperlink>
    </w:p>
    <w:p>
      <w:pPr>
        <w:spacing w:after="60"/>
        <w:ind w:left="360"/>
      </w:pPr>
      <w:hyperlink w:history="1" w:anchor="bm_2_13_model_13_scenario_simulation_what_i_81">
        <w:r>
          <w:rPr>
            <w:b w:val="false"/>
            <w:bCs w:val="false"/>
            <w:color w:val="1B4F72"/>
            <w:sz w:val="20"/>
            <w:szCs w:val="20"/>
            <w:u w:val="single" w:color="AAAAAA"/>
          </w:rPr>
          <w:t xml:space="preserve">2.13 Model 13 — Scenario Simulation / What-If Engine</w:t>
        </w:r>
      </w:hyperlink>
    </w:p>
    <w:p>
      <w:pPr>
        <w:spacing w:after="60"/>
        <w:ind w:left="720"/>
      </w:pPr>
      <w:hyperlink w:history="1" w:anchor="bm_2_13_1_monte_carlo_path_return_uncertain_82">
        <w:r>
          <w:rPr>
            <w:b w:val="false"/>
            <w:bCs w:val="false"/>
            <w:color w:val="1B4F72"/>
            <w:sz w:val="19"/>
            <w:szCs w:val="19"/>
            <w:u w:val="single" w:color="AAAAAA"/>
          </w:rPr>
          <w:t xml:space="preserve">2.13.1 Monte Carlo path (return-uncertainty scenarios only)</w:t>
        </w:r>
      </w:hyperlink>
    </w:p>
    <w:p>
      <w:pPr>
        <w:spacing w:after="60"/>
        <w:ind w:left="720"/>
      </w:pPr>
      <w:hyperlink w:history="1" w:anchor="bm_2_13_2_deterministic_path_no_uncertainty_83">
        <w:r>
          <w:rPr>
            <w:b w:val="false"/>
            <w:bCs w:val="false"/>
            <w:color w:val="1B4F72"/>
            <w:sz w:val="19"/>
            <w:szCs w:val="19"/>
            <w:u w:val="single" w:color="AAAAAA"/>
          </w:rPr>
          <w:t xml:space="preserve">2.13.2 Deterministic path (no-uncertainty scenarios)</w:t>
        </w:r>
      </w:hyperlink>
    </w:p>
    <w:p>
      <w:pPr>
        <w:spacing w:after="60"/>
        <w:ind w:left="720"/>
      </w:pPr>
      <w:hyperlink w:history="1" w:anchor="bm_2_13_3_rule_based_path_6_months_monte_ca_84">
        <w:r>
          <w:rPr>
            <w:b w:val="false"/>
            <w:bCs w:val="false"/>
            <w:color w:val="1B4F72"/>
            <w:sz w:val="19"/>
            <w:szCs w:val="19"/>
            <w:u w:val="single" w:color="AAAAAA"/>
          </w:rPr>
          <w:t xml:space="preserve">2.13.3 Rule-based path (&lt; 6 months, Monte Carlo tier only)</w:t>
        </w:r>
      </w:hyperlink>
    </w:p>
    <w:p>
      <w:pPr>
        <w:spacing w:after="60"/>
        <w:ind w:left="720"/>
      </w:pPr>
      <w:hyperlink w:history="1" w:anchor="bm_2_13_4_calibration_and_honesty_constrain_85">
        <w:r>
          <w:rPr>
            <w:b w:val="false"/>
            <w:bCs w:val="false"/>
            <w:color w:val="1B4F72"/>
            <w:sz w:val="19"/>
            <w:szCs w:val="19"/>
            <w:u w:val="single" w:color="AAAAAA"/>
          </w:rPr>
          <w:t xml:space="preserve">2.13.4 Calibration and honesty constraints (both paths)</w:t>
        </w:r>
      </w:hyperlink>
    </w:p>
    <w:p>
      <w:pPr>
        <w:spacing w:after="60"/>
        <w:ind w:left="720"/>
      </w:pPr>
      <w:hyperlink w:history="1" w:anchor="bm_2_13_5_plain_language_summary_86">
        <w:r>
          <w:rPr>
            <w:b w:val="false"/>
            <w:bCs w:val="false"/>
            <w:color w:val="1B4F72"/>
            <w:sz w:val="19"/>
            <w:szCs w:val="19"/>
            <w:u w:val="single" w:color="AAAAAA"/>
          </w:rPr>
          <w:t xml:space="preserve">2.13.5 Plain-language summary</w:t>
        </w:r>
      </w:hyperlink>
    </w:p>
    <w:p>
      <w:pPr>
        <w:spacing w:after="60"/>
        <w:ind w:left="360"/>
      </w:pPr>
      <w:hyperlink w:history="1" w:anchor="bm_2_14_model_14_market_manipulation_panic__87">
        <w:r>
          <w:rPr>
            <w:b w:val="false"/>
            <w:bCs w:val="false"/>
            <w:color w:val="1B4F72"/>
            <w:sz w:val="20"/>
            <w:szCs w:val="20"/>
            <w:u w:val="single" w:color="AAAAAA"/>
          </w:rPr>
          <w:t xml:space="preserve">2.14 Model 14 — Market Manipulation &amp; Panic-Selling Defence</w:t>
        </w:r>
      </w:hyperlink>
    </w:p>
    <w:p>
      <w:pPr>
        <w:spacing w:after="60"/>
        <w:ind w:left="720"/>
      </w:pPr>
      <w:hyperlink w:history="1" w:anchor="bm_2_14_1_tip_to_trade_correlation_88">
        <w:r>
          <w:rPr>
            <w:b w:val="false"/>
            <w:bCs w:val="false"/>
            <w:color w:val="1B4F72"/>
            <w:sz w:val="19"/>
            <w:szCs w:val="19"/>
            <w:u w:val="single" w:color="AAAAAA"/>
          </w:rPr>
          <w:t xml:space="preserve">2.14.1 Tip-to-trade correlation</w:t>
        </w:r>
      </w:hyperlink>
    </w:p>
    <w:p>
      <w:pPr>
        <w:spacing w:after="60"/>
        <w:ind w:left="720"/>
      </w:pPr>
      <w:hyperlink w:history="1" w:anchor="bm_2_14_2_panic_selling_intervention_89">
        <w:r>
          <w:rPr>
            <w:b w:val="false"/>
            <w:bCs w:val="false"/>
            <w:color w:val="1B4F72"/>
            <w:sz w:val="19"/>
            <w:szCs w:val="19"/>
            <w:u w:val="single" w:color="AAAAAA"/>
          </w:rPr>
          <w:t xml:space="preserve">2.14.2 Panic-selling intervention</w:t>
        </w:r>
      </w:hyperlink>
    </w:p>
    <w:p>
      <w:pPr>
        <w:spacing w:after="60"/>
        <w:ind w:left="720"/>
      </w:pPr>
      <w:hyperlink w:history="1" w:anchor="bm_2_14_3_rule_based_path_90">
        <w:r>
          <w:rPr>
            <w:b w:val="false"/>
            <w:bCs w:val="false"/>
            <w:color w:val="1B4F72"/>
            <w:sz w:val="19"/>
            <w:szCs w:val="19"/>
            <w:u w:val="single" w:color="AAAAAA"/>
          </w:rPr>
          <w:t xml:space="preserve">2.14.3 Rule-based path</w:t>
        </w:r>
      </w:hyperlink>
    </w:p>
    <w:p>
      <w:pPr>
        <w:spacing w:after="60"/>
        <w:ind w:left="720"/>
      </w:pPr>
      <w:hyperlink w:history="1" w:anchor="bm_2_14_4_plain_language_summary_91">
        <w:r>
          <w:rPr>
            <w:b w:val="false"/>
            <w:bCs w:val="false"/>
            <w:color w:val="1B4F72"/>
            <w:sz w:val="19"/>
            <w:szCs w:val="19"/>
            <w:u w:val="single" w:color="AAAAAA"/>
          </w:rPr>
          <w:t xml:space="preserve">2.14.4 Plain-language summary</w:t>
        </w:r>
      </w:hyperlink>
    </w:p>
    <w:p>
      <w:pPr>
        <w:spacing w:after="60"/>
        <w:ind w:left="360"/>
      </w:pPr>
      <w:hyperlink w:history="1" w:anchor="bm_2_15_model_15_news_disinformation_integr_92">
        <w:r>
          <w:rPr>
            <w:b w:val="false"/>
            <w:bCs w:val="false"/>
            <w:color w:val="1B4F72"/>
            <w:sz w:val="20"/>
            <w:szCs w:val="20"/>
            <w:u w:val="single" w:color="AAAAAA"/>
          </w:rPr>
          <w:t xml:space="preserve">2.15 Model 15 — News / Disinformation Integrity Filter</w:t>
        </w:r>
      </w:hyperlink>
    </w:p>
    <w:p>
      <w:pPr>
        <w:spacing w:after="60"/>
        <w:ind w:left="720"/>
      </w:pPr>
      <w:hyperlink w:history="1" w:anchor="bm_2_15_1_stage_1_source_whitelist_93">
        <w:r>
          <w:rPr>
            <w:b w:val="false"/>
            <w:bCs w:val="false"/>
            <w:color w:val="1B4F72"/>
            <w:sz w:val="19"/>
            <w:szCs w:val="19"/>
            <w:u w:val="single" w:color="AAAAAA"/>
          </w:rPr>
          <w:t xml:space="preserve">2.15.1 Stage 1 — source whitelist</w:t>
        </w:r>
      </w:hyperlink>
    </w:p>
    <w:p>
      <w:pPr>
        <w:spacing w:after="60"/>
        <w:ind w:left="720"/>
      </w:pPr>
      <w:hyperlink w:history="1" w:anchor="bm_2_15_2_stage_2_tone_manipulation_scoring_94">
        <w:r>
          <w:rPr>
            <w:b w:val="false"/>
            <w:bCs w:val="false"/>
            <w:color w:val="1B4F72"/>
            <w:sz w:val="19"/>
            <w:szCs w:val="19"/>
            <w:u w:val="single" w:color="AAAAAA"/>
          </w:rPr>
          <w:t xml:space="preserve">2.15.2 Stage 2 — tone/manipulation scoring (whitelisted content only)</w:t>
        </w:r>
      </w:hyperlink>
    </w:p>
    <w:p>
      <w:pPr>
        <w:spacing w:after="60"/>
        <w:ind w:left="720"/>
      </w:pPr>
      <w:hyperlink w:history="1" w:anchor="bm_2_15_3_rule_based_path_95">
        <w:r>
          <w:rPr>
            <w:b w:val="false"/>
            <w:bCs w:val="false"/>
            <w:color w:val="1B4F72"/>
            <w:sz w:val="19"/>
            <w:szCs w:val="19"/>
            <w:u w:val="single" w:color="AAAAAA"/>
          </w:rPr>
          <w:t xml:space="preserve">2.15.3 Rule-based path</w:t>
        </w:r>
      </w:hyperlink>
    </w:p>
    <w:p>
      <w:pPr>
        <w:spacing w:after="60"/>
        <w:ind w:left="720"/>
      </w:pPr>
      <w:hyperlink w:history="1" w:anchor="bm_2_15_4_plain_language_summary_96">
        <w:r>
          <w:rPr>
            <w:b w:val="false"/>
            <w:bCs w:val="false"/>
            <w:color w:val="1B4F72"/>
            <w:sz w:val="19"/>
            <w:szCs w:val="19"/>
            <w:u w:val="single" w:color="AAAAAA"/>
          </w:rPr>
          <w:t xml:space="preserve">2.15.4 Plain-language summary</w:t>
        </w:r>
      </w:hyperlink>
    </w:p>
    <w:p>
      <w:pPr>
        <w:spacing w:after="100"/>
        <w:ind w:left="0"/>
      </w:pPr>
      <w:hyperlink w:history="1" w:anchor="bm_3_compliance_checked_inputs_97">
        <w:r>
          <w:rPr>
            <w:b/>
            <w:bCs/>
            <w:color w:val="1B4F72"/>
            <w:sz w:val="21"/>
            <w:szCs w:val="21"/>
          </w:rPr>
          <w:t xml:space="preserve">3. Compliance-Checked Inputs</w:t>
        </w:r>
      </w:hyperlink>
    </w:p>
    <w:p>
      <w:pPr>
        <w:spacing w:after="60"/>
        <w:ind w:left="360"/>
      </w:pPr>
      <w:hyperlink w:history="1" w:anchor="bm_3_1_financial_and_transactional_data_98">
        <w:r>
          <w:rPr>
            <w:b w:val="false"/>
            <w:bCs w:val="false"/>
            <w:color w:val="1B4F72"/>
            <w:sz w:val="20"/>
            <w:szCs w:val="20"/>
            <w:u w:val="single" w:color="AAAAAA"/>
          </w:rPr>
          <w:t xml:space="preserve">3.1 Financial and Transactional Data</w:t>
        </w:r>
      </w:hyperlink>
    </w:p>
    <w:p>
      <w:pPr>
        <w:spacing w:after="60"/>
        <w:ind w:left="360"/>
      </w:pPr>
      <w:hyperlink w:history="1" w:anchor="bm_3_2_identity_and_profile_data_99">
        <w:r>
          <w:rPr>
            <w:b w:val="false"/>
            <w:bCs w:val="false"/>
            <w:color w:val="1B4F72"/>
            <w:sz w:val="20"/>
            <w:szCs w:val="20"/>
            <w:u w:val="single" w:color="AAAAAA"/>
          </w:rPr>
          <w:t xml:space="preserve">3.2 Identity and Profile Data</w:t>
        </w:r>
      </w:hyperlink>
    </w:p>
    <w:p>
      <w:pPr>
        <w:spacing w:after="60"/>
        <w:ind w:left="360"/>
      </w:pPr>
      <w:hyperlink w:history="1" w:anchor="bm_3_3_device_location_and_biometric_signal_100">
        <w:r>
          <w:rPr>
            <w:b w:val="false"/>
            <w:bCs w:val="false"/>
            <w:color w:val="1B4F72"/>
            <w:sz w:val="20"/>
            <w:szCs w:val="20"/>
            <w:u w:val="single" w:color="AAAAAA"/>
          </w:rPr>
          <w:t xml:space="preserve">3.3 Device, Location, and Biometric Signals</w:t>
        </w:r>
      </w:hyperlink>
    </w:p>
    <w:p>
      <w:pPr>
        <w:spacing w:after="60"/>
        <w:ind w:left="360"/>
      </w:pPr>
      <w:hyperlink w:history="1" w:anchor="bm_3_4_market_news_and_graph_data_101">
        <w:r>
          <w:rPr>
            <w:b w:val="false"/>
            <w:bCs w:val="false"/>
            <w:color w:val="1B4F72"/>
            <w:sz w:val="20"/>
            <w:szCs w:val="20"/>
            <w:u w:val="single" w:color="AAAAAA"/>
          </w:rPr>
          <w:t xml:space="preserve">3.4 Market, News, and Graph Data</w:t>
        </w:r>
      </w:hyperlink>
    </w:p>
    <w:p>
      <w:pPr>
        <w:spacing w:after="60"/>
        <w:ind w:left="360"/>
      </w:pPr>
      <w:hyperlink w:history="1" w:anchor="bm_3_5_what_cannot_be_taken_as_input_102">
        <w:r>
          <w:rPr>
            <w:b w:val="false"/>
            <w:bCs w:val="false"/>
            <w:color w:val="1B4F72"/>
            <w:sz w:val="20"/>
            <w:szCs w:val="20"/>
            <w:u w:val="single" w:color="AAAAAA"/>
          </w:rPr>
          <w:t xml:space="preserve">3.5 What CANNOT Be Taken as Input</w:t>
        </w:r>
      </w:hyperlink>
    </w:p>
    <w:p>
      <w:pPr>
        <w:spacing w:after="100"/>
        <w:ind w:left="0"/>
      </w:pPr>
      <w:hyperlink w:history="1" w:anchor="bm_4_synthetic_data_requirements_103">
        <w:r>
          <w:rPr>
            <w:b/>
            <w:bCs/>
            <w:color w:val="1B4F72"/>
            <w:sz w:val="21"/>
            <w:szCs w:val="21"/>
          </w:rPr>
          <w:t xml:space="preserve">4. Synthetic Data Requirements</w:t>
        </w:r>
      </w:hyperlink>
    </w:p>
    <w:p>
      <w:pPr>
        <w:spacing w:after="60"/>
        <w:ind w:left="360"/>
      </w:pPr>
      <w:hyperlink w:history="1" w:anchor="bm_4_1_model_1_transaction_risk_score_104">
        <w:r>
          <w:rPr>
            <w:b w:val="false"/>
            <w:bCs w:val="false"/>
            <w:color w:val="1B4F72"/>
            <w:sz w:val="20"/>
            <w:szCs w:val="20"/>
            <w:u w:val="single" w:color="AAAAAA"/>
          </w:rPr>
          <w:t xml:space="preserve">4.1 Model 1 — Transaction Risk Score</w:t>
        </w:r>
      </w:hyperlink>
    </w:p>
    <w:p>
      <w:pPr>
        <w:spacing w:after="60"/>
        <w:ind w:left="360"/>
      </w:pPr>
      <w:hyperlink w:history="1" w:anchor="bm_4_2_model_2_financial_health_score_105">
        <w:r>
          <w:rPr>
            <w:b w:val="false"/>
            <w:bCs w:val="false"/>
            <w:color w:val="1B4F72"/>
            <w:sz w:val="20"/>
            <w:szCs w:val="20"/>
            <w:u w:val="single" w:color="AAAAAA"/>
          </w:rPr>
          <w:t xml:space="preserve">4.2 Model 2 — Financial Health Score</w:t>
        </w:r>
      </w:hyperlink>
    </w:p>
    <w:p>
      <w:pPr>
        <w:spacing w:after="60"/>
        <w:ind w:left="360"/>
      </w:pPr>
      <w:hyperlink w:history="1" w:anchor="bm_4_3_model_3_persona_classifier_106">
        <w:r>
          <w:rPr>
            <w:b w:val="false"/>
            <w:bCs w:val="false"/>
            <w:color w:val="1B4F72"/>
            <w:sz w:val="20"/>
            <w:szCs w:val="20"/>
            <w:u w:val="single" w:color="AAAAAA"/>
          </w:rPr>
          <w:t xml:space="preserve">4.3 Model 3 — Persona Classifier</w:t>
        </w:r>
      </w:hyperlink>
    </w:p>
    <w:p>
      <w:pPr>
        <w:spacing w:after="60"/>
        <w:ind w:left="360"/>
      </w:pPr>
      <w:hyperlink w:history="1" w:anchor="bm_4_4_model_4_nudging_engine_107">
        <w:r>
          <w:rPr>
            <w:b w:val="false"/>
            <w:bCs w:val="false"/>
            <w:color w:val="1B4F72"/>
            <w:sz w:val="20"/>
            <w:szCs w:val="20"/>
            <w:u w:val="single" w:color="AAAAAA"/>
          </w:rPr>
          <w:t xml:space="preserve">4.4 Model 4 — Nudging Engine</w:t>
        </w:r>
      </w:hyperlink>
    </w:p>
    <w:p>
      <w:pPr>
        <w:spacing w:after="60"/>
        <w:ind w:left="360"/>
      </w:pPr>
      <w:hyperlink w:history="1" w:anchor="bm_4_5_model_5_mule_account_gnn_108">
        <w:r>
          <w:rPr>
            <w:b w:val="false"/>
            <w:bCs w:val="false"/>
            <w:color w:val="1B4F72"/>
            <w:sz w:val="20"/>
            <w:szCs w:val="20"/>
            <w:u w:val="single" w:color="AAAAAA"/>
          </w:rPr>
          <w:t xml:space="preserve">4.5 Model 5 — Mule Account GNN</w:t>
        </w:r>
      </w:hyperlink>
    </w:p>
    <w:p>
      <w:pPr>
        <w:spacing w:after="60"/>
        <w:ind w:left="360"/>
      </w:pPr>
      <w:hyperlink w:history="1" w:anchor="bm_4_6_model_6_investment_risk_assessment_109">
        <w:r>
          <w:rPr>
            <w:b w:val="false"/>
            <w:bCs w:val="false"/>
            <w:color w:val="1B4F72"/>
            <w:sz w:val="20"/>
            <w:szCs w:val="20"/>
            <w:u w:val="single" w:color="AAAAAA"/>
          </w:rPr>
          <w:t xml:space="preserve">4.6 Model 6 — Investment Risk Assessment</w:t>
        </w:r>
      </w:hyperlink>
    </w:p>
    <w:p>
      <w:pPr>
        <w:spacing w:after="60"/>
        <w:ind w:left="360"/>
      </w:pPr>
      <w:hyperlink w:history="1" w:anchor="bm_4_7_model_7_insurance_protection_score_110">
        <w:r>
          <w:rPr>
            <w:b w:val="false"/>
            <w:bCs w:val="false"/>
            <w:color w:val="1B4F72"/>
            <w:sz w:val="20"/>
            <w:szCs w:val="20"/>
            <w:u w:val="single" w:color="AAAAAA"/>
          </w:rPr>
          <w:t xml:space="preserve">4.7 Model 7 — Insurance Protection Score</w:t>
        </w:r>
      </w:hyperlink>
    </w:p>
    <w:p>
      <w:pPr>
        <w:spacing w:after="60"/>
        <w:ind w:left="360"/>
      </w:pPr>
      <w:hyperlink w:history="1" w:anchor="bm_4_8_model_8_tax_calculation_suite_111">
        <w:r>
          <w:rPr>
            <w:b w:val="false"/>
            <w:bCs w:val="false"/>
            <w:color w:val="1B4F72"/>
            <w:sz w:val="20"/>
            <w:szCs w:val="20"/>
            <w:u w:val="single" w:color="AAAAAA"/>
          </w:rPr>
          <w:t xml:space="preserve">4.8 Model 8 — Tax Calculation Suite</w:t>
        </w:r>
      </w:hyperlink>
    </w:p>
    <w:p>
      <w:pPr>
        <w:spacing w:after="60"/>
        <w:ind w:left="360"/>
      </w:pPr>
      <w:hyperlink w:history="1" w:anchor="bm_4_9_model_9_behavioural_biometrics_112">
        <w:r>
          <w:rPr>
            <w:b w:val="false"/>
            <w:bCs w:val="false"/>
            <w:color w:val="1B4F72"/>
            <w:sz w:val="20"/>
            <w:szCs w:val="20"/>
            <w:u w:val="single" w:color="AAAAAA"/>
          </w:rPr>
          <w:t xml:space="preserve">4.9 Model 9 — Behavioural Biometrics</w:t>
        </w:r>
      </w:hyperlink>
    </w:p>
    <w:p>
      <w:pPr>
        <w:spacing w:after="60"/>
        <w:ind w:left="360"/>
      </w:pPr>
      <w:hyperlink w:history="1" w:anchor="bm_4_10_model_10_sms_fraud_classifier_113">
        <w:r>
          <w:rPr>
            <w:b w:val="false"/>
            <w:bCs w:val="false"/>
            <w:color w:val="1B4F72"/>
            <w:sz w:val="20"/>
            <w:szCs w:val="20"/>
            <w:u w:val="single" w:color="AAAAAA"/>
          </w:rPr>
          <w:t xml:space="preserve">4.10 Model 10 — SMS Fraud Classifier</w:t>
        </w:r>
      </w:hyperlink>
    </w:p>
    <w:p>
      <w:pPr>
        <w:spacing w:after="60"/>
        <w:ind w:left="360"/>
      </w:pPr>
      <w:hyperlink w:history="1" w:anchor="bm_4_11_model_11_explainability_framework_114">
        <w:r>
          <w:rPr>
            <w:b w:val="false"/>
            <w:bCs w:val="false"/>
            <w:color w:val="1B4F72"/>
            <w:sz w:val="20"/>
            <w:szCs w:val="20"/>
            <w:u w:val="single" w:color="AAAAAA"/>
          </w:rPr>
          <w:t xml:space="preserve">4.11 Model 11 — Explainability Framework</w:t>
        </w:r>
      </w:hyperlink>
    </w:p>
    <w:p>
      <w:pPr>
        <w:spacing w:after="60"/>
        <w:ind w:left="360"/>
      </w:pPr>
      <w:hyperlink w:history="1" w:anchor="bm_4_12_model_12_debt_optimisation_engine_115">
        <w:r>
          <w:rPr>
            <w:b w:val="false"/>
            <w:bCs w:val="false"/>
            <w:color w:val="1B4F72"/>
            <w:sz w:val="20"/>
            <w:szCs w:val="20"/>
            <w:u w:val="single" w:color="AAAAAA"/>
          </w:rPr>
          <w:t xml:space="preserve">4.12 Model 12 — Debt Optimisation Engine</w:t>
        </w:r>
      </w:hyperlink>
    </w:p>
    <w:p>
      <w:pPr>
        <w:spacing w:after="60"/>
        <w:ind w:left="360"/>
      </w:pPr>
      <w:hyperlink w:history="1" w:anchor="bm_4_13_model_13_scenario_simulation_engine_116">
        <w:r>
          <w:rPr>
            <w:b w:val="false"/>
            <w:bCs w:val="false"/>
            <w:color w:val="1B4F72"/>
            <w:sz w:val="20"/>
            <w:szCs w:val="20"/>
            <w:u w:val="single" w:color="AAAAAA"/>
          </w:rPr>
          <w:t xml:space="preserve">4.13 Model 13 — Scenario Simulation Engine</w:t>
        </w:r>
      </w:hyperlink>
    </w:p>
    <w:p>
      <w:pPr>
        <w:spacing w:after="60"/>
        <w:ind w:left="360"/>
      </w:pPr>
      <w:hyperlink w:history="1" w:anchor="bm_4_14_model_14_market_manipulation_panic__117">
        <w:r>
          <w:rPr>
            <w:b w:val="false"/>
            <w:bCs w:val="false"/>
            <w:color w:val="1B4F72"/>
            <w:sz w:val="20"/>
            <w:szCs w:val="20"/>
            <w:u w:val="single" w:color="AAAAAA"/>
          </w:rPr>
          <w:t xml:space="preserve">4.14 Model 14 — Market Manipulation &amp; Panic-Sell Defence</w:t>
        </w:r>
      </w:hyperlink>
    </w:p>
    <w:p>
      <w:pPr>
        <w:spacing w:after="60"/>
        <w:ind w:left="360"/>
      </w:pPr>
      <w:hyperlink w:history="1" w:anchor="bm_4_15_model_15_news_disinformation_integr_118">
        <w:r>
          <w:rPr>
            <w:b w:val="false"/>
            <w:bCs w:val="false"/>
            <w:color w:val="1B4F72"/>
            <w:sz w:val="20"/>
            <w:szCs w:val="20"/>
            <w:u w:val="single" w:color="AAAAAA"/>
          </w:rPr>
          <w:t xml:space="preserve">4.15 Model 15 — News / Disinformation Integrity Filter</w:t>
        </w:r>
      </w:hyperlink>
    </w:p>
    <w:p>
      <w:pPr>
        <w:spacing w:after="100"/>
        <w:ind w:left="0"/>
      </w:pPr>
      <w:hyperlink w:history="1" w:anchor="bm_5_references_119">
        <w:r>
          <w:rPr>
            <w:b/>
            <w:bCs/>
            <w:color w:val="1B4F72"/>
            <w:sz w:val="21"/>
            <w:szCs w:val="21"/>
          </w:rPr>
          <w:t xml:space="preserve">5. References</w:t>
        </w:r>
      </w:hyperlink>
    </w:p>
    <w:p>
      <w:pPr>
        <w:spacing w:after="60"/>
        <w:ind w:left="360"/>
      </w:pPr>
      <w:hyperlink w:history="1" w:anchor="bm_5_1_data_protection_law_120">
        <w:r>
          <w:rPr>
            <w:b w:val="false"/>
            <w:bCs w:val="false"/>
            <w:color w:val="1B4F72"/>
            <w:sz w:val="20"/>
            <w:szCs w:val="20"/>
            <w:u w:val="single" w:color="AAAAAA"/>
          </w:rPr>
          <w:t xml:space="preserve">5.1 Data Protection Law</w:t>
        </w:r>
      </w:hyperlink>
    </w:p>
    <w:p>
      <w:pPr>
        <w:spacing w:after="60"/>
        <w:ind w:left="360"/>
      </w:pPr>
      <w:hyperlink w:history="1" w:anchor="bm_5_2_banking_and_payments_regulation_rbi__121">
        <w:r>
          <w:rPr>
            <w:b w:val="false"/>
            <w:bCs w:val="false"/>
            <w:color w:val="1B4F72"/>
            <w:sz w:val="20"/>
            <w:szCs w:val="20"/>
            <w:u w:val="single" w:color="AAAAAA"/>
          </w:rPr>
          <w:t xml:space="preserve">5.2 Banking and Payments Regulation (RBI)</w:t>
        </w:r>
      </w:hyperlink>
    </w:p>
    <w:p>
      <w:pPr>
        <w:spacing w:after="60"/>
        <w:ind w:left="360"/>
      </w:pPr>
      <w:hyperlink w:history="1" w:anchor="bm_5_3_financial_benchmarks_grounding_the_f_122">
        <w:r>
          <w:rPr>
            <w:b w:val="false"/>
            <w:bCs w:val="false"/>
            <w:color w:val="1B4F72"/>
            <w:sz w:val="20"/>
            <w:szCs w:val="20"/>
            <w:u w:val="single" w:color="AAAAAA"/>
          </w:rPr>
          <w:t xml:space="preserve">5.3 Financial Benchmarks Grounding the Financial Health Score</w:t>
        </w:r>
      </w:hyperlink>
    </w:p>
    <w:p>
      <w:pPr>
        <w:spacing w:after="60"/>
        <w:ind w:left="360"/>
      </w:pPr>
      <w:hyperlink w:history="1" w:anchor="bm_5_4_investment_and_insurance_regulation_123">
        <w:r>
          <w:rPr>
            <w:b w:val="false"/>
            <w:bCs w:val="false"/>
            <w:color w:val="1B4F72"/>
            <w:sz w:val="20"/>
            <w:szCs w:val="20"/>
            <w:u w:val="single" w:color="AAAAAA"/>
          </w:rPr>
          <w:t xml:space="preserve">5.4 Investment and Insurance Regulation</w:t>
        </w:r>
      </w:hyperlink>
    </w:p>
    <w:p>
      <w:pPr>
        <w:spacing w:after="60"/>
        <w:ind w:left="360"/>
      </w:pPr>
      <w:hyperlink w:history="1" w:anchor="bm_5_5_tax_law_124">
        <w:r>
          <w:rPr>
            <w:b w:val="false"/>
            <w:bCs w:val="false"/>
            <w:color w:val="1B4F72"/>
            <w:sz w:val="20"/>
            <w:szCs w:val="20"/>
            <w:u w:val="single" w:color="AAAAAA"/>
          </w:rPr>
          <w:t xml:space="preserve">5.5 Tax Law</w:t>
        </w:r>
      </w:hyperlink>
    </w:p>
    <w:p>
      <w:pPr>
        <w:spacing w:after="60"/>
        <w:ind w:left="360"/>
      </w:pPr>
      <w:hyperlink w:history="1" w:anchor="bm_5_6_cybersecurity_and_incident_response_125">
        <w:r>
          <w:rPr>
            <w:b w:val="false"/>
            <w:bCs w:val="false"/>
            <w:color w:val="1B4F72"/>
            <w:sz w:val="20"/>
            <w:szCs w:val="20"/>
            <w:u w:val="single" w:color="AAAAAA"/>
          </w:rPr>
          <w:t xml:space="preserve">5.6 Cybersecurity and Incident Response</w:t>
        </w:r>
      </w:hyperlink>
    </w:p>
    <w:p>
      <w:pPr>
        <w:spacing w:after="60"/>
        <w:ind w:left="360"/>
      </w:pPr>
      <w:hyperlink w:history="1" w:anchor="bm_5_7_anti_money_laundering_126">
        <w:r>
          <w:rPr>
            <w:b w:val="false"/>
            <w:bCs w:val="false"/>
            <w:color w:val="1B4F72"/>
            <w:sz w:val="20"/>
            <w:szCs w:val="20"/>
            <w:u w:val="single" w:color="AAAAAA"/>
          </w:rPr>
          <w:t xml:space="preserve">5.7 Anti-Money-Laundering</w:t>
        </w:r>
      </w:hyperlink>
    </w:p>
    <w:p>
      <w:pPr>
        <w:spacing w:after="60"/>
        <w:ind w:left="360"/>
      </w:pPr>
      <w:hyperlink w:history="1" w:anchor="bm_5_8_consumer_protection_127">
        <w:r>
          <w:rPr>
            <w:b w:val="false"/>
            <w:bCs w:val="false"/>
            <w:color w:val="1B4F72"/>
            <w:sz w:val="20"/>
            <w:szCs w:val="20"/>
            <w:u w:val="single" w:color="AAAAAA"/>
          </w:rPr>
          <w:t xml:space="preserve">5.8 Consumer Protection</w:t>
        </w:r>
      </w:hyperlink>
    </w:p>
    <w:p>
      <w:r>
        <w:br w:type="page"/>
      </w:r>
    </w:p>
    <w:p>
      <w:pPr>
        <w:spacing w:after="100"/>
        <w:jc w:val="center"/>
      </w:pPr>
      <w:r>
        <w:rPr>
          <w:b/>
          <w:bCs/>
          <w:color w:val="1B4F72"/>
          <w:sz w:val="64"/>
          <w:szCs w:val="64"/>
        </w:rPr>
        <w:t xml:space="preserve">FINIX</w:t>
      </w:r>
    </w:p>
    <w:p>
      <w:pPr>
        <w:spacing w:after="60"/>
        <w:jc w:val="center"/>
      </w:pPr>
      <w:r>
        <w:rPr>
          <w:b/>
          <w:bCs/>
          <w:color w:val="2E5C8A"/>
          <w:sz w:val="30"/>
          <w:szCs w:val="30"/>
        </w:rPr>
        <w:t xml:space="preserve">Verified Mathematics &amp; Rule-Based Logic Specification</w:t>
      </w:r>
    </w:p>
    <w:p>
      <w:pPr>
        <w:spacing w:after="400"/>
        <w:jc w:val="center"/>
      </w:pPr>
      <w:r>
        <w:rPr>
          <w:i/>
          <w:iCs/>
          <w:color w:val="555555"/>
          <w:sz w:val="22"/>
          <w:szCs w:val="22"/>
        </w:rPr>
        <w:t xml:space="preserve">Every formula checked line-by-line against current RBI, SEBI, IRDAI, PMLA, DPDP, and Income Tax law — corrections applied and their downstream effects traced through</w:t>
      </w:r>
    </w:p>
    <w:p>
      <w:pPr>
        <w:pStyle w:val="Heading1"/>
        <w:spacing w:after="200" w:before="400"/>
      </w:pPr>
      <w:bookmarkStart w:name="bm_0_how_this_revision_works_0" w:id="1"/>
      <w:r>
        <w:t xml:space="preserve">0. How This Revision Works</w:t>
      </w:r>
      <w:bookmarkEnd w:id="1"/>
    </w:p>
    <w:p>
      <w:pPr>
        <w:spacing w:after="150"/>
      </w:pPr>
      <w:r>
        <w:t xml:space="preserve">This is a corrected revision of the FINIX math and logic specification. Every formula in Section 2 was checked against the underlying regulation it depends on, using live regulatory research rather than relying on the earlier draft's assumptions — several of which had gone stale or were never fully accurate. Where a correction was needed, it was made at the formula itself, and then traced forward to every other formula, rule, or compliance note that depended on the corrected value, so a fix in one place doesn't leave a contradiction somewhere else in the document.</w:t>
      </w:r>
    </w:p>
    <w:p>
      <w:pPr>
        <w:spacing w:after="150"/>
      </w:pPr>
      <w:r>
        <w:t xml:space="preserve">Formatting rule applied throughout: every math block below contains ONLY the formula — no inline rationale, no bracketed asides, no embedded justification. Every math block is immediately followed by a separate “Notes” line that carries all of that commentary instead. This is a strict separation, applied to every single formula in this document, so the mathematics itself can be read, copied, or audited without wading through prose, and the reasoning can be read on its own without hunting through formula syntax.</w:t>
      </w:r>
    </w:p>
    <w:p>
      <w:pPr>
        <w:pStyle w:val="Heading2"/>
        <w:spacing w:after="150" w:before="300"/>
      </w:pPr>
      <w:bookmarkStart w:name="bm_0_1_corrections_made_in_this_revision_1" w:id="1"/>
      <w:r>
        <w:t xml:space="preserve">0.1 Corrections Made in This Revision</w:t>
      </w:r>
      <w:bookmarkEnd w:id="1"/>
    </w:p>
    <w:p>
      <w:pPr>
        <w:spacing w:after="150"/>
      </w:pPr>
      <w:r>
        <w:t xml:space="preserve">Each correction below identifies what was wrong, what it's been changed to, and what else in the document that change required updating — so the effect of each fix is traceable, not just the fix itself.</w:t>
      </w:r>
    </w:p>
    <w:p>
      <w:pPr>
        <w:pStyle w:val="ListParagraph"/>
        <w:numPr>
          <w:ilvl w:val="0"/>
          <w:numId w:val="1"/>
        </w:numPr>
        <w:spacing w:after="140"/>
      </w:pPr>
      <w:r>
        <w:rPr>
          <w:b/>
          <w:bCs/>
          <w:color w:val="AF3A2C"/>
        </w:rPr>
        <w:t xml:space="preserve">[STRUCTURE] </w:t>
      </w:r>
      <w:r>
        <w:t xml:space="preserve">Model 11 (the Shared Explainability/XAI Framework) was listed in the document's own architecture section but never actually specified anywhere in the mathematics section — every other model referenced “the shared XAI contract” as if it existed, but it was never defined. It is now fully specified in Section 2.11, with the topFactors extraction rule, the confidence calibration rule, the counterfactual-generation rule, and the output-vocabulary constraint that architecturally blocks words like “guaranteed” from ever reaching a user. Effect: Sections 2.1–2.10 and 2.12–2.15 now correctly point to a real section instead of an implied one.</w:t>
      </w:r>
    </w:p>
    <w:p>
      <w:pPr>
        <w:pStyle w:val="ListParagraph"/>
        <w:numPr>
          <w:ilvl w:val="0"/>
          <w:numId w:val="1"/>
        </w:numPr>
        <w:spacing w:after="140"/>
      </w:pPr>
      <w:r>
        <w:rPr>
          <w:b/>
          <w:bCs/>
          <w:color w:val="AF3A2C"/>
        </w:rPr>
        <w:t xml:space="preserve">[NUMBERING] </w:t>
      </w:r>
      <w:r>
        <w:t xml:space="preserve">Because Model 11 was missing, every model after it had silently shifted down by one number relative to the document's own architecture map: what was labelled “Model 11 — Debt Optimisation” is correctly Model 12, “Model 12 — Simulation” is Model 13, “Model 13 — Market Manipulation” is Model 14, and “Model 14 — News Filter” is Model 15, matching this document's own “15 models” framing and the model list in Section 1. Effect: every cross-reference to these four models elsewhere in the document (compliance tables, data-requirements tables, the reference list) has been updated to the corrected number.</w:t>
      </w:r>
    </w:p>
    <w:p>
      <w:pPr>
        <w:pStyle w:val="ListParagraph"/>
        <w:numPr>
          <w:ilvl w:val="0"/>
          <w:numId w:val="1"/>
        </w:numPr>
        <w:spacing w:after="140"/>
      </w:pPr>
      <w:r>
        <w:rPr>
          <w:b/>
          <w:bCs/>
          <w:color w:val="AF3A2C"/>
        </w:rPr>
        <w:t xml:space="preserve">[STRUCTURE] </w:t>
      </w:r>
      <w:r>
        <w:t xml:space="preserve">Several formulas referenced “Section 2.2's population-benchmark substitution” and “Section 2.2's wider tolerance principle” as if these were general rules defined once — but Section 2.2 is the Financial Health Score model, which never actually defines either principle in general terms. Both are now defined explicitly, once, in the new Section 1 (Governing Principles), and every formula that relies on them points there instead of to a section that doesn't contain them.</w:t>
      </w:r>
    </w:p>
    <w:p>
      <w:pPr>
        <w:pStyle w:val="ListParagraph"/>
        <w:numPr>
          <w:ilvl w:val="0"/>
          <w:numId w:val="1"/>
        </w:numPr>
        <w:spacing w:after="140"/>
      </w:pPr>
      <w:r>
        <w:rPr>
          <w:b/>
          <w:bCs/>
          <w:color w:val="AF3A2C"/>
        </w:rPr>
        <w:t xml:space="preserve">[HEADING TYPOS] </w:t>
      </w:r>
      <w:r>
        <w:t xml:space="preserve">Three section numbers were mistyped in the source (“23.6.3”, “3.9.2”, “3.9.3” where “2.6.3”, “2.9.2”, “2.9.3” were meant) and the reference list cited several model formulas under “Section 3.X” when the actual model mathematics lives in “Section 2.X” (Section 3 is Compliance-Checked Inputs, a different chapter entirely). All of these are corrected.</w:t>
      </w:r>
    </w:p>
    <w:p>
      <w:pPr>
        <w:pStyle w:val="ListParagraph"/>
        <w:numPr>
          <w:ilvl w:val="0"/>
          <w:numId w:val="1"/>
        </w:numPr>
        <w:spacing w:after="140"/>
      </w:pPr>
      <w:r>
        <w:rPr>
          <w:b/>
          <w:bCs/>
          <w:color w:val="AF3A2C"/>
        </w:rPr>
        <w:t xml:space="preserve">[RBI — LENDING RATE] </w:t>
      </w:r>
      <w:r>
        <w:t xml:space="preserve">The Repo Linked Lending Rate circular was dated “February 2019” in the source. The actual circular is dated 4 September 2019 (“External Benchmark Based Lending on Retail and SME Advances”), with the mandate taking effect 1 October 2019 for retail/MSE loans and 1 April 2020 for medium enterprises. Corrected in Section 2.12.2 and the reference list.</w:t>
      </w:r>
    </w:p>
    <w:p>
      <w:pPr>
        <w:pStyle w:val="ListParagraph"/>
        <w:numPr>
          <w:ilvl w:val="0"/>
          <w:numId w:val="1"/>
        </w:numPr>
        <w:spacing w:after="140"/>
      </w:pPr>
      <w:r>
        <w:rPr>
          <w:b/>
          <w:bCs/>
          <w:color w:val="AF3A2C"/>
        </w:rPr>
        <w:t xml:space="preserve">[RBI — FORECLOSURE CHARGES (MAJOR)] </w:t>
      </w:r>
      <w:r>
        <w:t xml:space="preserve">The foreclosure-penalty rule was written as a fixed binary: zero penalty for floating-rate individual non-business loans (2014 circular), penalty allowed on everything else including all business loans. This is now materially incomplete: the RBI (Pre-payment Charges on Loans) Directions, 2025 took effect for loans sanctioned or renewed on or after 1 January 2026 — already in force as of today — and extend the zero-penalty rule to floating-rate BUSINESS loans taken by individuals and by Micro &amp; Small Enterprises, up to an aggregate sanctioned limit of ₹7.5 crore per borrower, with a narrow exemption for Tier-1/Tier-2 urban co-operative banks and base-layer NBFCs. Section 2.12.4's ForeclosurePenaltyRate has been rebuilt as a decision table across rate type, borrower type, sanction/renewal date, and lender category, rather than a single flat rule. Effect: the Avalanche/Snowball and NetBenefitOfForeclosure calculations in the same model now correctly return ₹0 penalty for a much larger population of loans than before — getting this wrong would have overstated the cost of foreclosing for a business-loan borrower who, under current law, owes no penalty at all.</w:t>
      </w:r>
    </w:p>
    <w:p>
      <w:pPr>
        <w:pStyle w:val="ListParagraph"/>
        <w:numPr>
          <w:ilvl w:val="0"/>
          <w:numId w:val="1"/>
        </w:numPr>
        <w:spacing w:after="140"/>
      </w:pPr>
      <w:r>
        <w:rPr>
          <w:b/>
          <w:bCs/>
          <w:color w:val="AF3A2C"/>
        </w:rPr>
        <w:t xml:space="preserve">[TAX — CAPITAL GAINS RATES (MAJOR)] </w:t>
      </w:r>
      <w:r>
        <w:t xml:space="preserve">The capital gains formulas referenced “current_rate” and “exemption” as unpinned placeholders. These are now pinned to the rates that have applied since the 23 July 2024 Budget and remain current: equity STCG (Section 111A) = 20%, equity LTCG (Section 112A) = 12.5% on gains above a ₹1.25 lakh annual exemption, with no indexation benefit. The holding-period rule is also corrected: more than 12 months for listed securities and equity mutual funds (not a flat “365 days” as previously implied), more than 24 months for other capital assets such as property. A branch that was entirely missing has been added: debt-oriented mutual fund units acquired on or after 1 April 2023 are taxed at slab rate as short-term gains regardless of how long they are held (Section 50AA), which is a different rule from the equity holding-period test and cannot share the same formula.</w:t>
      </w:r>
    </w:p>
    <w:p>
      <w:pPr>
        <w:pStyle w:val="ListParagraph"/>
        <w:numPr>
          <w:ilvl w:val="0"/>
          <w:numId w:val="1"/>
        </w:numPr>
        <w:spacing w:after="140"/>
      </w:pPr>
      <w:r>
        <w:rPr>
          <w:b/>
          <w:bCs/>
          <w:color w:val="AF3A2C"/>
        </w:rPr>
        <w:t xml:space="preserve">[TAX — GOVERNING STATUTE (MAJOR)] </w:t>
      </w:r>
      <w:r>
        <w:t xml:space="preserve">The tax module assumed a single, continuously-current “Finance Act” without accounting for the fact that the Income Tax Act, 1961 has been replaced by the Income Tax Act, 2025, effective 1 April 2026 (Tax Year 2026-27 onward) — with renumbered sections (80C becomes approximately Section 123, 80D approximately Section 126, the Section 87A rebate approximately Section 156/157, pending final consolidated mapping). Critically, this app will be handling both statutes simultaneously right now: FY 2025-26 filings (the ones actually being filed in the July 2026 filing season) are still governed by the 1961 Act's section numbers, while any computation for Tax Year 2026-27 income must use the 2025 Act's numbering. Section 2.8 now keys its section-number lookup to which Tax Year a computation is for, rather than assuming one fixed set of numbers.</w:t>
      </w:r>
    </w:p>
    <w:p>
      <w:pPr>
        <w:pStyle w:val="ListParagraph"/>
        <w:numPr>
          <w:ilvl w:val="0"/>
          <w:numId w:val="1"/>
        </w:numPr>
        <w:spacing w:after="140"/>
      </w:pPr>
      <w:r>
        <w:rPr>
          <w:b/>
          <w:bCs/>
          <w:color w:val="AF3A2C"/>
        </w:rPr>
        <w:t xml:space="preserve">[TAX — NEW REGIME SLABS AND REBATE SCOPE] </w:t>
      </w:r>
      <w:r>
        <w:t xml:space="preserve">The new-regime slab structure and the Section 87A/157 rebate are now pinned precisely: ₹0–4L nil, ₹4–8L 5%, ₹8–12L 10%, ₹12–16L 15%, ₹16–20L 20%, ₹20–24L 25%, above ₹24L 30%; standard deduction ₹75,000; rebate up to ₹60,000 zeroing tax for taxable income up to ₹12 lakh (₹12.75 lakh gross salary after the standard deduction). A rule that was missing entirely has been added: this rebate does NOT apply to income taxed at special rates — capital gains under Sections 111A/112/112A chief among them. Effect: the RecommendedRegime formula in Section 2.8.1 would previously have overstated the new regime's advantage for any user with capital gains income, since it implicitly assumed the full rebate applied to total tax payable including gains tax.</w:t>
      </w:r>
    </w:p>
    <w:p>
      <w:pPr>
        <w:pStyle w:val="ListParagraph"/>
        <w:numPr>
          <w:ilvl w:val="0"/>
          <w:numId w:val="1"/>
        </w:numPr>
        <w:spacing w:after="140"/>
      </w:pPr>
      <w:r>
        <w:rPr>
          <w:b/>
          <w:bCs/>
          <w:color w:val="AF3A2C"/>
        </w:rPr>
        <w:t xml:space="preserve">[AML — STRUCTURING THRESHOLD (LEGAL ACCURACY)] </w:t>
      </w:r>
      <w:r>
        <w:t xml:space="preserve">The StructuringFlag formula referenced a “reporting_threshold” worded as though a fixed statutory reporting figure applies to digital structuring. The actual ₹10 lakh figure in PMLA Rule 3 is specific to Cash Transaction Reports and does not apply to bank transfers or UPI payments at all; non-cash Suspicious Transaction Reports are suspicion-based under PMLA with no fixed statutory monetary threshold. StructuringFlag is now explicitly documented as an internally-calibrated, config-versioned behavioural-detection heuristic modelled on the CTR rule's aggregation LOGIC (splitting a sum across several transactions within a window), not an implementation of the CTR figure itself — the two must not be conflated in any compliance documentation that cites this feature.</w:t>
      </w:r>
    </w:p>
    <w:p>
      <w:pPr>
        <w:pStyle w:val="ListParagraph"/>
        <w:numPr>
          <w:ilvl w:val="0"/>
          <w:numId w:val="1"/>
        </w:numPr>
        <w:spacing w:after="140"/>
      </w:pPr>
      <w:r>
        <w:rPr>
          <w:b/>
          <w:bCs/>
          <w:color w:val="AF3A2C"/>
        </w:rPr>
        <w:t xml:space="preserve">[FORMAT] </w:t>
      </w:r>
      <w:r>
        <w:t xml:space="preserve">Every formula throughout Section 2 has been re-formatted so the math block contains only the formula. All rationale, edge-case handling, and regulatory citations that were previously written inline inside brackets or after double-dashes within the formula text now appear as a separate Notes line directly beneath.</w:t>
      </w:r>
    </w:p>
    <w:p>
      <w:pPr>
        <w:pBdr>
          <w:left w:val="single" w:color="1B4F72" w:sz="12" w:space="8"/>
        </w:pBdr>
        <w:spacing w:after="150" w:before="100"/>
        <w:ind w:left="360"/>
      </w:pPr>
      <w:r>
        <w:rPr>
          <w:i/>
          <w:iCs/>
          <w:color w:val="1B4F72"/>
        </w:rPr>
        <w:t xml:space="preserve">This changelog is deliberately kept as its own section rather than scattered as inline diffs, so a compliance reviewer can read what changed in one pass without re-deriving it from the mathematics. Section 2 onward reads as the corrected document on its own — it does not repeat “previously X, now Y” inside the formulas themselves.</w:t>
      </w:r>
    </w:p>
    <w:p>
      <w:r>
        <w:br w:type="page"/>
      </w:r>
    </w:p>
    <w:p>
      <w:pPr>
        <w:pStyle w:val="Heading1"/>
        <w:spacing w:after="200" w:before="400"/>
      </w:pPr>
      <w:bookmarkStart w:name="bm_1_governing_principles_referenced_by_nam_2" w:id="1"/>
      <w:r>
        <w:t xml:space="preserve">1. Governing Principles — Referenced by Name Throughout Section 2</w:t>
      </w:r>
      <w:bookmarkEnd w:id="1"/>
    </w:p>
    <w:p>
      <w:pPr>
        <w:spacing w:after="150"/>
      </w:pPr>
      <w:r>
        <w:t xml:space="preserve">Two patterns recur across almost every model in this document. Rather than restate them inside each formula, every model below refers back to this section by name. Defining them once, precisely, here is what makes those references resolvable.</w:t>
      </w:r>
    </w:p>
    <w:p>
      <w:pPr>
        <w:pStyle w:val="Heading2"/>
        <w:spacing w:after="150" w:before="300"/>
      </w:pPr>
      <w:bookmarkStart w:name="bm_1_1_population_benchmark_substitution_3" w:id="1"/>
      <w:r>
        <w:t xml:space="preserve">1.1 Population-Benchmark Substitution</w:t>
      </w:r>
      <w:bookmarkEnd w:id="1"/>
    </w:p>
    <w:p>
      <w:pPr>
        <w:spacing w:after="150"/>
      </w:pPr>
      <w:r>
        <w:t xml:space="preserve">Applies whenever a formula needs a personal baseline (a personal average, a personal typical value, a personal historical pattern) and the user does not yet have enough history for that baseline to be statistically meaningful.</w:t>
      </w:r>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PersonalHistoryAvailable(u, feature) := months_of_usable_history(u, feature) &gt;= MinMonths(feature)</w:t>
      </w:r>
      <w:r>
        <w:rPr>
          <w:rFonts w:ascii="Consolas" w:cs="Consolas" w:eastAsia="Consolas" w:hAnsi="Consolas"/>
          <w:sz w:val="19"/>
          <w:szCs w:val="19"/>
        </w:rPr>
        <w:br/>
        <w:t xml:space="preserve"/>
      </w:r>
      <w:r>
        <w:rPr>
          <w:rFonts w:ascii="Consolas" w:cs="Consolas" w:eastAsia="Consolas" w:hAnsi="Consolas"/>
          <w:sz w:val="19"/>
          <w:szCs w:val="19"/>
        </w:rPr>
        <w:br/>
        <w:t xml:space="preserve">Benchmark(u, feature) = PersonalValue(u, feature)               if PersonalHistoryAvailable(u, feature)</w:t>
      </w:r>
      <w:r>
        <w:rPr>
          <w:rFonts w:ascii="Consolas" w:cs="Consolas" w:eastAsia="Consolas" w:hAnsi="Consolas"/>
          <w:sz w:val="19"/>
          <w:szCs w:val="19"/>
        </w:rPr>
        <w:br/>
        <w:t xml:space="preserve">                      = PopulationValue(peer_group(u), feature) otherwise</w:t>
      </w:r>
      <w:r>
        <w:rPr>
          <w:rFonts w:ascii="Consolas" w:cs="Consolas" w:eastAsia="Consolas" w:hAnsi="Consolas"/>
          <w:sz w:val="19"/>
          <w:szCs w:val="19"/>
        </w:rPr>
        <w:br/>
        <w:t xml:space="preserve"/>
      </w:r>
      <w:r>
        <w:rPr>
          <w:rFonts w:ascii="Consolas" w:cs="Consolas" w:eastAsia="Consolas" w:hAnsi="Consolas"/>
          <w:sz w:val="19"/>
          <w:szCs w:val="19"/>
        </w:rPr>
        <w:br/>
        <w:t xml:space="preserve">peer_group(u) = cohort matched on the coarse, non-sensitive attributes the given</w:t>
      </w:r>
      <w:r>
        <w:rPr>
          <w:rFonts w:ascii="Consolas" w:cs="Consolas" w:eastAsia="Consolas" w:hAnsi="Consolas"/>
          <w:sz w:val="19"/>
          <w:szCs w:val="19"/>
        </w:rPr>
        <w:br/>
        <w:t xml:space="preserve">                feature already legitimately depends on (e.g. city tier and spend</w:t>
      </w:r>
      <w:r>
        <w:rPr>
          <w:rFonts w:ascii="Consolas" w:cs="Consolas" w:eastAsia="Consolas" w:hAnsi="Consolas"/>
          <w:sz w:val="19"/>
          <w:szCs w:val="19"/>
        </w:rPr>
        <w:br/>
        <w:t xml:space="preserve">                category for a spending benchmark; income band and employment</w:t>
      </w:r>
      <w:r>
        <w:rPr>
          <w:rFonts w:ascii="Consolas" w:cs="Consolas" w:eastAsia="Consolas" w:hAnsi="Consolas"/>
          <w:sz w:val="19"/>
          <w:szCs w:val="19"/>
        </w:rPr>
        <w:br/>
        <w:t xml:space="preserve">                type for an income-stability benchmark) — never on a protected</w:t>
      </w:r>
      <w:r>
        <w:rPr>
          <w:rFonts w:ascii="Consolas" w:cs="Consolas" w:eastAsia="Consolas" w:hAnsi="Consolas"/>
          <w:sz w:val="19"/>
          <w:szCs w:val="19"/>
        </w:rPr>
        <w:br/>
        <w:t xml:space="preserve">                characteristic, and never on an attribute the feature itself has</w:t>
      </w:r>
      <w:r>
        <w:rPr>
          <w:rFonts w:ascii="Consolas" w:cs="Consolas" w:eastAsia="Consolas" w:hAnsi="Consolas"/>
          <w:sz w:val="19"/>
          <w:szCs w:val="19"/>
        </w:rPr>
        <w:br/>
        <w:t xml:space="preserve">                no legitimate reason to vary by</w:t>
      </w:r>
    </w:p>
    <w:p>
      <w:pPr>
        <w:spacing w:after="200" w:before="60"/>
        <w:ind w:left="260"/>
      </w:pPr>
      <w:r>
        <w:rPr>
          <w:b/>
          <w:bCs/>
          <w:i/>
          <w:iCs/>
          <w:color w:val="555555"/>
          <w:sz w:val="20"/>
          <w:szCs w:val="20"/>
        </w:rPr>
        <w:t xml:space="preserve">Notes: </w:t>
      </w:r>
      <w:r>
        <w:rPr>
          <w:i/>
          <w:iCs/>
          <w:color w:val="444444"/>
          <w:sz w:val="20"/>
          <w:szCs w:val="20"/>
        </w:rPr>
        <w:t xml:space="preserve">This is what “population_avg substituted for personal average” means everywhere it appears in Section 2: a new user is compared to people like them rather than to a personal history that doesn't exist yet. MinMonths is set per feature, not globally — Model 1's category-spend average needs less history to be usable than Model 2's income-volatility baseline does, so each model states its own MinMonths where it uses this pattern. Where no meaningful population benchmark exists for a given feature at all (for example, there is no meaningful population norm for one specific person's day-of-week spending shape), the term is excluded from its formula entirely rather than forcing a substitution that wouldn't mean anything, and the formula's remaining weights are redistributed proportionally — this exclusion is called out explicitly at the specific formula it applies to.</w:t>
      </w:r>
    </w:p>
    <w:p>
      <w:pPr>
        <w:pStyle w:val="Heading2"/>
        <w:spacing w:after="150" w:before="300"/>
      </w:pPr>
      <w:bookmarkStart w:name="bm_1_2_wider_tolerance_for_new_users_4" w:id="1"/>
      <w:r>
        <w:t xml:space="preserve">1.2 Wider Tolerance for New Users</w:t>
      </w:r>
      <w:bookmarkEnd w:id="1"/>
    </w:p>
    <w:p>
      <w:pPr>
        <w:spacing w:after="150"/>
      </w:pPr>
      <w:r>
        <w:t xml:space="preserve">Applies whenever a formula makes a judgement call — a risk tier, a flag, a threshold crossing — about a user the system does not yet know well. The principle: a new user should need more evidence before being judged negatively, in either direction (never flagged as risky on thin evidence, and never denied a positive signal like “improving trend” on thin evidence either).</w:t>
      </w:r>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Threshold(u, judgement) = BaseThreshold(judgement) * ToleranceMultiplier(months_of_history(u))</w:t>
      </w:r>
      <w:r>
        <w:rPr>
          <w:rFonts w:ascii="Consolas" w:cs="Consolas" w:eastAsia="Consolas" w:hAnsi="Consolas"/>
          <w:sz w:val="19"/>
          <w:szCs w:val="19"/>
        </w:rPr>
        <w:br/>
        <w:t xml:space="preserve"/>
      </w:r>
      <w:r>
        <w:rPr>
          <w:rFonts w:ascii="Consolas" w:cs="Consolas" w:eastAsia="Consolas" w:hAnsi="Consolas"/>
          <w:sz w:val="19"/>
          <w:szCs w:val="19"/>
        </w:rPr>
        <w:br/>
        <w:t xml:space="preserve">ToleranceMultiplier(m) = 1.6   if m &lt; 3</w:t>
      </w:r>
      <w:r>
        <w:rPr>
          <w:rFonts w:ascii="Consolas" w:cs="Consolas" w:eastAsia="Consolas" w:hAnsi="Consolas"/>
          <w:sz w:val="19"/>
          <w:szCs w:val="19"/>
        </w:rPr>
        <w:br/>
        <w:t xml:space="preserve">                       = 1.3   if 3 &lt;= m &lt; 6</w:t>
      </w:r>
      <w:r>
        <w:rPr>
          <w:rFonts w:ascii="Consolas" w:cs="Consolas" w:eastAsia="Consolas" w:hAnsi="Consolas"/>
          <w:sz w:val="19"/>
          <w:szCs w:val="19"/>
        </w:rPr>
        <w:br/>
        <w:t xml:space="preserve">                       = 1.0   if m &gt;= 6</w:t>
      </w:r>
    </w:p>
    <w:p>
      <w:pPr>
        <w:spacing w:after="200" w:before="60"/>
        <w:ind w:left="260"/>
      </w:pPr>
      <w:r>
        <w:rPr>
          <w:b/>
          <w:bCs/>
          <w:i/>
          <w:iCs/>
          <w:color w:val="555555"/>
          <w:sz w:val="20"/>
          <w:szCs w:val="20"/>
        </w:rPr>
        <w:t xml:space="preserve">Notes: </w:t>
      </w:r>
      <w:r>
        <w:rPr>
          <w:i/>
          <w:iCs/>
          <w:color w:val="444444"/>
          <w:sz w:val="20"/>
          <w:szCs w:val="20"/>
        </w:rPr>
        <w:t xml:space="preserve">This is the general form behind every place in Section 2 that widens a band, relaxes a required-consecutive-count, or lowers a confirmation bar for a newer user — for example Model 1's rule-based risk tier using 45/75 instead of the ML path's 40/70, or Model 4's positive-momentum trigger accepting 2 consecutive improving months instead of 3. Each model states its own BaseThreshold and applies this multiplier rather than inventing an unrelated new number, so the degree of leniency stays consistent across the whole system rather than being arbitrarily different model to model. The multiplier only ever widens a band or relaxes a count — it is never used to lower the bar for something safety-critical in a way that would let more risk through; where a judgement is safety-critical (for example, a fraud confirmation from a registry match), this principle does not apply and is explicitly excluded at that formula.</w:t>
      </w:r>
    </w:p>
    <w:p>
      <w:pPr>
        <w:pStyle w:val="Heading2"/>
        <w:spacing w:after="150" w:before="300"/>
      </w:pPr>
      <w:bookmarkStart w:name="bm_1_3_never_invent_history_that_doesn_t_ex_5" w:id="1"/>
      <w:r>
        <w:t xml:space="preserve">1.3 Never Invent History That Doesn't Exist</w:t>
      </w:r>
      <w:bookmarkEnd w:id="1"/>
    </w:p>
    <w:p>
      <w:pPr>
        <w:spacing w:after="150"/>
      </w:pPr>
      <w:r>
        <w:t xml:space="preserve">A closely related but distinct rule, used specifically for terms that reward or penalise based on a track record (a past-adherence score, a past-reaction-to-a-drawdown penalty).</w:t>
      </w:r>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Term(u) = Observed(u)   if the underlying event has been observed at least once for u</w:t>
      </w:r>
      <w:r>
        <w:rPr>
          <w:rFonts w:ascii="Consolas" w:cs="Consolas" w:eastAsia="Consolas" w:hAnsi="Consolas"/>
          <w:sz w:val="19"/>
          <w:szCs w:val="19"/>
        </w:rPr>
        <w:br/>
        <w:t xml:space="preserve">        = Neutral       otherwise</w:t>
      </w:r>
    </w:p>
    <w:p>
      <w:pPr>
        <w:spacing w:after="200" w:before="60"/>
        <w:ind w:left="260"/>
      </w:pPr>
      <w:r>
        <w:rPr>
          <w:b/>
          <w:bCs/>
          <w:i/>
          <w:iCs/>
          <w:color w:val="555555"/>
          <w:sz w:val="20"/>
          <w:szCs w:val="20"/>
        </w:rPr>
        <w:t xml:space="preserve">Notes: </w:t>
      </w:r>
      <w:r>
        <w:rPr>
          <w:i/>
          <w:iCs/>
          <w:color w:val="444444"/>
          <w:sz w:val="20"/>
          <w:szCs w:val="20"/>
        </w:rPr>
        <w:t xml:space="preserve">Neutral means a value that neither rewards nor penalises — typically the midpoint of the term's range, never the minimum or the maximum. This is different from population-benchmark substitution: there is no population value that stands in for “how this specific person reacted the last time markets fell 10%”, so the correct behaviour for a user who hasn't lived through that event yet is neutral, not an estimate. This is used in Model 6's PastDrawdownReactionPenalty and Model 12's PastAdherenceScore-driven strategy selection.</w:t>
      </w:r>
    </w:p>
    <w:p>
      <w:r>
        <w:br w:type="page"/>
      </w:r>
    </w:p>
    <w:p>
      <w:pPr>
        <w:pStyle w:val="Heading1"/>
        <w:spacing w:after="200" w:before="400"/>
      </w:pPr>
      <w:bookmarkStart w:name="bm_2_complete_mathematics_all_15_models_6" w:id="1"/>
      <w:r>
        <w:t xml:space="preserve">2. Complete Mathematics — All 15 Models</w:t>
      </w:r>
      <w:bookmarkEnd w:id="1"/>
    </w:p>
    <w:p>
      <w:pPr>
        <w:spacing w:after="150"/>
      </w:pPr>
      <w:r>
        <w:t xml:space="preserve">Every formula below follows the same layout: a math block containing only the formula, immediately followed by a Notes line carrying every piece of rationale, edge-case handling, and regulatory grounding that used to live inside the formula text.</w:t>
      </w:r>
    </w:p>
    <w:p>
      <w:pPr>
        <w:pStyle w:val="Heading2"/>
        <w:spacing w:after="150" w:before="300"/>
      </w:pPr>
      <w:bookmarkStart w:name="bm_2_1_model_1_transaction_risk_score_7" w:id="1"/>
      <w:r>
        <w:t xml:space="preserve">2.1 Model 1 — Transaction Risk Score</w:t>
      </w:r>
      <w:bookmarkEnd w:id="1"/>
    </w:p>
    <w:p>
      <w:pPr>
        <w:pStyle w:val="Heading3"/>
        <w:spacing w:after="120" w:before="250"/>
      </w:pPr>
      <w:bookmarkStart w:name="bm_2_1_1_sub_formulae_shared_by_both_paths__8" w:id="1"/>
      <w:r>
        <w:t xml:space="preserve">2.1.1 Sub-formulae (shared by both paths)</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g(x) = clip( (x - 1) * k_amt , 0, cap_amt ),   x = txn_amount / Benchmark(u, category)</w:t>
      </w:r>
      <w:r>
        <w:rPr>
          <w:rFonts w:ascii="Consolas" w:cs="Consolas" w:eastAsia="Consolas" w:hAnsi="Consolas"/>
          <w:sz w:val="19"/>
          <w:szCs w:val="19"/>
        </w:rPr>
        <w:br/>
        <w:t xml:space="preserve">cap_amt reached at x = 25</w:t>
      </w:r>
    </w:p>
    <w:p>
      <w:pPr>
        <w:spacing w:after="200" w:before="60"/>
        <w:ind w:left="260"/>
      </w:pPr>
      <w:r>
        <w:rPr>
          <w:b/>
          <w:bCs/>
          <w:i/>
          <w:iCs/>
          <w:color w:val="555555"/>
          <w:sz w:val="20"/>
          <w:szCs w:val="20"/>
        </w:rPr>
        <w:t xml:space="preserve">Notes: </w:t>
      </w:r>
      <w:r>
        <w:rPr>
          <w:i/>
          <w:iCs/>
          <w:color w:val="444444"/>
          <w:sz w:val="20"/>
          <w:szCs w:val="20"/>
        </w:rPr>
        <w:t xml:space="preserve">Benchmark(u, category) follows the Population-Benchmark Substitution rule in Section 1.1: a personal average once enough personal history exists, a population average for people in the same category/city tier before that. This is a fuzzy/soft-logic term — it scales continuously rather than stepping at a fixed multiple, so an amount at 24x average and one at 26x average aren't treated as categorically different once both are already far into anomalous territory.</w:t>
      </w:r>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VelocityTerm = min(VelocityCount1Hr * 2, 10)</w:t>
      </w:r>
    </w:p>
    <w:p>
      <w:pPr>
        <w:spacing w:after="200" w:before="60"/>
        <w:ind w:left="260"/>
      </w:pPr>
      <w:r>
        <w:rPr>
          <w:b/>
          <w:bCs/>
          <w:i/>
          <w:iCs/>
          <w:color w:val="555555"/>
          <w:sz w:val="20"/>
          <w:szCs w:val="20"/>
        </w:rPr>
        <w:t xml:space="preserve">Notes: </w:t>
      </w:r>
      <w:r>
        <w:rPr>
          <w:i/>
          <w:iCs/>
          <w:color w:val="444444"/>
          <w:sz w:val="20"/>
          <w:szCs w:val="20"/>
        </w:rPr>
        <w:t xml:space="preserve">Linear and capped, not a step function. A step function at, say, “3 transactions per hour” is a known gaming vector: an attacker who knows the threshold simply stays at 2. The linear-capped form means every additional transaction in the window adds some signal, right up to the cap, so there is no single number that is safe to game.</w:t>
      </w:r>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Haversine(lat1, lon1, lat2, lon2) = 2R * asin( sqrt( sin^2((lat2-lat1)/2)</w:t>
      </w:r>
      <w:r>
        <w:rPr>
          <w:rFonts w:ascii="Consolas" w:cs="Consolas" w:eastAsia="Consolas" w:hAnsi="Consolas"/>
          <w:sz w:val="19"/>
          <w:szCs w:val="19"/>
        </w:rPr>
        <w:br/>
        <w:t xml:space="preserve">                                    + cos(lat1)*cos(lat2)*sin^2((lon2-lon1)/2) ) )</w:t>
      </w:r>
      <w:r>
        <w:rPr>
          <w:rFonts w:ascii="Consolas" w:cs="Consolas" w:eastAsia="Consolas" w:hAnsi="Consolas"/>
          <w:sz w:val="19"/>
          <w:szCs w:val="19"/>
        </w:rPr>
        <w:br/>
        <w:t xml:space="preserve">R = 6371 km</w:t>
      </w:r>
      <w:r>
        <w:rPr>
          <w:rFonts w:ascii="Consolas" w:cs="Consolas" w:eastAsia="Consolas" w:hAnsi="Consolas"/>
          <w:sz w:val="19"/>
          <w:szCs w:val="19"/>
        </w:rPr>
        <w:br/>
        <w:t xml:space="preserve">GeoVelocityFlag := ( Haversine(prior_loc, current_loc) / hours_elapsed ) &gt; 900 km/h</w:t>
      </w:r>
    </w:p>
    <w:p>
      <w:pPr>
        <w:spacing w:after="200" w:before="60"/>
        <w:ind w:left="260"/>
      </w:pPr>
      <w:r>
        <w:rPr>
          <w:b/>
          <w:bCs/>
          <w:i/>
          <w:iCs/>
          <w:color w:val="555555"/>
          <w:sz w:val="20"/>
          <w:szCs w:val="20"/>
        </w:rPr>
        <w:t xml:space="preserve">Notes: </w:t>
      </w:r>
      <w:r>
        <w:rPr>
          <w:i/>
          <w:iCs/>
          <w:color w:val="444444"/>
          <w:sz w:val="20"/>
          <w:szCs w:val="20"/>
        </w:rPr>
        <w:t xml:space="preserve">900 km/h is the commercial-flight speed ceiling, a standard “impossible travel” heuristic used by mainstream identity/fraud platforms. A device legitimately moving at up to normal flight speed will not trip this flag; only a location change that would require faster-than-commercial-flight travel does.</w:t>
      </w:r>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DayOfWeekZScore = ( Spend(today's weekday) - Benchmark_mean(u, weekday) ) / Benchmark_std(u, weekday)</w:t>
      </w:r>
    </w:p>
    <w:p>
      <w:pPr>
        <w:spacing w:after="200" w:before="60"/>
        <w:ind w:left="260"/>
      </w:pPr>
      <w:r>
        <w:rPr>
          <w:b/>
          <w:bCs/>
          <w:i/>
          <w:iCs/>
          <w:color w:val="555555"/>
          <w:sz w:val="20"/>
          <w:szCs w:val="20"/>
        </w:rPr>
        <w:t xml:space="preserve">Notes: </w:t>
      </w:r>
      <w:r>
        <w:rPr>
          <w:i/>
          <w:iCs/>
          <w:color w:val="444444"/>
          <w:sz w:val="20"/>
          <w:szCs w:val="20"/>
        </w:rPr>
        <w:t xml:space="preserve">Requires at least 4 same-weekday observations for the personal benchmark before this term is trusted; below that, Population-Benchmark Substitution (Section 1.1) would normally apply, but no meaningful population norm exists for one specific person's day-of-week spending shape — there is nothing to substitute. The term is therefore excluded entirely below the 4-observation floor, with its weight redistributed proportionally across the rest of the rule-based formula (Section 2.1.3).</w:t>
      </w:r>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MarketContextTerm := ELEVATED   if realised_volatility(relevant_index, 1day) &gt; 2 * 30day_avg</w:t>
      </w:r>
      <w:r>
        <w:rPr>
          <w:rFonts w:ascii="Consolas" w:cs="Consolas" w:eastAsia="Consolas" w:hAnsi="Consolas"/>
          <w:sz w:val="19"/>
          <w:szCs w:val="19"/>
        </w:rPr>
        <w:br/>
        <w:t xml:space="preserve">                    = 0          otherwise</w:t>
      </w:r>
    </w:p>
    <w:p>
      <w:pPr>
        <w:spacing w:after="200" w:before="60"/>
        <w:ind w:left="260"/>
      </w:pPr>
      <w:r>
        <w:rPr>
          <w:b/>
          <w:bCs/>
          <w:i/>
          <w:iCs/>
          <w:color w:val="555555"/>
          <w:sz w:val="20"/>
          <w:szCs w:val="20"/>
        </w:rPr>
        <w:t xml:space="preserve">Notes: </w:t>
      </w:r>
      <w:r>
        <w:rPr>
          <w:i/>
          <w:iCs/>
          <w:color w:val="444444"/>
          <w:sz w:val="20"/>
          <w:szCs w:val="20"/>
        </w:rPr>
        <w:t xml:space="preserve">relevant_index is the specific holding's own relevant benchmark where the transaction is investment-related (see the same correction applied in Model 14, Section 2.14.2) — a single fixed index is not used for every instrument.</w:t>
      </w:r>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BehaviourDrift = Mahalanobis(x_session, baseline_mu, baseline_Sigma)</w:t>
      </w:r>
      <w:r>
        <w:rPr>
          <w:rFonts w:ascii="Consolas" w:cs="Consolas" w:eastAsia="Consolas" w:hAnsi="Consolas"/>
          <w:sz w:val="19"/>
          <w:szCs w:val="19"/>
        </w:rPr>
        <w:br/>
        <w:t xml:space="preserve">SessionTrustScore = 1 - sigmoid_normalise(BehaviourDrift)</w:t>
      </w:r>
    </w:p>
    <w:p>
      <w:pPr>
        <w:spacing w:after="200" w:before="60"/>
        <w:ind w:left="260"/>
      </w:pPr>
      <w:r>
        <w:rPr>
          <w:b/>
          <w:bCs/>
          <w:i/>
          <w:iCs/>
          <w:color w:val="555555"/>
          <w:sz w:val="20"/>
          <w:szCs w:val="20"/>
        </w:rPr>
        <w:t xml:space="preserve">Notes: </w:t>
      </w:r>
      <w:r>
        <w:rPr>
          <w:i/>
          <w:iCs/>
          <w:color w:val="444444"/>
          <w:sz w:val="20"/>
          <w:szCs w:val="20"/>
        </w:rPr>
        <w:t xml:space="preserve">Defined fully in Model 9 (Section 2.9); referenced here as an input.</w:t>
      </w:r>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RecipientGNNScore = label_propagation(recipient_node)</w:t>
      </w:r>
    </w:p>
    <w:p>
      <w:pPr>
        <w:spacing w:after="200" w:before="60"/>
        <w:ind w:left="260"/>
      </w:pPr>
      <w:r>
        <w:rPr>
          <w:b/>
          <w:bCs/>
          <w:i/>
          <w:iCs/>
          <w:color w:val="555555"/>
          <w:sz w:val="20"/>
          <w:szCs w:val="20"/>
        </w:rPr>
        <w:t xml:space="preserve">Notes: </w:t>
      </w:r>
      <w:r>
        <w:rPr>
          <w:i/>
          <w:iCs/>
          <w:color w:val="444444"/>
          <w:sz w:val="20"/>
          <w:szCs w:val="20"/>
        </w:rPr>
        <w:t xml:space="preserve">Defined fully in Model 5 (Section 2.5); referenced here as an input.</w:t>
      </w:r>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StructuringFlag := ( count(txns to recipient, 24hr) &gt;= 3</w:t>
      </w:r>
      <w:r>
        <w:rPr>
          <w:rFonts w:ascii="Consolas" w:cs="Consolas" w:eastAsia="Consolas" w:hAnsi="Consolas"/>
          <w:sz w:val="19"/>
          <w:szCs w:val="19"/>
        </w:rPr>
        <w:br/>
        <w:t xml:space="preserve">                      AND uniform_sizing(amounts, tolerance=10%)</w:t>
      </w:r>
      <w:r>
        <w:rPr>
          <w:rFonts w:ascii="Consolas" w:cs="Consolas" w:eastAsia="Consolas" w:hAnsi="Consolas"/>
          <w:sz w:val="19"/>
          <w:szCs w:val="19"/>
        </w:rPr>
        <w:br/>
        <w:t xml:space="preserve">                      AND max(amount) &lt; InternalStructuringBenchmark )</w:t>
      </w:r>
      <w:r>
        <w:rPr>
          <w:rFonts w:ascii="Consolas" w:cs="Consolas" w:eastAsia="Consolas" w:hAnsi="Consolas"/>
          <w:sz w:val="19"/>
          <w:szCs w:val="19"/>
        </w:rPr>
        <w:br/>
        <w:t xml:space="preserve">                    OR ( count(txns to NEW recipients, 24hr) &gt;= 3</w:t>
      </w:r>
      <w:r>
        <w:rPr>
          <w:rFonts w:ascii="Consolas" w:cs="Consolas" w:eastAsia="Consolas" w:hAnsi="Consolas"/>
          <w:sz w:val="19"/>
          <w:szCs w:val="19"/>
        </w:rPr>
        <w:br/>
        <w:t xml:space="preserve">                         AND uniform_sizing AND max(amount) &lt; InternalStructuringBenchmark )</w:t>
      </w:r>
    </w:p>
    <w:p>
      <w:pPr>
        <w:pBdr>
          <w:top w:val="single" w:color="C0392B" w:sz="6" w:space="4"/>
          <w:bottom w:val="single" w:color="C0392B" w:sz="6" w:space="4"/>
          <w:left w:val="single" w:color="C0392B" w:sz="18" w:space="8"/>
          <w:right w:val="single" w:color="C0392B" w:sz="6" w:space="4"/>
        </w:pBdr>
        <w:shd w:fill="FDECEA" w:val="clear"/>
        <w:spacing w:after="200" w:before="120"/>
        <w:ind w:left="200"/>
      </w:pPr>
      <w:r>
        <w:rPr>
          <w:b/>
          <w:bCs/>
          <w:color w:val="AF3A2C"/>
        </w:rPr>
        <w:t xml:space="preserve">CORRECTED: </w:t>
      </w:r>
      <w:r>
        <w:rPr>
          <w:color w:val="3B3B3B"/>
        </w:rPr>
        <w:t xml:space="preserve">The earlier version of this rule referred to a “reporting_threshold” worded as if a fixed statutory figure applied. Under PMLA Rule 3, the ₹10 lakh Cash Transaction Report threshold applies specifically to cash transactions and does not apply to bank transfers or UPI payments at all; non-cash Suspicious Transaction Reports have no fixed statutory monetary threshold and are filed on suspicion. InternalStructuringBenchmark is therefore an internally-calibrated, config-versioned risk parameter modelled on the CTR rule's aggregation logic — splitting a sum across several transactions inside a time window — not an implementation of the CTR figure itself. This distinction must be preserved in any compliance documentation: a flag firing here is a FINIX risk signal, not evidence that a statutory reporting threshold was crossed.</w:t>
      </w:r>
    </w:p>
    <w:p>
      <w:pPr>
        <w:spacing w:after="200" w:before="60"/>
        <w:ind w:left="260"/>
      </w:pPr>
      <w:r>
        <w:rPr>
          <w:b/>
          <w:bCs/>
          <w:i/>
          <w:iCs/>
          <w:color w:val="555555"/>
          <w:sz w:val="20"/>
          <w:szCs w:val="20"/>
        </w:rPr>
        <w:t xml:space="preserve">Notes: </w:t>
      </w:r>
      <w:r>
        <w:rPr>
          <w:i/>
          <w:iCs/>
          <w:color w:val="444444"/>
          <w:sz w:val="20"/>
          <w:szCs w:val="20"/>
        </w:rPr>
        <w:t xml:space="preserve">Covers both new-recipient smurfing and repeated structuring to a single already-known recipient — a formula that only checked new recipients would miss someone splitting payments to a familiar beneficiary to stay under this internal benchmark repeatedly.</w:t>
      </w:r>
    </w:p>
    <w:p>
      <w:pPr>
        <w:pStyle w:val="Heading3"/>
        <w:spacing w:after="120" w:before="250"/>
      </w:pPr>
      <w:bookmarkStart w:name="bm_2_1_2_total_formula_ml_path_6_months_per_9" w:id="1"/>
      <w:r>
        <w:t xml:space="preserve">2.1.2 Total formula — ML path (≥ 6 months personal transaction history)</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RiskSignal_vector = [ g(AmountVsAverage), IsNewRecipient, FailedPINAttempts,</w:t>
      </w:r>
      <w:r>
        <w:rPr>
          <w:rFonts w:ascii="Consolas" w:cs="Consolas" w:eastAsia="Consolas" w:hAnsi="Consolas"/>
          <w:sz w:val="19"/>
          <w:szCs w:val="19"/>
        </w:rPr>
        <w:br/>
        <w:t xml:space="preserve">                       VelocityTerm, BalanceImpact, GeoVelocityFlag,</w:t>
      </w:r>
      <w:r>
        <w:rPr>
          <w:rFonts w:ascii="Consolas" w:cs="Consolas" w:eastAsia="Consolas" w:hAnsi="Consolas"/>
          <w:sz w:val="19"/>
          <w:szCs w:val="19"/>
        </w:rPr>
        <w:br/>
        <w:t xml:space="preserve">                       DayOfWeekZScore, MarketContextTerm, BehaviourDrift,</w:t>
      </w:r>
      <w:r>
        <w:rPr>
          <w:rFonts w:ascii="Consolas" w:cs="Consolas" w:eastAsia="Consolas" w:hAnsi="Consolas"/>
          <w:sz w:val="19"/>
          <w:szCs w:val="19"/>
        </w:rPr>
        <w:br/>
        <w:t xml:space="preserve">                       SessionTrustScore, RecipientGNNScore, StructuringFlag ]</w:t>
      </w:r>
      <w:r>
        <w:rPr>
          <w:rFonts w:ascii="Consolas" w:cs="Consolas" w:eastAsia="Consolas" w:hAnsi="Consolas"/>
          <w:sz w:val="19"/>
          <w:szCs w:val="19"/>
        </w:rPr>
        <w:br/>
        <w:t xml:space="preserve"/>
      </w:r>
      <w:r>
        <w:rPr>
          <w:rFonts w:ascii="Consolas" w:cs="Consolas" w:eastAsia="Consolas" w:hAnsi="Consolas"/>
          <w:sz w:val="19"/>
          <w:szCs w:val="19"/>
        </w:rPr>
        <w:br/>
        <w:t xml:space="preserve">P(tier = k | RiskSignal_vector) = softmax( F_K(RiskSignal_vector) )_k ,   k in {low, medium, high}</w:t>
      </w:r>
      <w:r>
        <w:rPr>
          <w:rFonts w:ascii="Consolas" w:cs="Consolas" w:eastAsia="Consolas" w:hAnsi="Consolas"/>
          <w:sz w:val="19"/>
          <w:szCs w:val="19"/>
        </w:rPr>
        <w:br/>
        <w:t xml:space="preserve"/>
      </w:r>
      <w:r>
        <w:rPr>
          <w:rFonts w:ascii="Consolas" w:cs="Consolas" w:eastAsia="Consolas" w:hAnsi="Consolas"/>
          <w:sz w:val="19"/>
          <w:szCs w:val="19"/>
        </w:rPr>
        <w:br/>
        <w:t xml:space="preserve">tier = argmax_k P(tier = k | x)</w:t>
      </w:r>
      <w:r>
        <w:rPr>
          <w:rFonts w:ascii="Consolas" w:cs="Consolas" w:eastAsia="Consolas" w:hAnsi="Consolas"/>
          <w:sz w:val="19"/>
          <w:szCs w:val="19"/>
        </w:rPr>
        <w:br/>
        <w:t xml:space="preserve"/>
      </w:r>
      <w:r>
        <w:rPr>
          <w:rFonts w:ascii="Consolas" w:cs="Consolas" w:eastAsia="Consolas" w:hAnsi="Consolas"/>
          <w:sz w:val="19"/>
          <w:szCs w:val="19"/>
        </w:rPr>
        <w:br/>
        <w:t xml:space="preserve">override_friction_level = base_friction + lambda * (P_high - 0.70),   lambda &gt; 0, tier = high only</w:t>
      </w:r>
    </w:p>
    <w:p>
      <w:pPr>
        <w:spacing w:after="200" w:before="60"/>
        <w:ind w:left="260"/>
      </w:pPr>
      <w:r>
        <w:rPr>
          <w:b/>
          <w:bCs/>
          <w:i/>
          <w:iCs/>
          <w:color w:val="555555"/>
          <w:sz w:val="20"/>
          <w:szCs w:val="20"/>
        </w:rPr>
        <w:t xml:space="preserve">Notes: </w:t>
      </w:r>
      <w:r>
        <w:rPr>
          <w:i/>
          <w:iCs/>
          <w:color w:val="444444"/>
          <w:sz w:val="20"/>
          <w:szCs w:val="20"/>
        </w:rPr>
        <w:t xml:space="preserve">300-tree XGBoost ensemble. Chosen over a simpler linear model because fraud signals interact non-linearly — a new recipient at 2am carries different risk than a new recipient at 2pm, and a high GNN score means something different at different transaction sizes; tree ensembles capture these interactions without hand-coding every combination, and give calibratable class probabilities, which a 3-tier decision needs. override_friction_level scales continuously with confidence rather than switching on/off at the tier boundary, consistent with RBI's Master Direction on Digital Payment Security Controls expecting proportionate, risk-based authentication rather than a single fixed step-up rule.</w:t>
      </w:r>
    </w:p>
    <w:p>
      <w:pPr>
        <w:pStyle w:val="Heading3"/>
        <w:spacing w:after="120" w:before="250"/>
      </w:pPr>
      <w:bookmarkStart w:name="bm_2_1_3_total_formula_rule_based_path_6_mo_10" w:id="1"/>
      <w:r>
        <w:t xml:space="preserve">2.1.3 Total formula — Rule-based path (&lt; 6 months history)</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RiskScore_rule = w1*g(x, Benchmark(u, category))</w:t>
      </w:r>
      <w:r>
        <w:rPr>
          <w:rFonts w:ascii="Consolas" w:cs="Consolas" w:eastAsia="Consolas" w:hAnsi="Consolas"/>
          <w:sz w:val="19"/>
          <w:szCs w:val="19"/>
        </w:rPr>
        <w:br/>
        <w:t xml:space="preserve">                + w2*15*IsNewRecipient</w:t>
      </w:r>
      <w:r>
        <w:rPr>
          <w:rFonts w:ascii="Consolas" w:cs="Consolas" w:eastAsia="Consolas" w:hAnsi="Consolas"/>
          <w:sz w:val="19"/>
          <w:szCs w:val="19"/>
        </w:rPr>
        <w:br/>
        <w:t xml:space="preserve">                + w3*min(FailedPINAttempts*5, 15)</w:t>
      </w:r>
      <w:r>
        <w:rPr>
          <w:rFonts w:ascii="Consolas" w:cs="Consolas" w:eastAsia="Consolas" w:hAnsi="Consolas"/>
          <w:sz w:val="19"/>
          <w:szCs w:val="19"/>
        </w:rPr>
        <w:br/>
        <w:t xml:space="preserve">                + w4*VelocityTerm</w:t>
      </w:r>
      <w:r>
        <w:rPr>
          <w:rFonts w:ascii="Consolas" w:cs="Consolas" w:eastAsia="Consolas" w:hAnsi="Consolas"/>
          <w:sz w:val="19"/>
          <w:szCs w:val="19"/>
        </w:rPr>
        <w:br/>
        <w:t xml:space="preserve">                + w5*BalanceImpact*10</w:t>
      </w:r>
      <w:r>
        <w:rPr>
          <w:rFonts w:ascii="Consolas" w:cs="Consolas" w:eastAsia="Consolas" w:hAnsi="Consolas"/>
          <w:sz w:val="19"/>
          <w:szCs w:val="19"/>
        </w:rPr>
        <w:br/>
        <w:t xml:space="preserve">                + w6*20*GeoVelocityFlag</w:t>
      </w:r>
      <w:r>
        <w:rPr>
          <w:rFonts w:ascii="Consolas" w:cs="Consolas" w:eastAsia="Consolas" w:hAnsi="Consolas"/>
          <w:sz w:val="19"/>
          <w:szCs w:val="19"/>
        </w:rPr>
        <w:br/>
        <w:t xml:space="preserve">                + w7*10*DayOfWeekZScore_or_zero</w:t>
      </w:r>
      <w:r>
        <w:rPr>
          <w:rFonts w:ascii="Consolas" w:cs="Consolas" w:eastAsia="Consolas" w:hAnsi="Consolas"/>
          <w:sz w:val="19"/>
          <w:szCs w:val="19"/>
        </w:rPr>
        <w:br/>
        <w:t xml:space="preserve">                + w8*10*MarketContextTerm</w:t>
      </w:r>
      <w:r>
        <w:rPr>
          <w:rFonts w:ascii="Consolas" w:cs="Consolas" w:eastAsia="Consolas" w:hAnsi="Consolas"/>
          <w:sz w:val="19"/>
          <w:szCs w:val="19"/>
        </w:rPr>
        <w:br/>
        <w:t xml:space="preserve">                + w9*20*BehaviourDrift</w:t>
      </w:r>
      <w:r>
        <w:rPr>
          <w:rFonts w:ascii="Consolas" w:cs="Consolas" w:eastAsia="Consolas" w:hAnsi="Consolas"/>
          <w:sz w:val="19"/>
          <w:szCs w:val="19"/>
        </w:rPr>
        <w:br/>
        <w:t xml:space="preserve">                + w10*15*(1 - SessionTrustScore)</w:t>
      </w:r>
      <w:r>
        <w:rPr>
          <w:rFonts w:ascii="Consolas" w:cs="Consolas" w:eastAsia="Consolas" w:hAnsi="Consolas"/>
          <w:sz w:val="19"/>
          <w:szCs w:val="19"/>
        </w:rPr>
        <w:br/>
        <w:t xml:space="preserve">                + w11*20*RecipientGNNScore</w:t>
      </w:r>
      <w:r>
        <w:rPr>
          <w:rFonts w:ascii="Consolas" w:cs="Consolas" w:eastAsia="Consolas" w:hAnsi="Consolas"/>
          <w:sz w:val="19"/>
          <w:szCs w:val="19"/>
        </w:rPr>
        <w:br/>
        <w:t xml:space="preserve">                + w12*25*StructuringFlag</w:t>
      </w:r>
      <w:r>
        <w:rPr>
          <w:rFonts w:ascii="Consolas" w:cs="Consolas" w:eastAsia="Consolas" w:hAnsi="Consolas"/>
          <w:sz w:val="19"/>
          <w:szCs w:val="19"/>
        </w:rPr>
        <w:br/>
        <w:t xml:space="preserve"/>
      </w:r>
      <w:r>
        <w:rPr>
          <w:rFonts w:ascii="Consolas" w:cs="Consolas" w:eastAsia="Consolas" w:hAnsi="Consolas"/>
          <w:sz w:val="19"/>
          <w:szCs w:val="19"/>
        </w:rPr>
        <w:br/>
        <w:t xml:space="preserve">tier_rule(RiskScore_rule) = low (&lt; 45) | medium (45-75) | high (&gt;= 75)</w:t>
      </w:r>
    </w:p>
    <w:p>
      <w:pPr>
        <w:spacing w:after="200" w:before="60"/>
        <w:ind w:left="260"/>
      </w:pPr>
      <w:r>
        <w:rPr>
          <w:b/>
          <w:bCs/>
          <w:i/>
          <w:iCs/>
          <w:color w:val="555555"/>
          <w:sz w:val="20"/>
          <w:szCs w:val="20"/>
        </w:rPr>
        <w:t xml:space="preserve">Notes: </w:t>
      </w:r>
      <w:r>
        <w:rPr>
          <w:i/>
          <w:iCs/>
          <w:color w:val="444444"/>
          <w:sz w:val="20"/>
          <w:szCs w:val="20"/>
        </w:rPr>
        <w:t xml:space="preserve">g(x, ...) uses Population-Benchmark Substitution (Section 1.1) since a new user has no 6-month personal average. DayOfWeekZScore_or_zero applies the exclusion-not-substitution rule from Section 2.1.1 above. The 45/75 tier band is wider than the ML path's 40/70, applying the Wider Tolerance for New Users principle (Section 1.2) with BaseThreshold = {40, 70} and a new user's tolerance multiplier — a new user needs more evidence before being called high risk, since there isn't yet a personal baseline to be confident the behaviour is actually unusual for them.</w:t>
      </w:r>
    </w:p>
    <w:p>
      <w:pPr>
        <w:pStyle w:val="Heading3"/>
        <w:spacing w:after="120" w:before="250"/>
      </w:pPr>
      <w:bookmarkStart w:name="bm_2_1_4_plain_language_summary_11" w:id="1"/>
      <w:r>
        <w:t xml:space="preserve">2.1.4 Plain-language summary</w:t>
      </w:r>
      <w:bookmarkEnd w:id="1"/>
    </w:p>
    <w:p>
      <w:pPr>
        <w:spacing w:after="150"/>
      </w:pPr>
      <w:r>
        <w:t xml:space="preserve">Every time money moves, the system checks how unusual the amount is, whether the recipient is new, whether the phone has moved somewhere physically impossible in the time available, whether the market is unusually volatile right now, whether the person's typing feels like them, and whether the recipient has any connection to accounts already linked to fraud. All of it combines into one of three outcomes: let it through quietly, let it through with a warning, or pause it and ask for extra confirmation. A brand-new user is compared to people like them rather than to their own history, which doesn't exist yet, and is given more benefit of the doubt before anything is called suspicious.</w:t>
      </w:r>
    </w:p>
    <w:p>
      <w:r>
        <w:br w:type="page"/>
      </w:r>
    </w:p>
    <w:p>
      <w:pPr>
        <w:pStyle w:val="Heading2"/>
        <w:spacing w:after="150" w:before="300"/>
      </w:pPr>
      <w:bookmarkStart w:name="bm_2_2_model_2_financial_health_score_12" w:id="1"/>
      <w:r>
        <w:t xml:space="preserve">2.2 Model 2 — Financial Health Score</w:t>
      </w:r>
      <w:bookmarkEnd w:id="1"/>
    </w:p>
    <w:p>
      <w:pPr>
        <w:pStyle w:val="Heading3"/>
        <w:spacing w:after="120" w:before="250"/>
      </w:pPr>
      <w:bookmarkStart w:name="bm_2_2_1_shared_toolkit_used_inside_every_p_13" w:id="1"/>
      <w:r>
        <w:t xml:space="preserve">2.2.1 Shared toolkit (used inside every pillar below)</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Median(X), MAD(X) = 1.4826 * median( |xi - Median(X)| )</w:t>
      </w:r>
    </w:p>
    <w:p>
      <w:pPr>
        <w:spacing w:after="200" w:before="60"/>
        <w:ind w:left="260"/>
      </w:pPr>
      <w:r>
        <w:rPr>
          <w:b/>
          <w:bCs/>
          <w:i/>
          <w:iCs/>
          <w:color w:val="555555"/>
          <w:sz w:val="20"/>
          <w:szCs w:val="20"/>
        </w:rPr>
        <w:t xml:space="preserve">Notes: </w:t>
      </w:r>
      <w:r>
        <w:rPr>
          <w:i/>
          <w:iCs/>
          <w:color w:val="444444"/>
          <w:sz w:val="20"/>
          <w:szCs w:val="20"/>
        </w:rPr>
        <w:t xml:space="preserve">Robust statistics, used throughout in place of mean/standard deviation so a single unusual month cannot distort a typical-behaviour estimate. The 1.4826 scaling constant is the standard convention for making MAD comparable to a standard deviation under normal data (Leys et al., 2013).</w:t>
      </w:r>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IsShockMonth(u, month) := festival-calendar match</w:t>
      </w:r>
      <w:r>
        <w:rPr>
          <w:rFonts w:ascii="Consolas" w:cs="Consolas" w:eastAsia="Consolas" w:hAnsi="Consolas"/>
          <w:sz w:val="19"/>
          <w:szCs w:val="19"/>
        </w:rPr>
        <w:br/>
        <w:t xml:space="preserve">                          OR medical/emergency merchant-code match</w:t>
      </w:r>
      <w:r>
        <w:rPr>
          <w:rFonts w:ascii="Consolas" w:cs="Consolas" w:eastAsia="Consolas" w:hAnsi="Consolas"/>
          <w:sz w:val="19"/>
          <w:szCs w:val="19"/>
        </w:rPr>
        <w:br/>
        <w:t xml:space="preserve">                          OR ( spend &gt; Median + 2*MAD AND user-confirmed )</w:t>
      </w:r>
      <w:r>
        <w:rPr>
          <w:rFonts w:ascii="Consolas" w:cs="Consolas" w:eastAsia="Consolas" w:hAnsi="Consolas"/>
          <w:sz w:val="19"/>
          <w:szCs w:val="19"/>
        </w:rPr>
        <w:br/>
        <w:t xml:space="preserve">                          OR ( large single txn matches wedding/medical/travel category )</w:t>
      </w:r>
    </w:p>
    <w:p>
      <w:pPr>
        <w:spacing w:after="200" w:before="60"/>
        <w:ind w:left="260"/>
      </w:pPr>
      <w:r>
        <w:rPr>
          <w:b/>
          <w:bCs/>
          <w:i/>
          <w:iCs/>
          <w:color w:val="555555"/>
          <w:sz w:val="20"/>
          <w:szCs w:val="20"/>
        </w:rPr>
        <w:t xml:space="preserve">Notes: </w:t>
      </w:r>
      <w:r>
        <w:rPr>
          <w:i/>
          <w:iCs/>
          <w:color w:val="444444"/>
          <w:sz w:val="20"/>
          <w:szCs w:val="20"/>
        </w:rPr>
        <w:t xml:space="preserve">A statistical spend spike alone (the third clause) is only a candidate, not an automatic label — it still requires user confirmation before being excluded, so the system cannot silently reclassify an ordinary high-spend month as a shock without the user's input.</w:t>
      </w:r>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IsWindfallMonth(u, month) := income &gt; 2 * Median(income, trailing 12mo)</w:t>
      </w:r>
      <w:r>
        <w:rPr>
          <w:rFonts w:ascii="Consolas" w:cs="Consolas" w:eastAsia="Consolas" w:hAnsi="Consolas"/>
          <w:sz w:val="19"/>
          <w:szCs w:val="19"/>
        </w:rPr>
        <w:br/>
        <w:t xml:space="preserve">                              AND excess is a single identifiable non-recurring credit</w:t>
      </w:r>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 FinalScore_t - FinalScore_{t-1} | &lt;= 25 points</w:t>
      </w:r>
    </w:p>
    <w:p>
      <w:pPr>
        <w:spacing w:after="200" w:before="60"/>
        <w:ind w:left="260"/>
      </w:pPr>
      <w:r>
        <w:rPr>
          <w:b/>
          <w:bCs/>
          <w:i/>
          <w:iCs/>
          <w:color w:val="555555"/>
          <w:sz w:val="20"/>
          <w:szCs w:val="20"/>
        </w:rPr>
        <w:t xml:space="preserve">Notes: </w:t>
      </w:r>
      <w:r>
        <w:rPr>
          <w:i/>
          <w:iCs/>
          <w:color w:val="444444"/>
          <w:sz w:val="20"/>
          <w:szCs w:val="20"/>
        </w:rPr>
        <w:t xml:space="preserve">A single month, shock-flagged or not, cannot move the displayed score by more than 25 points on the 300-900 scale.</w:t>
      </w:r>
    </w:p>
    <w:p>
      <w:pPr>
        <w:pStyle w:val="Heading3"/>
        <w:spacing w:after="120" w:before="250"/>
      </w:pPr>
      <w:bookmarkStart w:name="bm_2_2_2_pillar_1_liquidity_18__14" w:id="1"/>
      <w:r>
        <w:t xml:space="preserve">2.2.2 Pillar 1 — Liquidity (18%)</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TargetMonths(u) = 3 (single) | 4 (dual-income) | 6 (family) | 9 (variable/business)</w:t>
      </w:r>
      <w:r>
        <w:rPr>
          <w:rFonts w:ascii="Consolas" w:cs="Consolas" w:eastAsia="Consolas" w:hAnsi="Consolas"/>
          <w:sz w:val="19"/>
          <w:szCs w:val="19"/>
        </w:rPr>
        <w:br/>
        <w:t xml:space="preserve">                  + 1 per dependent beyond first, capped at +3</w:t>
      </w:r>
      <w:r>
        <w:rPr>
          <w:rFonts w:ascii="Consolas" w:cs="Consolas" w:eastAsia="Consolas" w:hAnsi="Consolas"/>
          <w:sz w:val="19"/>
          <w:szCs w:val="19"/>
        </w:rPr>
        <w:br/>
        <w:t xml:space="preserve">EssentialExpenses = Median(essential-only spend, trailing 6mo)</w:t>
      </w:r>
      <w:r>
        <w:rPr>
          <w:rFonts w:ascii="Consolas" w:cs="Consolas" w:eastAsia="Consolas" w:hAnsi="Consolas"/>
          <w:sz w:val="19"/>
          <w:szCs w:val="19"/>
        </w:rPr>
        <w:br/>
        <w:t xml:space="preserve">EffectiveLiquidSavings = Sum(instrument_i * liquidity_discount_i)</w:t>
      </w:r>
      <w:r>
        <w:rPr>
          <w:rFonts w:ascii="Consolas" w:cs="Consolas" w:eastAsia="Consolas" w:hAnsi="Consolas"/>
          <w:sz w:val="19"/>
          <w:szCs w:val="19"/>
        </w:rPr>
        <w:br/>
        <w:t xml:space="preserve">EmergencyFundRatio = EffectiveLiquidSavings / (EssentialExpenses * TargetMonths)</w:t>
      </w:r>
      <w:r>
        <w:rPr>
          <w:rFonts w:ascii="Consolas" w:cs="Consolas" w:eastAsia="Consolas" w:hAnsi="Consolas"/>
          <w:sz w:val="19"/>
          <w:szCs w:val="19"/>
        </w:rPr>
        <w:br/>
        <w:t xml:space="preserve">score_EFR = 100 * clip(EmergencyFundRatio, 0, 1)</w:t>
      </w:r>
      <w:r>
        <w:rPr>
          <w:rFonts w:ascii="Consolas" w:cs="Consolas" w:eastAsia="Consolas" w:hAnsi="Consolas"/>
          <w:sz w:val="19"/>
          <w:szCs w:val="19"/>
        </w:rPr>
        <w:br/>
        <w:t xml:space="preserve"/>
      </w:r>
      <w:r>
        <w:rPr>
          <w:rFonts w:ascii="Consolas" w:cs="Consolas" w:eastAsia="Consolas" w:hAnsi="Consolas"/>
          <w:sz w:val="19"/>
          <w:szCs w:val="19"/>
        </w:rPr>
        <w:br/>
        <w:t xml:space="preserve">CV_income = MAD(income, 6mo) / max(Median(income), 5000)</w:t>
      </w:r>
      <w:r>
        <w:rPr>
          <w:rFonts w:ascii="Consolas" w:cs="Consolas" w:eastAsia="Consolas" w:hAnsi="Consolas"/>
          <w:sz w:val="19"/>
          <w:szCs w:val="19"/>
        </w:rPr>
        <w:br/>
        <w:t xml:space="preserve">score_CashFlowReg = 100 * clip(1 - max(0, CV_income - ExpectedCV(IncomeType)) / ExpectedCV, 0, 1)</w:t>
      </w:r>
      <w:r>
        <w:rPr>
          <w:rFonts w:ascii="Consolas" w:cs="Consolas" w:eastAsia="Consolas" w:hAnsi="Consolas"/>
          <w:sz w:val="19"/>
          <w:szCs w:val="19"/>
        </w:rPr>
        <w:br/>
        <w:t xml:space="preserve"/>
      </w:r>
      <w:r>
        <w:rPr>
          <w:rFonts w:ascii="Consolas" w:cs="Consolas" w:eastAsia="Consolas" w:hAnsi="Consolas"/>
          <w:sz w:val="19"/>
          <w:szCs w:val="19"/>
        </w:rPr>
        <w:br/>
        <w:t xml:space="preserve">IdleCashMonths = consecutive months with IdleCashRatio &gt; 1.5</w:t>
      </w:r>
      <w:r>
        <w:rPr>
          <w:rFonts w:ascii="Consolas" w:cs="Consolas" w:eastAsia="Consolas" w:hAnsi="Consolas"/>
          <w:sz w:val="19"/>
          <w:szCs w:val="19"/>
        </w:rPr>
        <w:br/>
        <w:t xml:space="preserve">score_IdleCash = 100 - clip(6 * max(0, IdleCashMonths - 3), 0, 35)</w:t>
      </w:r>
      <w:r>
        <w:rPr>
          <w:rFonts w:ascii="Consolas" w:cs="Consolas" w:eastAsia="Consolas" w:hAnsi="Consolas"/>
          <w:sz w:val="19"/>
          <w:szCs w:val="19"/>
        </w:rPr>
        <w:br/>
        <w:t xml:space="preserve"/>
      </w:r>
      <w:r>
        <w:rPr>
          <w:rFonts w:ascii="Consolas" w:cs="Consolas" w:eastAsia="Consolas" w:hAnsi="Consolas"/>
          <w:sz w:val="19"/>
          <w:szCs w:val="19"/>
        </w:rPr>
        <w:br/>
        <w:t xml:space="preserve">P1 = 0.55*score_EFR + 0.25*score_CashFlowReg + 0.20*score_IdleCash</w:t>
      </w:r>
    </w:p>
    <w:p>
      <w:pPr>
        <w:spacing w:after="200" w:before="60"/>
        <w:ind w:left="260"/>
      </w:pPr>
      <w:r>
        <w:rPr>
          <w:b/>
          <w:bCs/>
          <w:i/>
          <w:iCs/>
          <w:color w:val="555555"/>
          <w:sz w:val="20"/>
          <w:szCs w:val="20"/>
        </w:rPr>
        <w:t xml:space="preserve">Notes: </w:t>
      </w:r>
      <w:r>
        <w:rPr>
          <w:i/>
          <w:iCs/>
          <w:color w:val="444444"/>
          <w:sz w:val="20"/>
          <w:szCs w:val="20"/>
        </w:rPr>
        <w:t xml:space="preserve">TargetMonths bands and the liquidity-discount schedule are cross-checked against SEBI investor-education material and standard Indian CFP practice guidance (3–6 months single/family, 9–12 months variable-income is the common range cited). score_IdleCash is deliberately gentle — holding too much idle cash is a soft miss, not a hard failure, since a user erring toward caution should never score worse than one taking on real risk; that trade-off is the Wider Tolerance principle applied asymmetrically rather than penalising safety.</w:t>
      </w:r>
    </w:p>
    <w:p>
      <w:pPr>
        <w:pStyle w:val="Heading3"/>
        <w:spacing w:after="120" w:before="250"/>
      </w:pPr>
      <w:bookmarkStart w:name="bm_2_2_3_pillar_2_debt_health_18__15" w:id="1"/>
      <w:r>
        <w:t xml:space="preserve">2.2.3 Pillar 2 — Debt Health (18%)</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score_DTI = clip(100 * (1 - DTI / 0.75), 0, 100)</w:t>
      </w:r>
      <w:r>
        <w:rPr>
          <w:rFonts w:ascii="Consolas" w:cs="Consolas" w:eastAsia="Consolas" w:hAnsi="Consolas"/>
          <w:sz w:val="19"/>
          <w:szCs w:val="19"/>
        </w:rPr>
        <w:br/>
        <w:t xml:space="preserve">score_EMI = clip(100 * (1 - EMI_to_income / EmployTypeCeiling), 0, 100)</w:t>
      </w:r>
      <w:r>
        <w:rPr>
          <w:rFonts w:ascii="Consolas" w:cs="Consolas" w:eastAsia="Consolas" w:hAnsi="Consolas"/>
          <w:sz w:val="19"/>
          <w:szCs w:val="19"/>
        </w:rPr>
        <w:br/>
        <w:t xml:space="preserve">score_CCUtil = 0.6*score_PerCard + 0.4*score_Aggregate</w:t>
      </w:r>
      <w:r>
        <w:rPr>
          <w:rFonts w:ascii="Consolas" w:cs="Consolas" w:eastAsia="Consolas" w:hAnsi="Consolas"/>
          <w:sz w:val="19"/>
          <w:szCs w:val="19"/>
        </w:rPr>
        <w:br/>
        <w:t xml:space="preserve">score_LoanMix = 100 * (secured/appreciating debt value) / (total debt value)</w:t>
      </w:r>
      <w:r>
        <w:rPr>
          <w:rFonts w:ascii="Consolas" w:cs="Consolas" w:eastAsia="Consolas" w:hAnsi="Consolas"/>
          <w:sz w:val="19"/>
          <w:szCs w:val="19"/>
        </w:rPr>
        <w:br/>
        <w:t xml:space="preserve">score_Trajectory = 50 + 50*tanh(-slope_of_median_DTI_6mo / sigma_dti_typical)</w:t>
      </w:r>
      <w:r>
        <w:rPr>
          <w:rFonts w:ascii="Consolas" w:cs="Consolas" w:eastAsia="Consolas" w:hAnsi="Consolas"/>
          <w:sz w:val="19"/>
          <w:szCs w:val="19"/>
        </w:rPr>
        <w:br/>
        <w:t xml:space="preserve"/>
      </w:r>
      <w:r>
        <w:rPr>
          <w:rFonts w:ascii="Consolas" w:cs="Consolas" w:eastAsia="Consolas" w:hAnsi="Consolas"/>
          <w:sz w:val="19"/>
          <w:szCs w:val="19"/>
        </w:rPr>
        <w:br/>
        <w:t xml:space="preserve">P2 = 0.30*score_DTI + 0.25*score_EMI + 0.20*score_CCUtil + 0.15*score_LoanMix + 0.10*score_Trajectory</w:t>
      </w:r>
    </w:p>
    <w:p>
      <w:pPr>
        <w:spacing w:after="200" w:before="60"/>
        <w:ind w:left="260"/>
      </w:pPr>
      <w:r>
        <w:rPr>
          <w:b/>
          <w:bCs/>
          <w:i/>
          <w:iCs/>
          <w:color w:val="555555"/>
          <w:sz w:val="20"/>
          <w:szCs w:val="20"/>
        </w:rPr>
        <w:t xml:space="preserve">Notes: </w:t>
      </w:r>
      <w:r>
        <w:rPr>
          <w:i/>
          <w:iCs/>
          <w:color w:val="444444"/>
          <w:sz w:val="20"/>
          <w:szCs w:val="20"/>
        </w:rPr>
        <w:t xml:space="preserve">The 0.75 ceiling in score_DTI and the EmployTypeCeiling used in score_EMI are set deliberately more conservative than a bank's own FOIR (Fixed Obligation to Income Ratio) underwriting ceiling, which commonly runs 40-55% depending on income level and lender — a bank being willing to approve a loan and that debt load being healthy for the borrower are different questions, and this pillar answers the second one. BNPL-classified obligations (Section 2.12.7) must be included in the DTI numerator; DTI computed without them understates true obligations for any user with active BNPL.</w:t>
      </w:r>
    </w:p>
    <w:p>
      <w:pPr>
        <w:pStyle w:val="Heading3"/>
        <w:spacing w:after="120" w:before="250"/>
      </w:pPr>
      <w:bookmarkStart w:name="bm_2_2_4_pillar_3_savings_behaviour_15__16" w:id="1"/>
      <w:r>
        <w:t xml:space="preserve">2.2.4 Pillar 3 — Savings Behaviour (15%)</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RegularSavingsRate = MonthlySavings(windfall-excluded) / MonthlyIncome(windfall-excluded)</w:t>
      </w:r>
      <w:r>
        <w:rPr>
          <w:rFonts w:ascii="Consolas" w:cs="Consolas" w:eastAsia="Consolas" w:hAnsi="Consolas"/>
          <w:sz w:val="19"/>
          <w:szCs w:val="19"/>
        </w:rPr>
        <w:br/>
        <w:t xml:space="preserve">score_Rate = 100 * clip(Median(RegularSavingsRate, 6mo, shock-excluded) / 0.30, 0, 1)</w:t>
      </w:r>
      <w:r>
        <w:rPr>
          <w:rFonts w:ascii="Consolas" w:cs="Consolas" w:eastAsia="Consolas" w:hAnsi="Consolas"/>
          <w:sz w:val="19"/>
          <w:szCs w:val="19"/>
        </w:rPr>
        <w:br/>
        <w:t xml:space="preserve">score_Consistency = 100 * (1 - MAD(savings, 6mo, excl.) / max(Median(savings), FLOOR))</w:t>
      </w:r>
      <w:r>
        <w:rPr>
          <w:rFonts w:ascii="Consolas" w:cs="Consolas" w:eastAsia="Consolas" w:hAnsi="Consolas"/>
          <w:sz w:val="19"/>
          <w:szCs w:val="19"/>
        </w:rPr>
        <w:br/>
        <w:t xml:space="preserve">DirectedSavingsRatio = (Goal contributions + SIP contributions) / TotalSavings</w:t>
      </w:r>
      <w:r>
        <w:rPr>
          <w:rFonts w:ascii="Consolas" w:cs="Consolas" w:eastAsia="Consolas" w:hAnsi="Consolas"/>
          <w:sz w:val="19"/>
          <w:szCs w:val="19"/>
        </w:rPr>
        <w:br/>
        <w:t xml:space="preserve">score_Directed = 100 * clip(Median(DirectedSavingsRatio, 6mo), 0, 1)</w:t>
      </w:r>
      <w:r>
        <w:rPr>
          <w:rFonts w:ascii="Consolas" w:cs="Consolas" w:eastAsia="Consolas" w:hAnsi="Consolas"/>
          <w:sz w:val="19"/>
          <w:szCs w:val="19"/>
        </w:rPr>
        <w:br/>
        <w:t xml:space="preserve">score_Automation = 100 if automated &gt;= 70% of savings else 60</w:t>
      </w:r>
      <w:r>
        <w:rPr>
          <w:rFonts w:ascii="Consolas" w:cs="Consolas" w:eastAsia="Consolas" w:hAnsi="Consolas"/>
          <w:sz w:val="19"/>
          <w:szCs w:val="19"/>
        </w:rPr>
        <w:br/>
        <w:t xml:space="preserve"/>
      </w:r>
      <w:r>
        <w:rPr>
          <w:rFonts w:ascii="Consolas" w:cs="Consolas" w:eastAsia="Consolas" w:hAnsi="Consolas"/>
          <w:sz w:val="19"/>
          <w:szCs w:val="19"/>
        </w:rPr>
        <w:br/>
        <w:t xml:space="preserve">P3 = 0.30*score_Rate + 0.25*score_Consistency + 0.25*score_Directed + 0.20*score_Automation</w:t>
      </w:r>
    </w:p>
    <w:p>
      <w:pPr>
        <w:pStyle w:val="Heading3"/>
        <w:spacing w:after="120" w:before="250"/>
      </w:pPr>
      <w:bookmarkStart w:name="bm_2_2_5_pillar_4_investment_quality_15__17" w:id="1"/>
      <w:r>
        <w:t xml:space="preserve">2.2.5 Pillar 4 — Investment Quality (15%)</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score_InvRatio = clip(100 * InvNetWorthRatio / 0.60, 0, 100)</w:t>
      </w:r>
      <w:r>
        <w:rPr>
          <w:rFonts w:ascii="Consolas" w:cs="Consolas" w:eastAsia="Consolas" w:hAnsi="Consolas"/>
          <w:sz w:val="19"/>
          <w:szCs w:val="19"/>
        </w:rPr>
        <w:br/>
        <w:t xml:space="preserve">DiversificationScore = 100 * [ 1 - (0.35*HHI_asset + 0.35*HHI_sector</w:t>
      </w:r>
      <w:r>
        <w:rPr>
          <w:rFonts w:ascii="Consolas" w:cs="Consolas" w:eastAsia="Consolas" w:hAnsi="Consolas"/>
          <w:sz w:val="19"/>
          <w:szCs w:val="19"/>
        </w:rPr>
        <w:br/>
        <w:t xml:space="preserve">                                     + 0.30*(1 - min(EffectiveEquityFundCount/5, 1))) ]</w:t>
      </w:r>
      <w:r>
        <w:rPr>
          <w:rFonts w:ascii="Consolas" w:cs="Consolas" w:eastAsia="Consolas" w:hAnsi="Consolas"/>
          <w:sz w:val="19"/>
          <w:szCs w:val="19"/>
        </w:rPr>
        <w:br/>
        <w:t xml:space="preserve">RealReturn(3yr_rolling) = PortfolioCAGR - CPI_inflation - WeightedExpenseRatio</w:t>
      </w:r>
      <w:r>
        <w:rPr>
          <w:rFonts w:ascii="Consolas" w:cs="Consolas" w:eastAsia="Consolas" w:hAnsi="Consolas"/>
          <w:sz w:val="19"/>
          <w:szCs w:val="19"/>
        </w:rPr>
        <w:br/>
        <w:t xml:space="preserve">score_RealReturn = 50 + 50*tanh(RealReturn / 0.06)</w:t>
      </w:r>
      <w:r>
        <w:rPr>
          <w:rFonts w:ascii="Consolas" w:cs="Consolas" w:eastAsia="Consolas" w:hAnsi="Consolas"/>
          <w:sz w:val="19"/>
          <w:szCs w:val="19"/>
        </w:rPr>
        <w:br/>
        <w:t xml:space="preserve">score_SIPContinuity = 100 * SIPsOnTime_adjusted / (TotalSIPsDue - SIPsMissedShockMonth)</w:t>
      </w:r>
      <w:r>
        <w:rPr>
          <w:rFonts w:ascii="Consolas" w:cs="Consolas" w:eastAsia="Consolas" w:hAnsi="Consolas"/>
          <w:sz w:val="19"/>
          <w:szCs w:val="19"/>
        </w:rPr>
        <w:br/>
        <w:t xml:space="preserve">score_RiskAlignment = 100 * clip(1 - |Target_equity - Actual_equity| / 0.40, 0, 1)</w:t>
      </w:r>
      <w:r>
        <w:rPr>
          <w:rFonts w:ascii="Consolas" w:cs="Consolas" w:eastAsia="Consolas" w:hAnsi="Consolas"/>
          <w:sz w:val="19"/>
          <w:szCs w:val="19"/>
        </w:rPr>
        <w:br/>
        <w:t xml:space="preserve"/>
      </w:r>
      <w:r>
        <w:rPr>
          <w:rFonts w:ascii="Consolas" w:cs="Consolas" w:eastAsia="Consolas" w:hAnsi="Consolas"/>
          <w:sz w:val="19"/>
          <w:szCs w:val="19"/>
        </w:rPr>
        <w:br/>
        <w:t xml:space="preserve">P4 = 0.15*score_InvRatio + 0.25*DiversificationScore + 0.25*score_RealReturn</w:t>
      </w:r>
      <w:r>
        <w:rPr>
          <w:rFonts w:ascii="Consolas" w:cs="Consolas" w:eastAsia="Consolas" w:hAnsi="Consolas"/>
          <w:sz w:val="19"/>
          <w:szCs w:val="19"/>
        </w:rPr>
        <w:br/>
        <w:t xml:space="preserve">     + 0.15*score_SIPContinuity + 0.20*score_RiskAlignment</w:t>
      </w:r>
    </w:p>
    <w:p>
      <w:pPr>
        <w:spacing w:after="200" w:before="60"/>
        <w:ind w:left="260"/>
      </w:pPr>
      <w:r>
        <w:rPr>
          <w:b/>
          <w:bCs/>
          <w:i/>
          <w:iCs/>
          <w:color w:val="555555"/>
          <w:sz w:val="20"/>
          <w:szCs w:val="20"/>
        </w:rPr>
        <w:t xml:space="preserve">Notes: </w:t>
      </w:r>
      <w:r>
        <w:rPr>
          <w:i/>
          <w:iCs/>
          <w:color w:val="444444"/>
          <w:sz w:val="20"/>
          <w:szCs w:val="20"/>
        </w:rPr>
        <w:t xml:space="preserve">HHI_asset and HHI_sector use overlap-adjusted fund counting (EffectiveEquityFundCount, defined fully in Model 6, Section 2.6.2), which is what catches a user holding five funds that all secretly hold the same large-cap stocks — a naive fund count would miss this entirely.</w:t>
      </w:r>
    </w:p>
    <w:p>
      <w:pPr>
        <w:pStyle w:val="Heading3"/>
        <w:spacing w:after="120" w:before="250"/>
      </w:pPr>
      <w:bookmarkStart w:name="bm_2_2_6_pillar_5_protection_coverage_15__18" w:id="1"/>
      <w:r>
        <w:t xml:space="preserve">2.2.6 Pillar 5 — Protection Coverage (15%)</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RecommendedCover = max(NeedsBasedCover, 0.7 * 12.5 * AnnualIncome)</w:t>
      </w:r>
      <w:r>
        <w:rPr>
          <w:rFonts w:ascii="Consolas" w:cs="Consolas" w:eastAsia="Consolas" w:hAnsi="Consolas"/>
          <w:sz w:val="19"/>
          <w:szCs w:val="19"/>
        </w:rPr>
        <w:br/>
        <w:t xml:space="preserve">score_Life = clip(100 * TotalSumAssured / RecommendedCover, 0, 100)</w:t>
      </w:r>
      <w:r>
        <w:rPr>
          <w:rFonts w:ascii="Consolas" w:cs="Consolas" w:eastAsia="Consolas" w:hAnsi="Consolas"/>
          <w:sz w:val="19"/>
          <w:szCs w:val="19"/>
        </w:rPr>
        <w:br/>
        <w:t xml:space="preserve">EffectiveHealthCover = Personal + min(EmployerCover, RecommendedFamilyCover * 0.5)</w:t>
      </w:r>
      <w:r>
        <w:rPr>
          <w:rFonts w:ascii="Consolas" w:cs="Consolas" w:eastAsia="Consolas" w:hAnsi="Consolas"/>
          <w:sz w:val="19"/>
          <w:szCs w:val="19"/>
        </w:rPr>
        <w:br/>
        <w:t xml:space="preserve">score_Health = clip(100 * EffectiveHealthCover / RecommendedFamilyCover, 0, 100)</w:t>
      </w:r>
      <w:r>
        <w:rPr>
          <w:rFonts w:ascii="Consolas" w:cs="Consolas" w:eastAsia="Consolas" w:hAnsi="Consolas"/>
          <w:sz w:val="19"/>
          <w:szCs w:val="19"/>
        </w:rPr>
        <w:br/>
        <w:t xml:space="preserve">score_AssetInsurance = 100 * (1 - AssetInsuranceGap_count / LoanLinkedAssets_count)</w:t>
      </w:r>
      <w:r>
        <w:rPr>
          <w:rFonts w:ascii="Consolas" w:cs="Consolas" w:eastAsia="Consolas" w:hAnsi="Consolas"/>
          <w:sz w:val="19"/>
          <w:szCs w:val="19"/>
        </w:rPr>
        <w:br/>
        <w:t xml:space="preserve">score_TermPlan = 100 if hasTermLifePolicy else 30</w:t>
      </w:r>
      <w:r>
        <w:rPr>
          <w:rFonts w:ascii="Consolas" w:cs="Consolas" w:eastAsia="Consolas" w:hAnsi="Consolas"/>
          <w:sz w:val="19"/>
          <w:szCs w:val="19"/>
        </w:rPr>
        <w:br/>
        <w:t xml:space="preserve"/>
      </w:r>
      <w:r>
        <w:rPr>
          <w:rFonts w:ascii="Consolas" w:cs="Consolas" w:eastAsia="Consolas" w:hAnsi="Consolas"/>
          <w:sz w:val="19"/>
          <w:szCs w:val="19"/>
        </w:rPr>
        <w:br/>
        <w:t xml:space="preserve">P5 = 0.30*score_Life + 0.30*score_Health + 0.15*score_AssetInsurance + 0.25*score_TermPlan</w:t>
      </w:r>
    </w:p>
    <w:p>
      <w:pPr>
        <w:spacing w:after="200" w:before="60"/>
        <w:ind w:left="260"/>
      </w:pPr>
      <w:r>
        <w:rPr>
          <w:b/>
          <w:bCs/>
          <w:i/>
          <w:iCs/>
          <w:color w:val="555555"/>
          <w:sz w:val="20"/>
          <w:szCs w:val="20"/>
        </w:rPr>
        <w:t xml:space="preserve">Notes: </w:t>
      </w:r>
      <w:r>
        <w:rPr>
          <w:i/>
          <w:iCs/>
          <w:color w:val="444444"/>
          <w:sz w:val="20"/>
          <w:szCs w:val="20"/>
        </w:rPr>
        <w:t xml:space="preserve">Employer cover is capped at 50% credit toward RecommendedFamilyCover because it disappears the day someone changes jobs — counting it in full would understate the coverage gap a job change would suddenly expose.</w:t>
      </w:r>
    </w:p>
    <w:p>
      <w:pPr>
        <w:pStyle w:val="Heading3"/>
        <w:spacing w:after="120" w:before="250"/>
      </w:pPr>
      <w:bookmarkStart w:name="bm_2_2_7_pillar_6_goal_alignment_12__19" w:id="1"/>
      <w:r>
        <w:t xml:space="preserve">2.2.7 Pillar 6 — Goal Alignment (12%)</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score_GoalCount = clip(100 * ActiveGoals / 4, 0, 100)</w:t>
      </w:r>
      <w:r>
        <w:rPr>
          <w:rFonts w:ascii="Consolas" w:cs="Consolas" w:eastAsia="Consolas" w:hAnsi="Consolas"/>
          <w:sz w:val="19"/>
          <w:szCs w:val="19"/>
        </w:rPr>
        <w:br/>
        <w:t xml:space="preserve">GoalExpectedProgress = FV(initial_target, InflationRate(category), years_elapsed)</w:t>
      </w:r>
      <w:r>
        <w:rPr>
          <w:rFonts w:ascii="Consolas" w:cs="Consolas" w:eastAsia="Consolas" w:hAnsi="Consolas"/>
          <w:sz w:val="19"/>
          <w:szCs w:val="19"/>
        </w:rPr>
        <w:br/>
        <w:t xml:space="preserve">score_FundingProgress = 100 * avg(GoalProgress_i / GoalExpectedProgress_i)</w:t>
      </w:r>
      <w:r>
        <w:rPr>
          <w:rFonts w:ascii="Consolas" w:cs="Consolas" w:eastAsia="Consolas" w:hAnsi="Consolas"/>
          <w:sz w:val="19"/>
          <w:szCs w:val="19"/>
        </w:rPr>
        <w:br/>
        <w:t xml:space="preserve">FeasibilityRatio = AvailableForInvestment / Sum(RequiredMonthlyContribution_i)</w:t>
      </w:r>
      <w:r>
        <w:rPr>
          <w:rFonts w:ascii="Consolas" w:cs="Consolas" w:eastAsia="Consolas" w:hAnsi="Consolas"/>
          <w:sz w:val="19"/>
          <w:szCs w:val="19"/>
        </w:rPr>
        <w:br/>
        <w:t xml:space="preserve">score_Feasibility = 100 * clip(FeasibilityRatio, 0, 1)</w:t>
      </w:r>
      <w:r>
        <w:rPr>
          <w:rFonts w:ascii="Consolas" w:cs="Consolas" w:eastAsia="Consolas" w:hAnsi="Consolas"/>
          <w:sz w:val="19"/>
          <w:szCs w:val="19"/>
        </w:rPr>
        <w:br/>
        <w:t xml:space="preserve">score_TermBalance = 100 - 100*|ShortTermGoalShare - 0.5|*2</w:t>
      </w:r>
      <w:r>
        <w:rPr>
          <w:rFonts w:ascii="Consolas" w:cs="Consolas" w:eastAsia="Consolas" w:hAnsi="Consolas"/>
          <w:sz w:val="19"/>
          <w:szCs w:val="19"/>
        </w:rPr>
        <w:br/>
        <w:t xml:space="preserve">score_Retirement = 100 * RetirementCorpus / TargetCorpusForAge(age, income)</w:t>
      </w:r>
      <w:r>
        <w:rPr>
          <w:rFonts w:ascii="Consolas" w:cs="Consolas" w:eastAsia="Consolas" w:hAnsi="Consolas"/>
          <w:sz w:val="19"/>
          <w:szCs w:val="19"/>
        </w:rPr>
        <w:br/>
        <w:t xml:space="preserve"/>
      </w:r>
      <w:r>
        <w:rPr>
          <w:rFonts w:ascii="Consolas" w:cs="Consolas" w:eastAsia="Consolas" w:hAnsi="Consolas"/>
          <w:sz w:val="19"/>
          <w:szCs w:val="19"/>
        </w:rPr>
        <w:br/>
        <w:t xml:space="preserve">P6 = 0.15*score_GoalCount + 0.30*score_FundingProgress + 0.25*score_Feasibility</w:t>
      </w:r>
      <w:r>
        <w:rPr>
          <w:rFonts w:ascii="Consolas" w:cs="Consolas" w:eastAsia="Consolas" w:hAnsi="Consolas"/>
          <w:sz w:val="19"/>
          <w:szCs w:val="19"/>
        </w:rPr>
        <w:br/>
        <w:t xml:space="preserve">     + 0.10*score_TermBalance + 0.20*score_Retirement</w:t>
      </w:r>
    </w:p>
    <w:p>
      <w:pPr>
        <w:pStyle w:val="Heading3"/>
        <w:spacing w:after="120" w:before="250"/>
      </w:pPr>
      <w:bookmarkStart w:name="bm_2_2_8_pillar_7_financial_behaviour_7__20" w:id="1"/>
      <w:r>
        <w:t xml:space="preserve">2.2.8 Pillar 7 — Financial Behaviour (7%)</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OverspendIncident := Spend(cat, mo) &gt; 1.20*CategoryBudget AND NOT IsShockMonth</w:t>
      </w:r>
      <w:r>
        <w:rPr>
          <w:rFonts w:ascii="Consolas" w:cs="Consolas" w:eastAsia="Consolas" w:hAnsi="Consolas"/>
          <w:sz w:val="19"/>
          <w:szCs w:val="19"/>
        </w:rPr>
        <w:br/>
        <w:t xml:space="preserve">score_Overspend = 100 - clip(8*count(OverspendIncident, 3mo), 0, 40)</w:t>
      </w:r>
      <w:r>
        <w:rPr>
          <w:rFonts w:ascii="Consolas" w:cs="Consolas" w:eastAsia="Consolas" w:hAnsi="Consolas"/>
          <w:sz w:val="19"/>
          <w:szCs w:val="19"/>
        </w:rPr>
        <w:br/>
        <w:t xml:space="preserve">score_Punctuality = 100 * (OnTime + 0.7*Grace) / TotalDueDates(6mo)</w:t>
      </w:r>
      <w:r>
        <w:rPr>
          <w:rFonts w:ascii="Consolas" w:cs="Consolas" w:eastAsia="Consolas" w:hAnsi="Consolas"/>
          <w:sz w:val="19"/>
          <w:szCs w:val="19"/>
        </w:rPr>
        <w:br/>
        <w:t xml:space="preserve">score_SubscriptionCreep = 100 * clip(1 - max(0, Ratio - 1.15) / 0.5, 0, 1)</w:t>
      </w:r>
      <w:r>
        <w:rPr>
          <w:rFonts w:ascii="Consolas" w:cs="Consolas" w:eastAsia="Consolas" w:hAnsi="Consolas"/>
          <w:sz w:val="19"/>
          <w:szCs w:val="19"/>
        </w:rPr>
        <w:br/>
        <w:t xml:space="preserve">score_LifestyleInflation = 100 * clip(1 - max(0, Ratio - 1.0) / 1.5, 0, 1)</w:t>
      </w:r>
      <w:r>
        <w:rPr>
          <w:rFonts w:ascii="Consolas" w:cs="Consolas" w:eastAsia="Consolas" w:hAnsi="Consolas"/>
          <w:sz w:val="19"/>
          <w:szCs w:val="19"/>
        </w:rPr>
        <w:br/>
        <w:t xml:space="preserve"/>
      </w:r>
      <w:r>
        <w:rPr>
          <w:rFonts w:ascii="Consolas" w:cs="Consolas" w:eastAsia="Consolas" w:hAnsi="Consolas"/>
          <w:sz w:val="19"/>
          <w:szCs w:val="19"/>
        </w:rPr>
        <w:br/>
        <w:t xml:space="preserve">P7 = 0.25*score_Overspend + 0.25*score_Punctuality + 0.20*score_SubscriptionCreep</w:t>
      </w:r>
      <w:r>
        <w:rPr>
          <w:rFonts w:ascii="Consolas" w:cs="Consolas" w:eastAsia="Consolas" w:hAnsi="Consolas"/>
          <w:sz w:val="19"/>
          <w:szCs w:val="19"/>
        </w:rPr>
        <w:br/>
        <w:t xml:space="preserve">     + 0.30*score_LifestyleInflation</w:t>
      </w:r>
    </w:p>
    <w:p>
      <w:pPr>
        <w:spacing w:after="200" w:before="60"/>
        <w:ind w:left="260"/>
      </w:pPr>
      <w:r>
        <w:rPr>
          <w:b/>
          <w:bCs/>
          <w:i/>
          <w:iCs/>
          <w:color w:val="555555"/>
          <w:sz w:val="20"/>
          <w:szCs w:val="20"/>
        </w:rPr>
        <w:t xml:space="preserve">Notes: </w:t>
      </w:r>
      <w:r>
        <w:rPr>
          <w:i/>
          <w:iCs/>
          <w:color w:val="444444"/>
          <w:sz w:val="20"/>
          <w:szCs w:val="20"/>
        </w:rPr>
        <w:t xml:space="preserve">This pillar carries the lowest weight (7%) of all seven by design, since spending-pattern signals are the noisiest of the group and the most likely to produce false positives against a genuinely healthy but irregular spender.</w:t>
      </w:r>
    </w:p>
    <w:p>
      <w:pPr>
        <w:pStyle w:val="Heading3"/>
        <w:spacing w:after="120" w:before="250"/>
      </w:pPr>
      <w:bookmarkStart w:name="bm_2_2_9_composite_formula_21" w:id="1"/>
      <w:r>
        <w:t xml:space="preserve">2.2.9 Composite formula</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RawComposite_t = 300 + 6 * (0.18*P1 + 0.18*P2 + 0.15*P3 + 0.15*P4 + 0.15*P5 + 0.12*P6 + 0.07*P7)</w:t>
      </w:r>
      <w:r>
        <w:rPr>
          <w:rFonts w:ascii="Consolas" w:cs="Consolas" w:eastAsia="Consolas" w:hAnsi="Consolas"/>
          <w:sz w:val="19"/>
          <w:szCs w:val="19"/>
        </w:rPr>
        <w:br/>
        <w:t xml:space="preserve"/>
      </w:r>
      <w:r>
        <w:rPr>
          <w:rFonts w:ascii="Consolas" w:cs="Consolas" w:eastAsia="Consolas" w:hAnsi="Consolas"/>
          <w:sz w:val="19"/>
          <w:szCs w:val="19"/>
        </w:rPr>
        <w:br/>
        <w:t xml:space="preserve">FinalScore_t = Sum_{k=0}^{5}(0.85^k * RawComposite_{t-k}) / Sum_{k=0}^{5}(0.85^k)</w:t>
      </w:r>
      <w:r>
        <w:rPr>
          <w:rFonts w:ascii="Consolas" w:cs="Consolas" w:eastAsia="Consolas" w:hAnsi="Consolas"/>
          <w:sz w:val="19"/>
          <w:szCs w:val="19"/>
        </w:rPr>
        <w:br/>
        <w:t xml:space="preserve">FinalScore_t = clip(FinalScore_t, FinalScore_{t-1} - 25, FinalScore_{t-1} + 25)</w:t>
      </w:r>
    </w:p>
    <w:p>
      <w:pPr>
        <w:pStyle w:val="Heading3"/>
        <w:spacing w:after="120" w:before="250"/>
      </w:pPr>
      <w:bookmarkStart w:name="bm_2_2_10_rule_based_path_6_months_history__22" w:id="1"/>
      <w:r>
        <w:t xml:space="preserve">2.2.10 Rule-based path (&lt; 6 months history)</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Cold-start, &lt; 3mo: FinalScore_t = RawComposite_t   (no EWMA possible yet)</w:t>
      </w:r>
      <w:r>
        <w:rPr>
          <w:rFonts w:ascii="Consolas" w:cs="Consolas" w:eastAsia="Consolas" w:hAnsi="Consolas"/>
          <w:sz w:val="19"/>
          <w:szCs w:val="19"/>
        </w:rPr>
        <w:br/>
        <w:t xml:space="preserve">3-6mo: Median/MAD computed over whatever months exist (minimum 3 for MAD to be meaningful)</w:t>
      </w:r>
      <w:r>
        <w:rPr>
          <w:rFonts w:ascii="Consolas" w:cs="Consolas" w:eastAsia="Consolas" w:hAnsi="Consolas"/>
          <w:sz w:val="19"/>
          <w:szCs w:val="19"/>
        </w:rPr>
        <w:br/>
        <w:t xml:space="preserve">Category budgets default to Median(category, available months) * 1.1</w:t>
      </w:r>
    </w:p>
    <w:p>
      <w:pPr>
        <w:spacing w:after="200" w:before="60"/>
        <w:ind w:left="260"/>
      </w:pPr>
      <w:r>
        <w:rPr>
          <w:b/>
          <w:bCs/>
          <w:i/>
          <w:iCs/>
          <w:color w:val="555555"/>
          <w:sz w:val="20"/>
          <w:szCs w:val="20"/>
        </w:rPr>
        <w:t xml:space="preserve">Notes: </w:t>
      </w:r>
      <w:r>
        <w:rPr>
          <w:i/>
          <w:iCs/>
          <w:color w:val="444444"/>
          <w:sz w:val="20"/>
          <w:szCs w:val="20"/>
        </w:rPr>
        <w:t xml:space="preserve">Below 3 months, the score is shown with a “Preliminary” badge and dataCompleteness scaled to months_available/6. TargetMonths, InflationRate(category), and the other lookup-table values are unchanged at any history length — they were population/actuarial reference values to begin with, never personal-history-dependent, which is why this model needs no separate ML fallback the way Models 1, 3, 5, and 10 do.</w:t>
      </w:r>
    </w:p>
    <w:p>
      <w:pPr>
        <w:pStyle w:val="Heading3"/>
        <w:spacing w:after="120" w:before="250"/>
      </w:pPr>
      <w:bookmarkStart w:name="bm_2_2_11_plain_language_summary_23" w:id="1"/>
      <w:r>
        <w:t xml:space="preserve">2.2.11 Plain-language summary</w:t>
      </w:r>
      <w:bookmarkEnd w:id="1"/>
    </w:p>
    <w:p>
      <w:pPr>
        <w:spacing w:after="150"/>
      </w:pPr>
      <w:r>
        <w:t xml:space="preserve">Seven areas of a person's financial life — cash buffer, debt, saving habits, investments, insurance, goals, and day-to-day spending discipline — each get their own 0-100 score built from several sub-checks, then combine into one number between 300 and 900. The system is built to never punish someone for a single bad month: it measures typical behaviour using the middle value rather than the average, so one unusual month can't drag the whole score down, and it specifically recognises festival spending and emergencies, excluding them from the calculation and showing a small note instead of a lower score.</w:t>
      </w:r>
    </w:p>
    <w:p>
      <w:r>
        <w:br w:type="page"/>
      </w:r>
    </w:p>
    <w:p>
      <w:pPr>
        <w:pStyle w:val="Heading2"/>
        <w:spacing w:after="150" w:before="300"/>
      </w:pPr>
      <w:bookmarkStart w:name="bm_2_3_model_3_financial_persona_classifier_24" w:id="1"/>
      <w:r>
        <w:t xml:space="preserve">2.3 Model 3 — Financial Persona Classifier</w:t>
      </w:r>
      <w:bookmarkEnd w:id="1"/>
    </w:p>
    <w:p>
      <w:pPr>
        <w:pStyle w:val="Heading3"/>
        <w:spacing w:after="120" w:before="250"/>
      </w:pPr>
      <w:bookmarkStart w:name="bm_2_3_1_rule_derived_labels_also_used_dire_25" w:id="1"/>
      <w:r>
        <w:t xml:space="preserve">2.3.1 Rule-derived labels (also used directly as the rule-based path)</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label = security_sensitive   if security_risk_score &gt;= 70</w:t>
      </w:r>
      <w:r>
        <w:rPr>
          <w:rFonts w:ascii="Consolas" w:cs="Consolas" w:eastAsia="Consolas" w:hAnsi="Consolas"/>
          <w:sz w:val="19"/>
          <w:szCs w:val="19"/>
        </w:rPr>
        <w:br/>
        <w:t xml:space="preserve">      = goal_accelerator     elif goal_completion_prob &gt;= 0.72 AND discipline_score &gt;= 70</w:t>
      </w:r>
      <w:r>
        <w:rPr>
          <w:rFonts w:ascii="Consolas" w:cs="Consolas" w:eastAsia="Consolas" w:hAnsi="Consolas"/>
          <w:sz w:val="19"/>
          <w:szCs w:val="19"/>
        </w:rPr>
        <w:br/>
        <w:t xml:space="preserve">      = liquidity_focused    elif total_balance_lakhs &lt;= 4.0</w:t>
      </w:r>
      <w:r>
        <w:rPr>
          <w:rFonts w:ascii="Consolas" w:cs="Consolas" w:eastAsia="Consolas" w:hAnsi="Consolas"/>
          <w:sz w:val="19"/>
          <w:szCs w:val="19"/>
        </w:rPr>
        <w:br/>
        <w:t xml:space="preserve">      = balanced_builder     otherwise</w:t>
      </w:r>
    </w:p>
    <w:p>
      <w:pPr>
        <w:spacing w:after="200" w:before="60"/>
        <w:ind w:left="260"/>
      </w:pPr>
      <w:r>
        <w:rPr>
          <w:b/>
          <w:bCs/>
          <w:i/>
          <w:iCs/>
          <w:color w:val="555555"/>
          <w:sz w:val="20"/>
          <w:szCs w:val="20"/>
        </w:rPr>
        <w:t xml:space="preserve">Notes: </w:t>
      </w:r>
      <w:r>
        <w:rPr>
          <w:i/>
          <w:iCs/>
          <w:color w:val="444444"/>
          <w:sz w:val="20"/>
          <w:szCs w:val="20"/>
        </w:rPr>
        <w:t xml:space="preserve">First match wins — the four conditions are not mutually exclusive, so the priority order itself is part of the specification, not incidental. security_sensitive is checked first because it is the most actionable/urgent classification when it applies.</w:t>
      </w:r>
    </w:p>
    <w:p>
      <w:pPr>
        <w:pStyle w:val="Heading3"/>
        <w:spacing w:after="120" w:before="250"/>
      </w:pPr>
      <w:bookmarkStart w:name="bm_2_3_2_ml_path_6_months_behavioural_histo_26" w:id="1"/>
      <w:r>
        <w:t xml:space="preserve">2.3.2 ML path (≥ 6 months behavioural history)</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P(segment = k | x) = softmax(F_K(x))_k,   k in {balanced_builder, security_sensitive,</w:t>
      </w:r>
      <w:r>
        <w:rPr>
          <w:rFonts w:ascii="Consolas" w:cs="Consolas" w:eastAsia="Consolas" w:hAnsi="Consolas"/>
          <w:sz w:val="19"/>
          <w:szCs w:val="19"/>
        </w:rPr>
        <w:br/>
        <w:t xml:space="preserve">                                                goal_accelerator, liquidity_focused}</w:t>
      </w:r>
      <w:r>
        <w:rPr>
          <w:rFonts w:ascii="Consolas" w:cs="Consolas" w:eastAsia="Consolas" w:hAnsi="Consolas"/>
          <w:sz w:val="19"/>
          <w:szCs w:val="19"/>
        </w:rPr>
        <w:br/>
        <w:t xml:space="preserve">segment = argmax_k P(segment = k | x)</w:t>
      </w:r>
      <w:r>
        <w:rPr>
          <w:rFonts w:ascii="Consolas" w:cs="Consolas" w:eastAsia="Consolas" w:hAnsi="Consolas"/>
          <w:sz w:val="19"/>
          <w:szCs w:val="19"/>
        </w:rPr>
        <w:br/>
        <w:t xml:space="preserve"/>
      </w:r>
      <w:r>
        <w:rPr>
          <w:rFonts w:ascii="Consolas" w:cs="Consolas" w:eastAsia="Consolas" w:hAnsi="Consolas"/>
          <w:sz w:val="19"/>
          <w:szCs w:val="19"/>
        </w:rPr>
        <w:br/>
        <w:t xml:space="preserve">Reclassify only if:  max_k P(k|x) - P(current_segment|x) &gt; 0.15</w:t>
      </w:r>
    </w:p>
    <w:p>
      <w:pPr>
        <w:spacing w:after="200" w:before="60"/>
        <w:ind w:left="260"/>
      </w:pPr>
      <w:r>
        <w:rPr>
          <w:b/>
          <w:bCs/>
          <w:i/>
          <w:iCs/>
          <w:color w:val="555555"/>
          <w:sz w:val="20"/>
          <w:szCs w:val="20"/>
        </w:rPr>
        <w:t xml:space="preserve">Notes: </w:t>
      </w:r>
      <w:r>
        <w:rPr>
          <w:i/>
          <w:iCs/>
          <w:color w:val="444444"/>
          <w:sz w:val="20"/>
          <w:szCs w:val="20"/>
        </w:rPr>
        <w:t xml:space="preserve">The 0.15 stability guard prevents week-to-week persona flip-flopping on borderline scores. Contestability: a user-submitted override creates a manually-reviewed exception; if approved, the persona is pinned (excluded from auto-reclassification) for at least 90 days and recorded in the feature store, so the next scheduled retrain doesn't silently reverse a human-approved correction. This matters under DPDP: a persona is inferred personal data shown back to the user, and the right-to-correction principle reasonably extends to an AI-inferred classification, not only to raw entered data.</w:t>
      </w:r>
    </w:p>
    <w:p>
      <w:pPr>
        <w:pStyle w:val="Heading3"/>
        <w:spacing w:after="120" w:before="250"/>
      </w:pPr>
      <w:bookmarkStart w:name="bm_2_3_3_plain_language_summary_27" w:id="1"/>
      <w:r>
        <w:t xml:space="preserve">2.3.3 Plain-language summary</w:t>
      </w:r>
      <w:bookmarkEnd w:id="1"/>
    </w:p>
    <w:p>
      <w:pPr>
        <w:spacing w:after="150"/>
      </w:pPr>
      <w:r>
        <w:t xml:space="preserve">Users are grouped into one of four behavioural types using simple, explainable rules first — too much security risk, or consistently hitting savings goals, or running low on liquid cash, or none of those in particular. Once there's enough history, a trained model takes over and can catch subtler, blended cases the simple rules miss, but it explains itself in the same plain terms as the original rules, and a user can always contest a label that feels wrong.</w:t>
      </w:r>
    </w:p>
    <w:p>
      <w:pPr>
        <w:pStyle w:val="Heading2"/>
        <w:spacing w:after="150" w:before="300"/>
      </w:pPr>
      <w:bookmarkStart w:name="bm_2_4_model_4_behavioural_nudging_engine_28" w:id="1"/>
      <w:r>
        <w:t xml:space="preserve">2.4 Model 4 — Behavioural Nudging Engine</w:t>
      </w:r>
      <w:bookmarkEnd w:id="1"/>
    </w:p>
    <w:p>
      <w:pPr>
        <w:pStyle w:val="Heading3"/>
        <w:spacing w:after="120" w:before="250"/>
      </w:pPr>
      <w:bookmarkStart w:name="bm_2_4_1_layer_1_rule_triggers_identical_in_29" w:id="1"/>
      <w:r>
        <w:t xml:space="preserve">2.4.1 Layer 1 — rule triggers (identical in both paths, always active)</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Trigger_BudgetExceeded := Spend(cat, mo) &gt; 1.20*Budget(cat, mo)</w:t>
      </w:r>
      <w:r>
        <w:rPr>
          <w:rFonts w:ascii="Consolas" w:cs="Consolas" w:eastAsia="Consolas" w:hAnsi="Consolas"/>
          <w:sz w:val="19"/>
          <w:szCs w:val="19"/>
        </w:rPr>
        <w:br/>
        <w:t xml:space="preserve">Trigger_GoalContribMissed := ExpectedContribution &gt; 0 AND ActualContribution = 0</w:t>
      </w:r>
      <w:r>
        <w:rPr>
          <w:rFonts w:ascii="Consolas" w:cs="Consolas" w:eastAsia="Consolas" w:hAnsi="Consolas"/>
          <w:sz w:val="19"/>
          <w:szCs w:val="19"/>
        </w:rPr>
        <w:br/>
        <w:t xml:space="preserve">                              AND day_of_month &gt; scheduled_day</w:t>
      </w:r>
      <w:r>
        <w:rPr>
          <w:rFonts w:ascii="Consolas" w:cs="Consolas" w:eastAsia="Consolas" w:hAnsi="Consolas"/>
          <w:sz w:val="19"/>
          <w:szCs w:val="19"/>
        </w:rPr>
        <w:br/>
        <w:t xml:space="preserve">Trigger_IdleCash := LiquidBalance &gt; 3*MonthlyExpenses AND duration &gt;= 14 days</w:t>
      </w:r>
      <w:r>
        <w:rPr>
          <w:rFonts w:ascii="Consolas" w:cs="Consolas" w:eastAsia="Consolas" w:hAnsi="Consolas"/>
          <w:sz w:val="19"/>
          <w:szCs w:val="19"/>
        </w:rPr>
        <w:br/>
        <w:t xml:space="preserve">Trigger_SIPShortfall := (next_deduction - today) &lt;= 2 days AND Balance &lt; sip.amount</w:t>
      </w:r>
      <w:r>
        <w:rPr>
          <w:rFonts w:ascii="Consolas" w:cs="Consolas" w:eastAsia="Consolas" w:hAnsi="Consolas"/>
          <w:sz w:val="19"/>
          <w:szCs w:val="19"/>
        </w:rPr>
        <w:br/>
        <w:t xml:space="preserve">Trigger_PremiumDue := (next_premium_due - today) &lt;= 7 days</w:t>
      </w:r>
    </w:p>
    <w:p>
      <w:pPr>
        <w:pStyle w:val="Heading3"/>
        <w:spacing w:after="120" w:before="250"/>
      </w:pPr>
      <w:bookmarkStart w:name="bm_2_4_2_layer_2_ml_path_6_months__30" w:id="1"/>
      <w:r>
        <w:t xml:space="preserve">2.4.2 Layer 2 — ML path (≥ 6 months)</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Recurring pattern (per category c): z_w = (mu_w - mean(mu_w1..w4)) / std(mu_w1..w4)</w:t>
      </w:r>
      <w:r>
        <w:rPr>
          <w:rFonts w:ascii="Consolas" w:cs="Consolas" w:eastAsia="Consolas" w:hAnsi="Consolas"/>
          <w:sz w:val="19"/>
          <w:szCs w:val="19"/>
        </w:rPr>
        <w:br/>
        <w:t xml:space="preserve">flagged if z_w &gt; 1.5 AND consistent in &gt;= 2 of last 3 months</w:t>
      </w:r>
      <w:r>
        <w:rPr>
          <w:rFonts w:ascii="Consolas" w:cs="Consolas" w:eastAsia="Consolas" w:hAnsi="Consolas"/>
          <w:sz w:val="19"/>
          <w:szCs w:val="19"/>
        </w:rPr>
        <w:br/>
        <w:t xml:space="preserve"/>
      </w:r>
      <w:r>
        <w:rPr>
          <w:rFonts w:ascii="Consolas" w:cs="Consolas" w:eastAsia="Consolas" w:hAnsi="Consolas"/>
          <w:sz w:val="19"/>
          <w:szCs w:val="19"/>
        </w:rPr>
        <w:br/>
        <w:t xml:space="preserve">Cash-shortfall forecast: ProjectedBalance(t+k) = Balance(t) + ScheduledInflows</w:t>
      </w:r>
      <w:r>
        <w:rPr>
          <w:rFonts w:ascii="Consolas" w:cs="Consolas" w:eastAsia="Consolas" w:hAnsi="Consolas"/>
          <w:sz w:val="19"/>
          <w:szCs w:val="19"/>
        </w:rPr>
        <w:br/>
        <w:t xml:space="preserve">                          - ScheduledOutflows - ExpectedDiscretionarySpend(t, t+k)</w:t>
      </w:r>
      <w:r>
        <w:rPr>
          <w:rFonts w:ascii="Consolas" w:cs="Consolas" w:eastAsia="Consolas" w:hAnsi="Consolas"/>
          <w:sz w:val="19"/>
          <w:szCs w:val="19"/>
        </w:rPr>
        <w:br/>
        <w:t xml:space="preserve">flag if min_{k=1..7} ProjectedBalance(t+k) &lt; MinimumBufferThreshold</w:t>
      </w:r>
      <w:r>
        <w:rPr>
          <w:rFonts w:ascii="Consolas" w:cs="Consolas" w:eastAsia="Consolas" w:hAnsi="Consolas"/>
          <w:sz w:val="19"/>
          <w:szCs w:val="19"/>
        </w:rPr>
        <w:br/>
        <w:t xml:space="preserve"/>
      </w:r>
      <w:r>
        <w:rPr>
          <w:rFonts w:ascii="Consolas" w:cs="Consolas" w:eastAsia="Consolas" w:hAnsi="Consolas"/>
          <w:sz w:val="19"/>
          <w:szCs w:val="19"/>
        </w:rPr>
        <w:br/>
        <w:t xml:space="preserve">Positive momentum: SavingsRate rising 3 consecutive months AND delta &gt; 0.03</w:t>
      </w:r>
    </w:p>
    <w:p>
      <w:pPr>
        <w:pStyle w:val="Heading3"/>
        <w:spacing w:after="120" w:before="250"/>
      </w:pPr>
      <w:bookmarkStart w:name="bm_2_4_3_layer_2_rule_based_path_6_months__31" w:id="1"/>
      <w:r>
        <w:t xml:space="preserve">2.4.3 Layer 2 — Rule-based path (&lt; 6 months)</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Recurring pattern: not computed below 3 months of same-category data</w:t>
      </w:r>
      <w:r>
        <w:rPr>
          <w:rFonts w:ascii="Consolas" w:cs="Consolas" w:eastAsia="Consolas" w:hAnsi="Consolas"/>
          <w:sz w:val="19"/>
          <w:szCs w:val="19"/>
        </w:rPr>
        <w:br/>
        <w:t xml:space="preserve">Cash-shortfall forecast: scheduled inflows/outflows only; ExpectedDiscretionarySpend</w:t>
      </w:r>
      <w:r>
        <w:rPr>
          <w:rFonts w:ascii="Consolas" w:cs="Consolas" w:eastAsia="Consolas" w:hAnsi="Consolas"/>
          <w:sz w:val="19"/>
          <w:szCs w:val="19"/>
        </w:rPr>
        <w:br/>
        <w:t xml:space="preserve">  uses Population-Benchmark Substitution if &gt;= 2 weeks of category data exist,</w:t>
      </w:r>
      <w:r>
        <w:rPr>
          <w:rFonts w:ascii="Consolas" w:cs="Consolas" w:eastAsia="Consolas" w:hAnsi="Consolas"/>
          <w:sz w:val="19"/>
          <w:szCs w:val="19"/>
        </w:rPr>
        <w:br/>
        <w:t xml:space="preserve">  otherwise the forecast is suppressed entirely</w:t>
      </w:r>
      <w:r>
        <w:rPr>
          <w:rFonts w:ascii="Consolas" w:cs="Consolas" w:eastAsia="Consolas" w:hAnsi="Consolas"/>
          <w:sz w:val="19"/>
          <w:szCs w:val="19"/>
        </w:rPr>
        <w:br/>
        <w:t xml:space="preserve">Positive momentum: requires 2 consecutive rising months, not 3</w:t>
      </w:r>
    </w:p>
    <w:p>
      <w:pPr>
        <w:spacing w:after="200" w:before="60"/>
        <w:ind w:left="260"/>
      </w:pPr>
      <w:r>
        <w:rPr>
          <w:b/>
          <w:bCs/>
          <w:i/>
          <w:iCs/>
          <w:color w:val="555555"/>
          <w:sz w:val="20"/>
          <w:szCs w:val="20"/>
        </w:rPr>
        <w:t xml:space="preserve">Notes: </w:t>
      </w:r>
      <w:r>
        <w:rPr>
          <w:i/>
          <w:iCs/>
          <w:color w:val="444444"/>
          <w:sz w:val="20"/>
          <w:szCs w:val="20"/>
        </w:rPr>
        <w:t xml:space="preserve">The recurring-pattern detector needs at least 3 months of same-category data for a weekly-seasonality baseline to mean anything; Layer 1's triggers alone cover this gap acceptably below that. The relaxed 2-month positive-momentum threshold applies the Wider Tolerance for New Users principle (Section 1.2): a newer user shouldn't need to wait as long to have genuine improvement recognised. Suppressing the cash-shortfall forecast entirely (rather than showing an unreliable one) below 2 weeks of category data is a deliberate choice — a wrong forecast here is worse than no forecast.</w:t>
      </w:r>
    </w:p>
    <w:p>
      <w:pPr>
        <w:pStyle w:val="Heading3"/>
        <w:spacing w:after="120" w:before="250"/>
      </w:pPr>
      <w:bookmarkStart w:name="bm_2_4_4_layer_3_governor_and_delivery_iden_32" w:id="1"/>
      <w:r>
        <w:t xml:space="preserve">2.4.4 Layer 3 — governor and delivery (identical in both paths)</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Send(nudge) iff:  count(sent today) &lt; 2  AND  intensity != off</w:t>
      </w:r>
      <w:r>
        <w:rPr>
          <w:rFonts w:ascii="Consolas" w:cs="Consolas" w:eastAsia="Consolas" w:hAnsi="Consolas"/>
          <w:sz w:val="19"/>
          <w:szCs w:val="19"/>
        </w:rPr>
        <w:br/>
        <w:t xml:space="preserve">                  AND priority_score &gt;= MinPriorityForIntensity(setting)</w:t>
      </w:r>
      <w:r>
        <w:rPr>
          <w:rFonts w:ascii="Consolas" w:cs="Consolas" w:eastAsia="Consolas" w:hAnsi="Consolas"/>
          <w:sz w:val="19"/>
          <w:szCs w:val="19"/>
        </w:rPr>
        <w:br/>
        <w:t xml:space="preserve">                  AND NOT already_sent_this_signal(cooldown_window)</w:t>
      </w:r>
      <w:r>
        <w:rPr>
          <w:rFonts w:ascii="Consolas" w:cs="Consolas" w:eastAsia="Consolas" w:hAnsi="Consolas"/>
          <w:sz w:val="19"/>
          <w:szCs w:val="19"/>
        </w:rPr>
        <w:br/>
        <w:t xml:space="preserve"/>
      </w:r>
      <w:r>
        <w:rPr>
          <w:rFonts w:ascii="Consolas" w:cs="Consolas" w:eastAsia="Consolas" w:hAnsi="Consolas"/>
          <w:sz w:val="19"/>
          <w:szCs w:val="19"/>
        </w:rPr>
        <w:br/>
        <w:t xml:space="preserve">priority_score = base_severity(type) * recency_weight * (1 + celebration_boost)</w:t>
      </w:r>
    </w:p>
    <w:p>
      <w:pPr>
        <w:pStyle w:val="Heading3"/>
        <w:spacing w:after="120" w:before="250"/>
      </w:pPr>
      <w:bookmarkStart w:name="bm_2_4_5_plain_language_summary_33" w:id="1"/>
      <w:r>
        <w:t xml:space="preserve">2.4.5 Plain-language summary</w:t>
      </w:r>
      <w:bookmarkEnd w:id="1"/>
    </w:p>
    <w:p>
      <w:pPr>
        <w:spacing w:after="150"/>
      </w:pPr>
      <w:r>
        <w:t xml:space="preserve">Five simple rules run for every user from day one: spent too much, missed a goal payment, cash sitting idle, a scheduled payment about to fail, a premium coming due. Once there's enough history, a second layer adds smarter pattern-spotting: recurring overspend weeks, a cash crunch 5-7 days before it happens, genuine improving momentum worth celebrating. A delivery governor makes sure no one gets more than two nudges a day, and a warm-sounding message only ever repeats facts the math already found, never inventing anything.</w:t>
      </w:r>
    </w:p>
    <w:p>
      <w:pPr>
        <w:pStyle w:val="Heading2"/>
        <w:spacing w:after="150" w:before="300"/>
      </w:pPr>
      <w:bookmarkStart w:name="bm_2_5_model_5_mule_account_detector_gnn__34" w:id="1"/>
      <w:r>
        <w:t xml:space="preserve">2.5 Model 5 — Mule Account Detector (GNN)</w:t>
      </w:r>
      <w:bookmarkEnd w:id="1"/>
    </w:p>
    <w:p>
      <w:pPr>
        <w:pStyle w:val="Heading3"/>
        <w:spacing w:after="120" w:before="250"/>
      </w:pPr>
      <w:bookmarkStart w:name="bm_2_5_1_stage_1_structural_features_this_i_35" w:id="1"/>
      <w:r>
        <w:t xml:space="preserve">2.5.1 Stage 1 — structural features (this IS the current, deployed path)</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FanInRatio(v) = count(distinct senders to v, 30d) / count(all txns to v, 30d)</w:t>
      </w:r>
      <w:r>
        <w:rPr>
          <w:rFonts w:ascii="Consolas" w:cs="Consolas" w:eastAsia="Consolas" w:hAnsi="Consolas"/>
          <w:sz w:val="19"/>
          <w:szCs w:val="19"/>
        </w:rPr>
        <w:br/>
        <w:t xml:space="preserve">FanOutBurstiness(v) = max(count(outbound txns, v, 1hr window)) / avg(hourly outbound rate)</w:t>
      </w:r>
      <w:r>
        <w:rPr>
          <w:rFonts w:ascii="Consolas" w:cs="Consolas" w:eastAsia="Consolas" w:hAnsi="Consolas"/>
          <w:sz w:val="19"/>
          <w:szCs w:val="19"/>
        </w:rPr>
        <w:br/>
        <w:t xml:space="preserve">AccountAgeAtFirstLargeCredit(v) = date(first credit &gt;= threshold) - date(account_created)</w:t>
      </w:r>
      <w:r>
        <w:rPr>
          <w:rFonts w:ascii="Consolas" w:cs="Consolas" w:eastAsia="Consolas" w:hAnsi="Consolas"/>
          <w:sz w:val="19"/>
          <w:szCs w:val="19"/>
        </w:rPr>
        <w:br/>
        <w:t xml:space="preserve">ClusteringCoefficient(v) = 2*triangles(v) / (degree(v)*(degree(v)-1))</w:t>
      </w:r>
      <w:r>
        <w:rPr>
          <w:rFonts w:ascii="Consolas" w:cs="Consolas" w:eastAsia="Consolas" w:hAnsi="Consolas"/>
          <w:sz w:val="19"/>
          <w:szCs w:val="19"/>
        </w:rPr>
        <w:br/>
        <w:t xml:space="preserve"/>
      </w:r>
      <w:r>
        <w:rPr>
          <w:rFonts w:ascii="Consolas" w:cs="Consolas" w:eastAsia="Consolas" w:hAnsi="Consolas"/>
          <w:sz w:val="19"/>
          <w:szCs w:val="19"/>
        </w:rPr>
        <w:br/>
        <w:t xml:space="preserve">CompositeStructuralScore(v) = w1*zscore(FanInRatio) + w2*zscore(FanOutBurstiness)</w:t>
      </w:r>
      <w:r>
        <w:rPr>
          <w:rFonts w:ascii="Consolas" w:cs="Consolas" w:eastAsia="Consolas" w:hAnsi="Consolas"/>
          <w:sz w:val="19"/>
          <w:szCs w:val="19"/>
        </w:rPr>
        <w:br/>
        <w:t xml:space="preserve">                               + w3*1[AccountAgeAtFirstLargeCredit &lt; 7 days]</w:t>
      </w:r>
      <w:r>
        <w:rPr>
          <w:rFonts w:ascii="Consolas" w:cs="Consolas" w:eastAsia="Consolas" w:hAnsi="Consolas"/>
          <w:sz w:val="19"/>
          <w:szCs w:val="19"/>
        </w:rPr>
        <w:br/>
        <w:t xml:space="preserve">                               + w4*zscore(ClusteringCoefficient)</w:t>
      </w:r>
    </w:p>
    <w:p>
      <w:pPr>
        <w:pStyle w:val="Heading3"/>
        <w:spacing w:after="120" w:before="250"/>
      </w:pPr>
      <w:bookmarkStart w:name="bm_2_5_2_label_propagation_combines_with_2__36" w:id="1"/>
      <w:r>
        <w:t xml:space="preserve">2.5.2 Label propagation (combines with 2.5.1, always active)</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risk^(0)(v) = 1.0 if v.IsFraud | 0.8 if v.IsMule | 0.0 otherwise</w:t>
      </w:r>
      <w:r>
        <w:rPr>
          <w:rFonts w:ascii="Consolas" w:cs="Consolas" w:eastAsia="Consolas" w:hAnsi="Consolas"/>
          <w:sz w:val="19"/>
          <w:szCs w:val="19"/>
        </w:rPr>
        <w:br/>
        <w:t xml:space="preserve">risk^(k+1)(v) = max( risk^(k)(v),</w:t>
      </w:r>
      <w:r>
        <w:rPr>
          <w:rFonts w:ascii="Consolas" w:cs="Consolas" w:eastAsia="Consolas" w:hAnsi="Consolas"/>
          <w:sz w:val="19"/>
          <w:szCs w:val="19"/>
        </w:rPr>
        <w:br/>
        <w:t xml:space="preserve">                     max_{u:(u-&gt;v) in E}[ 0.6 * edge_weight_norm(u,v) * risk^(k)(u) ] )</w:t>
      </w:r>
      <w:r>
        <w:rPr>
          <w:rFonts w:ascii="Consolas" w:cs="Consolas" w:eastAsia="Consolas" w:hAnsi="Consolas"/>
          <w:sz w:val="19"/>
          <w:szCs w:val="19"/>
        </w:rPr>
        <w:br/>
        <w:t xml:space="preserve">bounded to N &lt;= 3 hops</w:t>
      </w:r>
      <w:r>
        <w:rPr>
          <w:rFonts w:ascii="Consolas" w:cs="Consolas" w:eastAsia="Consolas" w:hAnsi="Consolas"/>
          <w:sz w:val="19"/>
          <w:szCs w:val="19"/>
        </w:rPr>
        <w:br/>
        <w:t xml:space="preserve"/>
      </w:r>
      <w:r>
        <w:rPr>
          <w:rFonts w:ascii="Consolas" w:cs="Consolas" w:eastAsia="Consolas" w:hAnsi="Consolas"/>
          <w:sz w:val="19"/>
          <w:szCs w:val="19"/>
        </w:rPr>
        <w:br/>
        <w:t xml:space="preserve">RecipientGNNScore(v) = clip( max(risk^(N)(v), sigmoid(CompositeStructuralScore(v))), 0, 1 )</w:t>
      </w:r>
    </w:p>
    <w:p>
      <w:pPr>
        <w:spacing w:after="200" w:before="60"/>
        <w:ind w:left="260"/>
      </w:pPr>
      <w:r>
        <w:rPr>
          <w:b/>
          <w:bCs/>
          <w:i/>
          <w:iCs/>
          <w:color w:val="555555"/>
          <w:sz w:val="20"/>
          <w:szCs w:val="20"/>
        </w:rPr>
        <w:t xml:space="preserve">Notes: </w:t>
      </w:r>
      <w:r>
        <w:rPr>
          <w:i/>
          <w:iCs/>
          <w:color w:val="444444"/>
          <w:sz w:val="20"/>
          <w:szCs w:val="20"/>
        </w:rPr>
        <w:t xml:space="preserve">The structural-score fallback specifically activates for nodes with no path to any seed node (risk^(N) = 0), giving a real signal even for a recipient nobody has ever sent money to before — a pure label-propagation approach would score every such node as 0 by default, which is exactly the population a first-time scam account belongs to.</w:t>
      </w:r>
    </w:p>
    <w:p>
      <w:pPr>
        <w:pStyle w:val="Heading3"/>
        <w:spacing w:after="120" w:before="250"/>
      </w:pPr>
      <w:bookmarkStart w:name="bm_2_5_3_stage_2_ml_path_not_yet_deployable_37" w:id="1"/>
      <w:r>
        <w:t xml:space="preserve">2.5.3 Stage 2 — ML path (not yet deployable)</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h_v^(k+1) = sigma( W_k . CONCAT[ h_v^(k), AGGREGATE({h_u^(k) : u in N(v)}) ] )</w:t>
      </w:r>
      <w:r>
        <w:rPr>
          <w:rFonts w:ascii="Consolas" w:cs="Consolas" w:eastAsia="Consolas" w:hAnsi="Consolas"/>
          <w:sz w:val="19"/>
          <w:szCs w:val="19"/>
        </w:rPr>
        <w:br/>
        <w:t xml:space="preserve">P(mule|v) = sigmoid(MLP(h_v^(K)))   after K rounds of message passing</w:t>
      </w:r>
    </w:p>
    <w:p>
      <w:pPr>
        <w:spacing w:after="200" w:before="60"/>
        <w:ind w:left="260"/>
      </w:pPr>
      <w:r>
        <w:rPr>
          <w:b/>
          <w:bCs/>
          <w:i/>
          <w:iCs/>
          <w:color w:val="555555"/>
          <w:sz w:val="20"/>
          <w:szCs w:val="20"/>
        </w:rPr>
        <w:t xml:space="preserve">Notes: </w:t>
      </w:r>
      <w:r>
        <w:rPr>
          <w:i/>
          <w:iCs/>
          <w:color w:val="444444"/>
          <w:sz w:val="20"/>
          <w:szCs w:val="20"/>
        </w:rPr>
        <w:t xml:space="preserve">Requires a real, growing, confirmed labelled dataset of fraud/mule accounts, which does not yet exist — this stage cannot be responsibly deployed on synthetic labels alone.</w:t>
      </w:r>
    </w:p>
    <w:p>
      <w:pPr>
        <w:pStyle w:val="Heading3"/>
        <w:spacing w:after="120" w:before="250"/>
      </w:pPr>
      <w:bookmarkStart w:name="bm_2_5_4_plain_language_summary_38" w:id="1"/>
      <w:r>
        <w:t xml:space="preserve">2.5.4 Plain-language summary</w:t>
      </w:r>
      <w:bookmarkEnd w:id="1"/>
    </w:p>
    <w:p>
      <w:pPr>
        <w:spacing w:after="150"/>
      </w:pPr>
      <w:r>
        <w:t xml:space="preserve">Every payment recipient sits somewhere in a web of who-paid-whom. This model looks at that web's shape — does money flow in from lots of unrelated people and then rush straight back out, is the account brand new but already receiving large sums, is it closely connected to an account already confirmed fraudulent — and turns that into a single risk score for the recipient, even one the user has never sent money to before.</w:t>
      </w:r>
    </w:p>
    <w:p>
      <w:r>
        <w:br w:type="page"/>
      </w:r>
    </w:p>
    <w:p>
      <w:pPr>
        <w:pStyle w:val="Heading2"/>
        <w:spacing w:after="150" w:before="300"/>
      </w:pPr>
      <w:bookmarkStart w:name="bm_2_6_model_6_investment_risk_assessment_39" w:id="1"/>
      <w:r>
        <w:t xml:space="preserve">2.6 Model 6 — Investment Risk Assessment</w:t>
      </w:r>
      <w:bookmarkEnd w:id="1"/>
    </w:p>
    <w:p>
      <w:pPr>
        <w:pStyle w:val="Heading3"/>
        <w:spacing w:after="120" w:before="250"/>
      </w:pPr>
      <w:bookmarkStart w:name="bm_2_6_1_risk_profiling_40" w:id="1"/>
      <w:r>
        <w:t xml:space="preserve">2.6.1 Risk profiling</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RiskAppetiteScore = w1*StatedRiskTolerance + w2*AgeFactor + w3*IncomeStabilityFactor</w:t>
      </w:r>
      <w:r>
        <w:rPr>
          <w:rFonts w:ascii="Consolas" w:cs="Consolas" w:eastAsia="Consolas" w:hAnsi="Consolas"/>
          <w:sz w:val="19"/>
          <w:szCs w:val="19"/>
        </w:rPr>
        <w:br/>
        <w:t xml:space="preserve">                    + w4*InvestmentHorizonFactor - w5*PastDrawdownReactionPenalty</w:t>
      </w:r>
      <w:r>
        <w:rPr>
          <w:rFonts w:ascii="Consolas" w:cs="Consolas" w:eastAsia="Consolas" w:hAnsi="Consolas"/>
          <w:sz w:val="19"/>
          <w:szCs w:val="19"/>
        </w:rPr>
        <w:br/>
        <w:t xml:space="preserve"/>
      </w:r>
      <w:r>
        <w:rPr>
          <w:rFonts w:ascii="Consolas" w:cs="Consolas" w:eastAsia="Consolas" w:hAnsi="Consolas"/>
          <w:sz w:val="19"/>
          <w:szCs w:val="19"/>
        </w:rPr>
        <w:br/>
        <w:t xml:space="preserve">RiskProfile = conservative (&lt; 35)  |  moderate (35-70)  |  aggressive (&gt;= 70)</w:t>
      </w:r>
    </w:p>
    <w:p>
      <w:pPr>
        <w:spacing w:after="200" w:before="60"/>
        <w:ind w:left="260"/>
      </w:pPr>
      <w:r>
        <w:rPr>
          <w:b/>
          <w:bCs/>
          <w:i/>
          <w:iCs/>
          <w:color w:val="555555"/>
          <w:sz w:val="20"/>
          <w:szCs w:val="20"/>
        </w:rPr>
        <w:t xml:space="preserve">Notes: </w:t>
      </w:r>
      <w:r>
        <w:rPr>
          <w:i/>
          <w:iCs/>
          <w:color w:val="444444"/>
          <w:sz w:val="20"/>
          <w:szCs w:val="20"/>
        </w:rPr>
        <w:t xml:space="preserve">PastDrawdownReactionPenalty follows the Never Invent History rule (Section 1.3): it is 0 for a user who has not yet lived through a market drawdown, not an estimated or assumed value.</w:t>
      </w:r>
    </w:p>
    <w:p>
      <w:pPr>
        <w:pStyle w:val="Heading3"/>
        <w:spacing w:after="120" w:before="250"/>
      </w:pPr>
      <w:bookmarkStart w:name="bm_2_6_2_diversification_overlap_adjusted__41" w:id="1"/>
      <w:r>
        <w:t xml:space="preserve">2.6.2 Diversification (overlap-adjusted)</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OverlapScore(f1, f2) = Sum_stock min(weight_in_f1, weight_in_f2)</w:t>
      </w:r>
      <w:r>
        <w:rPr>
          <w:rFonts w:ascii="Consolas" w:cs="Consolas" w:eastAsia="Consolas" w:hAnsi="Consolas"/>
          <w:sz w:val="19"/>
          <w:szCs w:val="19"/>
        </w:rPr>
        <w:br/>
        <w:t xml:space="preserve">EffectiveEquityFundCount = NumFunds / (1 + avg_pairwise_overlap * (NumFunds - 1))</w:t>
      </w:r>
      <w:r>
        <w:rPr>
          <w:rFonts w:ascii="Consolas" w:cs="Consolas" w:eastAsia="Consolas" w:hAnsi="Consolas"/>
          <w:sz w:val="19"/>
          <w:szCs w:val="19"/>
        </w:rPr>
        <w:br/>
        <w:t xml:space="preserve">DiversificationScore = 100 * [ 1 - (0.35*HHI_asset + 0.35*HHI_sector</w:t>
      </w:r>
      <w:r>
        <w:rPr>
          <w:rFonts w:ascii="Consolas" w:cs="Consolas" w:eastAsia="Consolas" w:hAnsi="Consolas"/>
          <w:sz w:val="19"/>
          <w:szCs w:val="19"/>
        </w:rPr>
        <w:br/>
        <w:t xml:space="preserve">                                     + 0.30*(1 - min(EffectiveEquityFundCount/5, 1))) ]</w:t>
      </w:r>
    </w:p>
    <w:p>
      <w:pPr>
        <w:spacing w:after="200" w:before="60"/>
        <w:ind w:left="260"/>
      </w:pPr>
      <w:r>
        <w:rPr>
          <w:b/>
          <w:bCs/>
          <w:i/>
          <w:iCs/>
          <w:color w:val="555555"/>
          <w:sz w:val="20"/>
          <w:szCs w:val="20"/>
        </w:rPr>
        <w:t xml:space="preserve">Notes: </w:t>
      </w:r>
      <w:r>
        <w:rPr>
          <w:i/>
          <w:iCs/>
          <w:color w:val="444444"/>
          <w:sz w:val="20"/>
          <w:szCs w:val="20"/>
        </w:rPr>
        <w:t xml:space="preserve">EffectiveEquityFundCount is what catches the common mistake of owning five funds that all secretly hold the same underlying stocks — a naive count of funds would score that portfolio as well-diversified when it isn't.</w:t>
      </w:r>
    </w:p>
    <w:p>
      <w:pPr>
        <w:pStyle w:val="Heading3"/>
        <w:spacing w:after="120" w:before="250"/>
      </w:pPr>
      <w:bookmarkStart w:name="bm_2_6_3_rebalancing_and_sip_allocation_42" w:id="1"/>
      <w:r>
        <w:t xml:space="preserve">2.6.3 Rebalancing and SIP allocation</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drift_i = ActualAllocation_i - TargetAllocation_i</w:t>
      </w:r>
      <w:r>
        <w:rPr>
          <w:rFonts w:ascii="Consolas" w:cs="Consolas" w:eastAsia="Consolas" w:hAnsi="Consolas"/>
          <w:sz w:val="19"/>
          <w:szCs w:val="19"/>
        </w:rPr>
        <w:br/>
        <w:t xml:space="preserve">Trigger rebalance if max_i |drift_i| &gt; 10 percentage points</w:t>
      </w:r>
      <w:r>
        <w:rPr>
          <w:rFonts w:ascii="Consolas" w:cs="Consolas" w:eastAsia="Consolas" w:hAnsi="Consolas"/>
          <w:sz w:val="19"/>
          <w:szCs w:val="19"/>
        </w:rPr>
        <w:br/>
        <w:t xml:space="preserve"/>
      </w:r>
      <w:r>
        <w:rPr>
          <w:rFonts w:ascii="Consolas" w:cs="Consolas" w:eastAsia="Consolas" w:hAnsi="Consolas"/>
          <w:sz w:val="19"/>
          <w:szCs w:val="19"/>
        </w:rPr>
        <w:br/>
        <w:t xml:space="preserve">EmergencyFundGap = max(0, 6*MonthlyExpenses - CurrentLiquidSavings)</w:t>
      </w:r>
      <w:r>
        <w:rPr>
          <w:rFonts w:ascii="Consolas" w:cs="Consolas" w:eastAsia="Consolas" w:hAnsi="Consolas"/>
          <w:sz w:val="19"/>
          <w:szCs w:val="19"/>
        </w:rPr>
        <w:br/>
        <w:t xml:space="preserve">AvailableForInvestment = max(0, Income - Expenses - EMIs - InsurancePremiums)</w:t>
      </w:r>
      <w:r>
        <w:rPr>
          <w:rFonts w:ascii="Consolas" w:cs="Consolas" w:eastAsia="Consolas" w:hAnsi="Consolas"/>
          <w:sz w:val="19"/>
          <w:szCs w:val="19"/>
        </w:rPr>
        <w:br/>
        <w:t xml:space="preserve">MonthlySIP = 0.7 * AvailableForInvestment                             if EmergencyFundGap &gt; 0</w:t>
      </w:r>
      <w:r>
        <w:rPr>
          <w:rFonts w:ascii="Consolas" w:cs="Consolas" w:eastAsia="Consolas" w:hAnsi="Consolas"/>
          <w:sz w:val="19"/>
          <w:szCs w:val="19"/>
        </w:rPr>
        <w:br/>
        <w:t xml:space="preserve">           = AvailableForInvestment * SavingsRateTarget(RiskProfile, GoalUrgency)   else</w:t>
      </w:r>
    </w:p>
    <w:p>
      <w:pPr>
        <w:pStyle w:val="Heading3"/>
        <w:spacing w:after="120" w:before="250"/>
      </w:pPr>
      <w:bookmarkStart w:name="bm_2_6_4_rule_based_path_6_months__43" w:id="1"/>
      <w:r>
        <w:t xml:space="preserve">2.6.4 Rule-based path (&lt; 6 months)</w:t>
      </w:r>
      <w:bookmarkEnd w:id="1"/>
    </w:p>
    <w:p>
      <w:pPr>
        <w:spacing w:after="150"/>
      </w:pPr>
      <w:r>
        <w:t xml:space="preserve">This model has no separate rule-based path — it is deterministic formula only, at every history length, because there is no sense in which more months of data changes how a rebalancing threshold or a diversification calculation should work. The only adjustment for a new user is PastDrawdownReactionPenalty defaulting to 0 per Section 1.3, rather than being estimated.</w:t>
      </w:r>
    </w:p>
    <w:p>
      <w:pPr>
        <w:pStyle w:val="Heading3"/>
        <w:spacing w:after="120" w:before="250"/>
      </w:pPr>
      <w:bookmarkStart w:name="bm_2_6_5_plain_language_summary_44" w:id="1"/>
      <w:r>
        <w:t xml:space="preserve">2.6.5 Plain-language summary</w:t>
      </w:r>
      <w:bookmarkEnd w:id="1"/>
    </w:p>
    <w:p>
      <w:pPr>
        <w:spacing w:after="150"/>
      </w:pPr>
      <w:r>
        <w:t xml:space="preserve">This model never learns or guesses — every number comes from a fixed, published formula a human financial planner could check by hand. It works out how much risk someone can reasonably take, checks whether their actual portfolio is genuinely spread out, and suggests how much to invest monthly, always filling the emergency fund first.</w:t>
      </w:r>
    </w:p>
    <w:p>
      <w:pPr>
        <w:spacing w:after="200" w:before="60"/>
        <w:ind w:left="260"/>
      </w:pPr>
      <w:r>
        <w:rPr>
          <w:b/>
          <w:bCs/>
          <w:i/>
          <w:iCs/>
          <w:color w:val="555555"/>
          <w:sz w:val="20"/>
          <w:szCs w:val="20"/>
        </w:rPr>
        <w:t xml:space="preserve">Notes: </w:t>
      </w:r>
      <w:r>
        <w:rPr>
          <w:i/>
          <w:iCs/>
          <w:color w:val="444444"/>
          <w:sz w:val="20"/>
          <w:szCs w:val="20"/>
        </w:rPr>
        <w:t xml:space="preserve">Architected as a deterministic formula rather than a learned recommender specifically because SEBI's investment-advice boundary requires that the app's output stay in an informational/“consider” register rather than a specific instruction — a formula a compliance officer can print and check by hand is a fundamentally different regulatory object than a model whose logic is learned and opaque.</w:t>
      </w:r>
    </w:p>
    <w:p>
      <w:pPr>
        <w:pStyle w:val="Heading2"/>
        <w:spacing w:after="150" w:before="300"/>
      </w:pPr>
      <w:bookmarkStart w:name="bm_2_7_model_7_insurance_protection_score_45" w:id="1"/>
      <w:r>
        <w:t xml:space="preserve">2.7 Model 7 — Insurance Protection Score</w:t>
      </w:r>
      <w:bookmarkEnd w:id="1"/>
    </w:p>
    <w:p>
      <w:pPr>
        <w:pStyle w:val="Heading3"/>
        <w:spacing w:after="120" w:before="250"/>
      </w:pPr>
      <w:bookmarkStart w:name="bm_2_7_1_life_and_health_cover_46" w:id="1"/>
      <w:r>
        <w:t xml:space="preserve">2.7.1 Life and health cover</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NeedsBasedCover = (AnnualExpensesOfDependents * YearsUntilSelfSufficient) + Loans - Assets</w:t>
      </w:r>
      <w:r>
        <w:rPr>
          <w:rFonts w:ascii="Consolas" w:cs="Consolas" w:eastAsia="Consolas" w:hAnsi="Consolas"/>
          <w:sz w:val="19"/>
          <w:szCs w:val="19"/>
        </w:rPr>
        <w:br/>
        <w:t xml:space="preserve">RecommendedCover = max(NeedsBasedCover, 0.7 * 12.5 * AnnualIncome)</w:t>
      </w:r>
      <w:r>
        <w:rPr>
          <w:rFonts w:ascii="Consolas" w:cs="Consolas" w:eastAsia="Consolas" w:hAnsi="Consolas"/>
          <w:sz w:val="19"/>
          <w:szCs w:val="19"/>
        </w:rPr>
        <w:br/>
        <w:t xml:space="preserve">score_Life = clip(100 * TotalSumAssured / RecommendedCover, 0, 100)</w:t>
      </w:r>
      <w:r>
        <w:rPr>
          <w:rFonts w:ascii="Consolas" w:cs="Consolas" w:eastAsia="Consolas" w:hAnsi="Consolas"/>
          <w:sz w:val="19"/>
          <w:szCs w:val="19"/>
        </w:rPr>
        <w:br/>
        <w:t xml:space="preserve"/>
      </w:r>
      <w:r>
        <w:rPr>
          <w:rFonts w:ascii="Consolas" w:cs="Consolas" w:eastAsia="Consolas" w:hAnsi="Consolas"/>
          <w:sz w:val="19"/>
          <w:szCs w:val="19"/>
        </w:rPr>
        <w:br/>
        <w:t xml:space="preserve">RecommendedFamilyCover = BaseCoverPerAdult(CityTier) * (1 + 0.3*(Adults - 1) + 0.2*Children)</w:t>
      </w:r>
      <w:r>
        <w:rPr>
          <w:rFonts w:ascii="Consolas" w:cs="Consolas" w:eastAsia="Consolas" w:hAnsi="Consolas"/>
          <w:sz w:val="19"/>
          <w:szCs w:val="19"/>
        </w:rPr>
        <w:br/>
        <w:t xml:space="preserve">EffectiveHealthCover = Personal + min(EmployerCover, RecommendedFamilyCover * 0.5)</w:t>
      </w:r>
      <w:r>
        <w:rPr>
          <w:rFonts w:ascii="Consolas" w:cs="Consolas" w:eastAsia="Consolas" w:hAnsi="Consolas"/>
          <w:sz w:val="19"/>
          <w:szCs w:val="19"/>
        </w:rPr>
        <w:br/>
        <w:t xml:space="preserve">score_Health = clip(100 * EffectiveHealthCover / RecommendedFamilyCover, 0, 100)</w:t>
      </w:r>
    </w:p>
    <w:p>
      <w:pPr>
        <w:pStyle w:val="Heading3"/>
        <w:spacing w:after="120" w:before="250"/>
      </w:pPr>
      <w:bookmarkStart w:name="bm_2_7_2_asset_insurance_and_policy_type_op_47" w:id="1"/>
      <w:r>
        <w:t xml:space="preserve">2.7.2 Asset insurance and policy-type optimality</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AssetInsuranceGap := EXISTS active loan L on asset A with NO insurance covering A</w:t>
      </w:r>
      <w:r>
        <w:rPr>
          <w:rFonts w:ascii="Consolas" w:cs="Consolas" w:eastAsia="Consolas" w:hAnsi="Consolas"/>
          <w:sz w:val="19"/>
          <w:szCs w:val="19"/>
        </w:rPr>
        <w:br/>
        <w:t xml:space="preserve">ImpliedCostOfCoverPerLakh = AnnualPremium / (SumAssured / 100000)</w:t>
      </w:r>
      <w:r>
        <w:rPr>
          <w:rFonts w:ascii="Consolas" w:cs="Consolas" w:eastAsia="Consolas" w:hAnsi="Consolas"/>
          <w:sz w:val="19"/>
          <w:szCs w:val="19"/>
        </w:rPr>
        <w:br/>
        <w:t xml:space="preserve">Flag "consider pure term" if:  policy.type in {endowment, wholeLife, ULIP}</w:t>
      </w:r>
      <w:r>
        <w:rPr>
          <w:rFonts w:ascii="Consolas" w:cs="Consolas" w:eastAsia="Consolas" w:hAnsi="Consolas"/>
          <w:sz w:val="19"/>
          <w:szCs w:val="19"/>
        </w:rPr>
        <w:br/>
        <w:t xml:space="preserve">                                AND stated_goal == "protection"</w:t>
      </w:r>
      <w:r>
        <w:rPr>
          <w:rFonts w:ascii="Consolas" w:cs="Consolas" w:eastAsia="Consolas" w:hAnsi="Consolas"/>
          <w:sz w:val="19"/>
          <w:szCs w:val="19"/>
        </w:rPr>
        <w:br/>
        <w:t xml:space="preserve">                                AND ImpliedCostOfCoverPerLakh &gt; 3*MarketAverageTermPlanCostPerLakh(age, sumAssured)</w:t>
      </w:r>
    </w:p>
    <w:p>
      <w:pPr>
        <w:spacing w:after="200" w:before="60"/>
        <w:ind w:left="260"/>
      </w:pPr>
      <w:r>
        <w:rPr>
          <w:b/>
          <w:bCs/>
          <w:i/>
          <w:iCs/>
          <w:color w:val="555555"/>
          <w:sz w:val="20"/>
          <w:szCs w:val="20"/>
        </w:rPr>
        <w:t xml:space="preserve">Notes: </w:t>
      </w:r>
      <w:r>
        <w:rPr>
          <w:i/>
          <w:iCs/>
          <w:color w:val="444444"/>
          <w:sz w:val="20"/>
          <w:szCs w:val="20"/>
        </w:rPr>
        <w:t xml:space="preserve">This flag needs dedicated IRDAI-facing legal review before shipping — even general educational framing that steers a user away from a named policy type can read close to solicitation, which FINIX is not licensed to provide.</w:t>
      </w:r>
    </w:p>
    <w:p>
      <w:pPr>
        <w:pStyle w:val="Heading3"/>
        <w:spacing w:after="120" w:before="250"/>
      </w:pPr>
      <w:bookmarkStart w:name="bm_2_7_3_rule_based_path_48" w:id="1"/>
      <w:r>
        <w:t xml:space="preserve">2.7.3 Rule-based path</w:t>
      </w:r>
      <w:bookmarkEnd w:id="1"/>
    </w:p>
    <w:p>
      <w:pPr>
        <w:spacing w:after="150"/>
      </w:pPr>
      <w:r>
        <w:t xml:space="preserve">Same as Model 6 — fully deterministic in all cases. City-tier cover benchmarks and the term-plan cost comparison are population/actuarial reference values by design, not personal-history-dependent.</w:t>
      </w:r>
    </w:p>
    <w:p>
      <w:pPr>
        <w:pStyle w:val="Heading3"/>
        <w:spacing w:after="120" w:before="250"/>
      </w:pPr>
      <w:bookmarkStart w:name="bm_2_7_4_plain_language_summary_49" w:id="1"/>
      <w:r>
        <w:t xml:space="preserve">2.7.4 Plain-language summary</w:t>
      </w:r>
      <w:bookmarkEnd w:id="1"/>
    </w:p>
    <w:p>
      <w:pPr>
        <w:spacing w:after="150"/>
      </w:pPr>
      <w:r>
        <w:t xml:space="preserve">Checks whether life and health cover actually match what a family would need if something happened — not a generic “buy 10x your salary” rule, but a calculation based on dependents, existing loans, and what an employer already covers, with a clear warning that employer cover disappears the day someone changes jobs. Also flags when an expensive investment-linked insurance policy is providing very little actual protection per rupee compared to a plain term plan.</w:t>
      </w:r>
    </w:p>
    <w:p>
      <w:pPr>
        <w:pStyle w:val="Heading2"/>
        <w:spacing w:after="150" w:before="300"/>
      </w:pPr>
      <w:bookmarkStart w:name="bm_2_8_model_8_tax_calculation_suite_50" w:id="1"/>
      <w:r>
        <w:t xml:space="preserve">2.8 Model 8 — Tax Calculation Suite</w:t>
      </w:r>
      <w:bookmarkEnd w:id="1"/>
    </w:p>
    <w:p>
      <w:pPr>
        <w:pBdr>
          <w:top w:val="single" w:color="C0392B" w:sz="6" w:space="4"/>
          <w:bottom w:val="single" w:color="C0392B" w:sz="6" w:space="4"/>
          <w:left w:val="single" w:color="C0392B" w:sz="18" w:space="8"/>
          <w:right w:val="single" w:color="C0392B" w:sz="6" w:space="4"/>
        </w:pBdr>
        <w:shd w:fill="FDECEA" w:val="clear"/>
        <w:spacing w:after="200" w:before="120"/>
        <w:ind w:left="200"/>
      </w:pPr>
      <w:r>
        <w:rPr>
          <w:b/>
          <w:bCs/>
          <w:color w:val="AF3A2C"/>
        </w:rPr>
        <w:t xml:space="preserve">CORRECTED: </w:t>
      </w:r>
      <w:r>
        <w:rPr>
          <w:color w:val="3B3B3B"/>
        </w:rPr>
        <w:t xml:space="preserve">This entire model required substantive correction. The source formulas referenced “the current Finance Act” as a single, generic, always-current constant. In fact, as of the current date, two separate statutes are simultaneously live: the Income Tax Act, 1961 still governs FY 2025-26 filings (the ones actually being filed in the July 2026 filing season), while the Income Tax Act, 2025 governs Tax Year 2026-27 onward with renumbered sections, effective 1 April 2026. The formulas below are now keyed to which Tax Year a computation is for, and the specific rates and rebate scope that were previously left as unpinned placeholders are now pinned to their current, correct values.</w:t>
      </w:r>
    </w:p>
    <w:p>
      <w:pPr>
        <w:pStyle w:val="Heading3"/>
        <w:spacing w:after="120" w:before="250"/>
      </w:pPr>
      <w:bookmarkStart w:name="bm_2_8_1_governing_statute_selection_new_pr_51" w:id="1"/>
      <w:r>
        <w:t xml:space="preserve">2.8.1 Governing statute selection (new — previously absent)</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GoverningAct(tax_year) = IncomeTaxAct1961    if tax_year &lt;= "2025-26"</w:t>
      </w:r>
      <w:r>
        <w:rPr>
          <w:rFonts w:ascii="Consolas" w:cs="Consolas" w:eastAsia="Consolas" w:hAnsi="Consolas"/>
          <w:sz w:val="19"/>
          <w:szCs w:val="19"/>
        </w:rPr>
        <w:br/>
        <w:t xml:space="preserve">                        = IncomeTaxAct2025    if tax_year &gt;= "2026-27"</w:t>
      </w:r>
      <w:r>
        <w:rPr>
          <w:rFonts w:ascii="Consolas" w:cs="Consolas" w:eastAsia="Consolas" w:hAnsi="Consolas"/>
          <w:sz w:val="19"/>
          <w:szCs w:val="19"/>
        </w:rPr>
        <w:br/>
        <w:t xml:space="preserve"/>
      </w:r>
      <w:r>
        <w:rPr>
          <w:rFonts w:ascii="Consolas" w:cs="Consolas" w:eastAsia="Consolas" w:hAnsi="Consolas"/>
          <w:sz w:val="19"/>
          <w:szCs w:val="19"/>
        </w:rPr>
        <w:br/>
        <w:t xml:space="preserve">SectionRef(deduction_type, tax_year) = Lookup(SectionMap, deduction_type, GoverningAct(tax_year))</w:t>
      </w:r>
    </w:p>
    <w:p>
      <w:pPr>
        <w:spacing w:after="200" w:before="60"/>
        <w:ind w:left="260"/>
      </w:pPr>
      <w:r>
        <w:rPr>
          <w:b/>
          <w:bCs/>
          <w:i/>
          <w:iCs/>
          <w:color w:val="555555"/>
          <w:sz w:val="20"/>
          <w:szCs w:val="20"/>
        </w:rPr>
        <w:t xml:space="preserve">Notes: </w:t>
      </w:r>
      <w:r>
        <w:rPr>
          <w:i/>
          <w:iCs/>
          <w:color w:val="444444"/>
          <w:sz w:val="20"/>
          <w:szCs w:val="20"/>
        </w:rPr>
        <w:t xml:space="preserve">SectionMap is a versioned config table, not a hardcoded constant — for example 80C under the 1961 Act maps to approximately Section 123 under the 2025 Act, 80D to approximately Section 126, and the Section 87A rebate to approximately Section 156/157 (final consolidated section numbers should be confirmed against the Income-tax Rules, 2026 before this table is frozen for production). Deduction limits and eligibility rules are unchanged by the renumbering — only the section reference a user-facing screen or a filed form should cite changes, and it changes based on which Tax Year the computation is for, not the date the calculation happens to run.</w:t>
      </w:r>
    </w:p>
    <w:p>
      <w:pPr>
        <w:pStyle w:val="Heading3"/>
        <w:spacing w:after="120" w:before="250"/>
      </w:pPr>
      <w:bookmarkStart w:name="bm_2_8_2_tax_liability_both_regimes_52" w:id="1"/>
      <w:r>
        <w:t xml:space="preserve">2.8.2 Tax liability, both regimes</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SlabTax(income, slabs) = Sum_i max(0, min(income, slab_i.upper) - slab_i.lower) * slab_i.rate</w:t>
      </w:r>
      <w:r>
        <w:rPr>
          <w:rFonts w:ascii="Consolas" w:cs="Consolas" w:eastAsia="Consolas" w:hAnsi="Consolas"/>
          <w:sz w:val="19"/>
          <w:szCs w:val="19"/>
        </w:rPr>
        <w:br/>
        <w:t xml:space="preserve">TaxableIncome_Old = Gross - StdDeduction_Old - Sum(deductions under SectionRef(*, tax_year))</w:t>
      </w:r>
      <w:r>
        <w:rPr>
          <w:rFonts w:ascii="Consolas" w:cs="Consolas" w:eastAsia="Consolas" w:hAnsi="Consolas"/>
          <w:sz w:val="19"/>
          <w:szCs w:val="19"/>
        </w:rPr>
        <w:br/>
        <w:t xml:space="preserve">TaxableIncome_New = Gross - StdDeduction_New</w:t>
      </w:r>
      <w:r>
        <w:rPr>
          <w:rFonts w:ascii="Consolas" w:cs="Consolas" w:eastAsia="Consolas" w:hAnsi="Consolas"/>
          <w:sz w:val="19"/>
          <w:szCs w:val="19"/>
        </w:rPr>
        <w:br/>
        <w:t xml:space="preserve">TaxPreRebate = SlabTax(TaxableIncome, RegimeSlabs(tax_year))</w:t>
      </w:r>
      <w:r>
        <w:rPr>
          <w:rFonts w:ascii="Consolas" w:cs="Consolas" w:eastAsia="Consolas" w:hAnsi="Consolas"/>
          <w:sz w:val="19"/>
          <w:szCs w:val="19"/>
        </w:rPr>
        <w:br/>
        <w:t xml:space="preserve">Rebate = min(RebateCap(regime, tax_year), TaxPreRebate)   if NormalIncome &lt;= RebateThreshold(regime, tax_year)</w:t>
      </w:r>
      <w:r>
        <w:rPr>
          <w:rFonts w:ascii="Consolas" w:cs="Consolas" w:eastAsia="Consolas" w:hAnsi="Consolas"/>
          <w:sz w:val="19"/>
          <w:szCs w:val="19"/>
        </w:rPr>
        <w:br/>
        <w:t xml:space="preserve">       = 0                                                  otherwise</w:t>
      </w:r>
      <w:r>
        <w:rPr>
          <w:rFonts w:ascii="Consolas" w:cs="Consolas" w:eastAsia="Consolas" w:hAnsi="Consolas"/>
          <w:sz w:val="19"/>
          <w:szCs w:val="19"/>
        </w:rPr>
        <w:br/>
        <w:t xml:space="preserve">TaxPostRebate = TaxPreRebate - Rebate</w:t>
      </w:r>
      <w:r>
        <w:rPr>
          <w:rFonts w:ascii="Consolas" w:cs="Consolas" w:eastAsia="Consolas" w:hAnsi="Consolas"/>
          <w:sz w:val="19"/>
          <w:szCs w:val="19"/>
        </w:rPr>
        <w:br/>
        <w:t xml:space="preserve">FinalLiability = TaxPostRebate + Surcharge + 0.04*(TaxPostRebate + Surcharge)</w:t>
      </w:r>
      <w:r>
        <w:rPr>
          <w:rFonts w:ascii="Consolas" w:cs="Consolas" w:eastAsia="Consolas" w:hAnsi="Consolas"/>
          <w:sz w:val="19"/>
          <w:szCs w:val="19"/>
        </w:rPr>
        <w:br/>
        <w:t xml:space="preserve"/>
      </w:r>
      <w:r>
        <w:rPr>
          <w:rFonts w:ascii="Consolas" w:cs="Consolas" w:eastAsia="Consolas" w:hAnsi="Consolas"/>
          <w:sz w:val="19"/>
          <w:szCs w:val="19"/>
        </w:rPr>
        <w:br/>
        <w:t xml:space="preserve">RecommendedRegime = argmin(FinalLiability_Old, FinalLiability_New)</w:t>
      </w:r>
    </w:p>
    <w:p>
      <w:pPr>
        <w:pBdr>
          <w:top w:val="single" w:color="C0392B" w:sz="6" w:space="4"/>
          <w:bottom w:val="single" w:color="C0392B" w:sz="6" w:space="4"/>
          <w:left w:val="single" w:color="C0392B" w:sz="18" w:space="8"/>
          <w:right w:val="single" w:color="C0392B" w:sz="6" w:space="4"/>
        </w:pBdr>
        <w:shd w:fill="FDECEA" w:val="clear"/>
        <w:spacing w:after="200" w:before="120"/>
        <w:ind w:left="200"/>
      </w:pPr>
      <w:r>
        <w:rPr>
          <w:b/>
          <w:bCs/>
          <w:color w:val="AF3A2C"/>
        </w:rPr>
        <w:t xml:space="preserve">CORRECTED: </w:t>
      </w:r>
      <w:r>
        <w:rPr>
          <w:color w:val="3B3B3B"/>
        </w:rPr>
        <w:t xml:space="preserve">Two fixes here. First, RegimeSlabs, StdDeduction, RebateCap, and RebateThreshold are now explicit functions of tax_year rather than a single implicit “current” value, consistent with Section 2.8.1. For Tax Year 2025-26 under the new regime specifically: StdDeduction_New = ₹75,000, slabs are 0-4L nil / 4-8L 5% / 8-12L 10% / 12-16L 15% / 16-20L 20% / 20-24L 25% / above 24L 30%, RebateCap = ₹60,000, RebateThreshold = ₹12,00,000 taxable income — which is what makes salary up to roughly ₹12.75 lakh effectively tax-free after the standard deduction. Second, and previously missing entirely: Rebate is computed against NormalIncome (income taxed at slab rates) only, and TaxPreRebate/Rebate must explicitly exclude tax on income taxed at special rates — capital gains under Sections 111A, 112, and 112A chief among them. The earlier formula would have overstated the new regime's benefit for any user with capital gains income by implicitly assuming the rebate wiped out tax on those gains too, which it does not.</w:t>
      </w:r>
    </w:p>
    <w:p>
      <w:pPr>
        <w:pStyle w:val="Heading3"/>
        <w:spacing w:after="120" w:before="250"/>
      </w:pPr>
      <w:bookmarkStart w:name="bm_2_8_3_deductions_and_capital_gains_53" w:id="1"/>
      <w:r>
        <w:t xml:space="preserve">2.8.3 Deductions and capital gains</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PotentialSaving_S = Remaining_S * MarginalTaxRate(u)</w:t>
      </w:r>
      <w:r>
        <w:rPr>
          <w:rFonts w:ascii="Consolas" w:cs="Consolas" w:eastAsia="Consolas" w:hAnsi="Consolas"/>
          <w:sz w:val="19"/>
          <w:szCs w:val="19"/>
        </w:rPr>
        <w:br/>
        <w:t xml:space="preserve">priority(S) = PotentialSaving_S * (days_remaining_in_FY &lt; 45 ? urgency_boost : 1)</w:t>
      </w:r>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HoldingPeriodTest(asset_class) = "&gt; 12 months"   if asset_class in {listed_equity, equity_MF}</w:t>
      </w:r>
      <w:r>
        <w:rPr>
          <w:rFonts w:ascii="Consolas" w:cs="Consolas" w:eastAsia="Consolas" w:hAnsi="Consolas"/>
          <w:sz w:val="19"/>
          <w:szCs w:val="19"/>
        </w:rPr>
        <w:br/>
        <w:t xml:space="preserve">                                = "&gt; 24 months"   otherwise</w:t>
      </w:r>
      <w:r>
        <w:rPr>
          <w:rFonts w:ascii="Consolas" w:cs="Consolas" w:eastAsia="Consolas" w:hAnsi="Consolas"/>
          <w:sz w:val="19"/>
          <w:szCs w:val="19"/>
        </w:rPr>
        <w:br/>
        <w:t xml:space="preserve"/>
      </w:r>
      <w:r>
        <w:rPr>
          <w:rFonts w:ascii="Consolas" w:cs="Consolas" w:eastAsia="Consolas" w:hAnsi="Consolas"/>
          <w:sz w:val="19"/>
          <w:szCs w:val="19"/>
        </w:rPr>
        <w:br/>
        <w:t xml:space="preserve">IsLTCG = HoldingPeriod meets HoldingPeriodTest(asset_class)</w:t>
      </w:r>
      <w:r>
        <w:rPr>
          <w:rFonts w:ascii="Consolas" w:cs="Consolas" w:eastAsia="Consolas" w:hAnsi="Consolas"/>
          <w:sz w:val="19"/>
          <w:szCs w:val="19"/>
        </w:rPr>
        <w:br/>
        <w:t xml:space="preserve"/>
      </w:r>
      <w:r>
        <w:rPr>
          <w:rFonts w:ascii="Consolas" w:cs="Consolas" w:eastAsia="Consolas" w:hAnsi="Consolas"/>
          <w:sz w:val="19"/>
          <w:szCs w:val="19"/>
        </w:rPr>
        <w:br/>
        <w:t xml:space="preserve">STCG_tax_equity = 0.20 * Gain</w:t>
      </w:r>
      <w:r>
        <w:rPr>
          <w:rFonts w:ascii="Consolas" w:cs="Consolas" w:eastAsia="Consolas" w:hAnsi="Consolas"/>
          <w:sz w:val="19"/>
          <w:szCs w:val="19"/>
        </w:rPr>
        <w:br/>
        <w:t xml:space="preserve">LTCG_tax_equity = 0.125 * max(0, Gain - 125000)</w:t>
      </w:r>
      <w:r>
        <w:rPr>
          <w:rFonts w:ascii="Consolas" w:cs="Consolas" w:eastAsia="Consolas" w:hAnsi="Consolas"/>
          <w:sz w:val="19"/>
          <w:szCs w:val="19"/>
        </w:rPr>
        <w:br/>
        <w:t xml:space="preserve">LTCG_tax_other  = 0.125 * Gain</w:t>
      </w:r>
      <w:r>
        <w:rPr>
          <w:rFonts w:ascii="Consolas" w:cs="Consolas" w:eastAsia="Consolas" w:hAnsi="Consolas"/>
          <w:sz w:val="19"/>
          <w:szCs w:val="19"/>
        </w:rPr>
        <w:br/>
        <w:t xml:space="preserve"/>
      </w:r>
      <w:r>
        <w:rPr>
          <w:rFonts w:ascii="Consolas" w:cs="Consolas" w:eastAsia="Consolas" w:hAnsi="Consolas"/>
          <w:sz w:val="19"/>
          <w:szCs w:val="19"/>
        </w:rPr>
        <w:br/>
        <w:t xml:space="preserve">DebtFundGain(units acquired &gt;= 1 Apr 2023) := taxed as STCG at slab rate,</w:t>
      </w:r>
      <w:r>
        <w:rPr>
          <w:rFonts w:ascii="Consolas" w:cs="Consolas" w:eastAsia="Consolas" w:hAnsi="Consolas"/>
          <w:sz w:val="19"/>
          <w:szCs w:val="19"/>
        </w:rPr>
        <w:br/>
        <w:t xml:space="preserve">                                                regardless of holding period</w:t>
      </w:r>
      <w:r>
        <w:rPr>
          <w:rFonts w:ascii="Consolas" w:cs="Consolas" w:eastAsia="Consolas" w:hAnsi="Consolas"/>
          <w:sz w:val="19"/>
          <w:szCs w:val="19"/>
        </w:rPr>
        <w:br/>
        <w:t xml:space="preserve"/>
      </w:r>
      <w:r>
        <w:rPr>
          <w:rFonts w:ascii="Consolas" w:cs="Consolas" w:eastAsia="Consolas" w:hAnsi="Consolas"/>
          <w:sz w:val="19"/>
          <w:szCs w:val="19"/>
        </w:rPr>
        <w:br/>
        <w:t xml:space="preserve">DaysToLTCG = HoldingPeriodTest(asset_class) - HoldingPeriod   (if not yet met and gain &gt; 0)</w:t>
      </w:r>
      <w:r>
        <w:rPr>
          <w:rFonts w:ascii="Consolas" w:cs="Consolas" w:eastAsia="Consolas" w:hAnsi="Consolas"/>
          <w:sz w:val="19"/>
          <w:szCs w:val="19"/>
        </w:rPr>
        <w:br/>
        <w:t xml:space="preserve">TaxSavingIfWaited = Gain * (STCG_rate - LTCG_effective_rate)</w:t>
      </w:r>
    </w:p>
    <w:p>
      <w:pPr>
        <w:spacing w:after="200" w:before="60"/>
        <w:ind w:left="260"/>
      </w:pPr>
      <w:r>
        <w:rPr>
          <w:b/>
          <w:bCs/>
          <w:i/>
          <w:iCs/>
          <w:color w:val="555555"/>
          <w:sz w:val="20"/>
          <w:szCs w:val="20"/>
        </w:rPr>
        <w:t xml:space="preserve">Notes: </w:t>
      </w:r>
      <w:r>
        <w:rPr>
          <w:i/>
          <w:iCs/>
          <w:color w:val="444444"/>
          <w:sz w:val="20"/>
          <w:szCs w:val="20"/>
        </w:rPr>
        <w:t xml:space="preserve">LTCG_tax_equity applies the Section 112A ₹1.25 lakh annual exemption; LTCG_tax_other applies to non-equity assets such as property or gold at 12.5% without indexation, with a narrow grandfather choice of 20% with indexation available only for property acquired before 23 July 2024. DebtFundGain represents a branch that did not exist in the prior version at all: debt-oriented mutual fund units acquired on or after 1 April 2023 are taxed at slab rate as short-term gains under Section 50AA regardless of holding period — a fundamentally different rule from the equity holding-period test, which a single shared formula could not represent correctly.</w:t>
      </w:r>
    </w:p>
    <w:p>
      <w:pPr>
        <w:pBdr>
          <w:top w:val="single" w:color="C0392B" w:sz="6" w:space="4"/>
          <w:bottom w:val="single" w:color="C0392B" w:sz="6" w:space="4"/>
          <w:left w:val="single" w:color="C0392B" w:sz="18" w:space="8"/>
          <w:right w:val="single" w:color="C0392B" w:sz="6" w:space="4"/>
        </w:pBdr>
        <w:shd w:fill="FDECEA" w:val="clear"/>
        <w:spacing w:after="200" w:before="120"/>
        <w:ind w:left="200"/>
      </w:pPr>
      <w:r>
        <w:rPr>
          <w:b/>
          <w:bCs/>
          <w:color w:val="AF3A2C"/>
        </w:rPr>
        <w:t xml:space="preserve">CORRECTED: </w:t>
      </w:r>
      <w:r>
        <w:rPr>
          <w:color w:val="3B3B3B"/>
        </w:rPr>
        <w:t xml:space="preserve">Previously this formula used unpinned placeholders (“current_rate”, “exemption”) and a single flat “365 days” holding-period test applied uniformly across all asset classes. Corrected to the rates that have applied since the 23 July 2024 Budget and remain current: 20% STCG / 12.5% LTCG above a ₹1.25 lakh annual exemption for listed equity and equity mutual funds (Sections 111A/112A), with the holding-period boundary at more than 12 months for these specifically and more than 24 months for other capital assets.</w:t>
      </w:r>
    </w:p>
    <w:p>
      <w:pPr>
        <w:pStyle w:val="Heading3"/>
        <w:spacing w:after="120" w:before="250"/>
      </w:pPr>
      <w:bookmarkStart w:name="bm_2_8_4_advance_tax_54" w:id="1"/>
      <w:r>
        <w:t xml:space="preserve">2.8.4 Advance tax</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CumulativeDueByDate = {Jun15: 0.15, Sep15: 0.45, Dec15: 0.75, Mar15: 1.00} * ProjectedAnnualTax</w:t>
      </w:r>
      <w:r>
        <w:rPr>
          <w:rFonts w:ascii="Consolas" w:cs="Consolas" w:eastAsia="Consolas" w:hAnsi="Consolas"/>
          <w:sz w:val="19"/>
          <w:szCs w:val="19"/>
        </w:rPr>
        <w:br/>
        <w:t xml:space="preserve">AmountDue = CumulativeDueByDate[date] - Sum(AlreadyPaid_thisFY)</w:t>
      </w:r>
      <w:r>
        <w:rPr>
          <w:rFonts w:ascii="Consolas" w:cs="Consolas" w:eastAsia="Consolas" w:hAnsi="Consolas"/>
          <w:sz w:val="19"/>
          <w:szCs w:val="19"/>
        </w:rPr>
        <w:br/>
        <w:t xml:space="preserve">Alert fires at (due_date - 14 days)</w:t>
      </w:r>
    </w:p>
    <w:p>
      <w:pPr>
        <w:pStyle w:val="Heading3"/>
        <w:spacing w:after="120" w:before="250"/>
      </w:pPr>
      <w:bookmarkStart w:name="bm_2_8_5_rule_based_path_55" w:id="1"/>
      <w:r>
        <w:t xml:space="preserve">2.8.5 Rule-based path</w:t>
      </w:r>
      <w:bookmarkEnd w:id="1"/>
    </w:p>
    <w:p>
      <w:pPr>
        <w:spacing w:after="150"/>
      </w:pPr>
      <w:r>
        <w:t xml:space="preserve">No separate path exists — tax law is exact by nature, and computing it from less transaction history simply means fewer deduction-eligible transactions have been detected via Account Aggregator so far, not a different formula. A new user is prompted to manually declare deductions/investments the system hasn't yet observed, rather than the formula itself changing.</w:t>
      </w:r>
    </w:p>
    <w:p>
      <w:pPr>
        <w:pStyle w:val="Heading3"/>
        <w:spacing w:after="120" w:before="250"/>
      </w:pPr>
      <w:bookmarkStart w:name="bm_2_8_6_plain_language_summary_56" w:id="1"/>
      <w:r>
        <w:t xml:space="preserve">2.8.6 Plain-language summary</w:t>
      </w:r>
      <w:bookmarkEnd w:id="1"/>
    </w:p>
    <w:p>
      <w:pPr>
        <w:spacing w:after="150"/>
      </w:pPr>
      <w:r>
        <w:t xml:space="preserve">Calculates exact tax liability under both the old and new regime using the actual current year's slabs, tracks how much of each deduction limit is still unused and what it's worth in real rupees saved, works out exactly when a capital gain crosses from short-term to long-term tax treatment, and reminds someone before each advance-tax deadline with the real amount due. Because India's tax law itself changed its section numbers this year, the system now keeps track of which year's rules apply to which calculation, the same way a human accountant would.</w:t>
      </w:r>
    </w:p>
    <w:p>
      <w:r>
        <w:br w:type="page"/>
      </w:r>
    </w:p>
    <w:p>
      <w:pPr>
        <w:pStyle w:val="Heading2"/>
        <w:spacing w:after="150" w:before="300"/>
      </w:pPr>
      <w:bookmarkStart w:name="bm_2_9_model_9_behavioural_biometrics_57" w:id="1"/>
      <w:r>
        <w:t xml:space="preserve">2.9 Model 9 — Behavioural Biometrics</w:t>
      </w:r>
      <w:bookmarkEnd w:id="1"/>
    </w:p>
    <w:p>
      <w:pPr>
        <w:pStyle w:val="Heading3"/>
        <w:spacing w:after="120" w:before="250"/>
      </w:pPr>
      <w:bookmarkStart w:name="bm_2_9_1_baseline_and_drift_calculation_58" w:id="1"/>
      <w:r>
        <w:t xml:space="preserve">2.9.1 Baseline and drift calculation</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x_session = [ mean_inter_keystroke, std_inter_keystroke, mean_swipe_velocity,</w:t>
      </w:r>
      <w:r>
        <w:rPr>
          <w:rFonts w:ascii="Consolas" w:cs="Consolas" w:eastAsia="Consolas" w:hAnsi="Consolas"/>
          <w:sz w:val="19"/>
          <w:szCs w:val="19"/>
        </w:rPr>
        <w:br/>
        <w:t xml:space="preserve">              mean_tap_pressure, tap_pressure_variance, mean_tilt_angle, ... ]</w:t>
      </w:r>
      <w:r>
        <w:rPr>
          <w:rFonts w:ascii="Consolas" w:cs="Consolas" w:eastAsia="Consolas" w:hAnsi="Consolas"/>
          <w:sz w:val="19"/>
          <w:szCs w:val="19"/>
        </w:rPr>
        <w:br/>
        <w:t xml:space="preserve"/>
      </w:r>
      <w:r>
        <w:rPr>
          <w:rFonts w:ascii="Consolas" w:cs="Consolas" w:eastAsia="Consolas" w:hAnsi="Consolas"/>
          <w:sz w:val="19"/>
          <w:szCs w:val="19"/>
        </w:rPr>
        <w:br/>
        <w:t xml:space="preserve">BehaviourDrift(session) = sqrt( (x_session - mu_baseline)^T * Sigma_baseline^-1</w:t>
      </w:r>
      <w:r>
        <w:rPr>
          <w:rFonts w:ascii="Consolas" w:cs="Consolas" w:eastAsia="Consolas" w:hAnsi="Consolas"/>
          <w:sz w:val="19"/>
          <w:szCs w:val="19"/>
        </w:rPr>
        <w:br/>
        <w:t xml:space="preserve">                                 * (x_session - mu_baseline) )</w:t>
      </w:r>
      <w:r>
        <w:rPr>
          <w:rFonts w:ascii="Consolas" w:cs="Consolas" w:eastAsia="Consolas" w:hAnsi="Consolas"/>
          <w:sz w:val="19"/>
          <w:szCs w:val="19"/>
        </w:rPr>
        <w:br/>
        <w:t xml:space="preserve">BehaviourDrift_norm = sigmoid( (BehaviourDrift - d0) / s )</w:t>
      </w:r>
      <w:r>
        <w:rPr>
          <w:rFonts w:ascii="Consolas" w:cs="Consolas" w:eastAsia="Consolas" w:hAnsi="Consolas"/>
          <w:sz w:val="19"/>
          <w:szCs w:val="19"/>
        </w:rPr>
        <w:br/>
        <w:t xml:space="preserve">SessionTrustScore = 1 - BehaviourDrift_norm</w:t>
      </w:r>
    </w:p>
    <w:p>
      <w:pPr>
        <w:spacing w:after="200" w:before="60"/>
        <w:ind w:left="260"/>
      </w:pPr>
      <w:r>
        <w:rPr>
          <w:b/>
          <w:bCs/>
          <w:i/>
          <w:iCs/>
          <w:color w:val="555555"/>
          <w:sz w:val="20"/>
          <w:szCs w:val="20"/>
        </w:rPr>
        <w:t xml:space="preserve">Notes: </w:t>
      </w:r>
      <w:r>
        <w:rPr>
          <w:i/>
          <w:iCs/>
          <w:color w:val="444444"/>
          <w:sz w:val="20"/>
          <w:szCs w:val="20"/>
        </w:rPr>
        <w:t xml:space="preserve">Mahalanobis distance, chosen because it is robust to correlated features — keystroke timing and swipe velocity are not independent, and a Euclidean distance would over-weight that correlation. d0 and s are calibrated per user.</w:t>
      </w:r>
    </w:p>
    <w:p>
      <w:pPr>
        <w:pStyle w:val="Heading3"/>
        <w:spacing w:after="120" w:before="250"/>
      </w:pPr>
      <w:bookmarkStart w:name="bm_2_9_2_baseline_update_rule_never_uses_fl_59" w:id="1"/>
      <w:r>
        <w:t xml:space="preserve">2.9.2 Baseline update rule (never uses flagged sessions)</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mu_baseline &lt;- (1 - alpha)*mu_baseline + alpha*x_session</w:t>
      </w:r>
      <w:r>
        <w:rPr>
          <w:rFonts w:ascii="Consolas" w:cs="Consolas" w:eastAsia="Consolas" w:hAnsi="Consolas"/>
          <w:sz w:val="19"/>
          <w:szCs w:val="19"/>
        </w:rPr>
        <w:br/>
        <w:t xml:space="preserve">applied only to sessions NOT flagged high-risk</w:t>
      </w:r>
    </w:p>
    <w:p>
      <w:pPr>
        <w:spacing w:after="200" w:before="60"/>
        <w:ind w:left="260"/>
      </w:pPr>
      <w:r>
        <w:rPr>
          <w:b/>
          <w:bCs/>
          <w:i/>
          <w:iCs/>
          <w:color w:val="555555"/>
          <w:sz w:val="20"/>
          <w:szCs w:val="20"/>
        </w:rPr>
        <w:t xml:space="preserve">Notes: </w:t>
      </w:r>
      <w:r>
        <w:rPr>
          <w:i/>
          <w:iCs/>
          <w:color w:val="444444"/>
          <w:sz w:val="20"/>
          <w:szCs w:val="20"/>
        </w:rPr>
        <w:t xml:space="preserve">An attacker's sessions can never poison the legitimate baseline, since only sessions the system already trusts are allowed to shift what “normal” means going forward.</w:t>
      </w:r>
    </w:p>
    <w:p>
      <w:pPr>
        <w:pStyle w:val="Heading3"/>
        <w:spacing w:after="120" w:before="250"/>
      </w:pPr>
      <w:bookmarkStart w:name="bm_2_9_3_rule_based_cold_start_path_10_15_s_60" w:id="1"/>
      <w:r>
        <w:t xml:space="preserve">2.9.3 Rule-based / cold-start path (&lt; 10-15 sessions, not calendar-time-gated)</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BehaviourDrift := NEUTRAL_DEFAULT   until baseline exists</w:t>
      </w:r>
      <w:r>
        <w:rPr>
          <w:rFonts w:ascii="Consolas" w:cs="Consolas" w:eastAsia="Consolas" w:hAnsi="Consolas"/>
          <w:sz w:val="19"/>
          <w:szCs w:val="19"/>
        </w:rPr>
        <w:br/>
        <w:t xml:space="preserve">Model 1's weight on this feature scaled by min(session_count / 15, 1)</w:t>
      </w:r>
    </w:p>
    <w:p>
      <w:pPr>
        <w:spacing w:after="200" w:before="60"/>
        <w:ind w:left="260"/>
      </w:pPr>
      <w:r>
        <w:rPr>
          <w:b/>
          <w:bCs/>
          <w:i/>
          <w:iCs/>
          <w:color w:val="555555"/>
          <w:sz w:val="20"/>
          <w:szCs w:val="20"/>
        </w:rPr>
        <w:t xml:space="preserve">Notes: </w:t>
      </w:r>
      <w:r>
        <w:rPr>
          <w:i/>
          <w:iCs/>
          <w:color w:val="444444"/>
          <w:sz w:val="20"/>
          <w:szCs w:val="20"/>
        </w:rPr>
        <w:t xml:space="preserve">NEUTRAL_DEFAULT is neither 0 nor 1 — an immature baseline must not be able to wrongly tank or wrongly boost a transaction's risk score. This gate is based on session count specifically, not elapsed calendar time, since a user who opens the app rarely shouldn't be treated as having a mature baseline just because a lot of calendar time has passed.</w:t>
      </w:r>
    </w:p>
    <w:p>
      <w:pPr>
        <w:pStyle w:val="Heading3"/>
        <w:spacing w:after="120" w:before="250"/>
      </w:pPr>
      <w:bookmarkStart w:name="bm_2_9_4_plain_language_summary_61" w:id="1"/>
      <w:r>
        <w:t xml:space="preserve">2.9.4 Plain-language summary</w:t>
      </w:r>
      <w:bookmarkEnd w:id="1"/>
    </w:p>
    <w:p>
      <w:pPr>
        <w:spacing w:after="150"/>
      </w:pPr>
      <w:r>
        <w:t xml:space="preserve">The phone quietly learns how a specific person types, swipes, and holds their device — never sending any of that raw detail anywhere, only a single “does this still feel like you” score. If it starts to feel different, that score drops and feeds into the transaction risk check. For a brand-new user, this check simply doesn't count for much yet, rather than guessing.</w:t>
      </w:r>
    </w:p>
    <w:p>
      <w:pPr>
        <w:pStyle w:val="Heading2"/>
        <w:spacing w:after="150" w:before="300"/>
      </w:pPr>
      <w:bookmarkStart w:name="bm_2_10_model_10_sms_fraud_phishing_classif_62" w:id="1"/>
      <w:r>
        <w:t xml:space="preserve">2.10 Model 10 — SMS Fraud / Phishing Classifier</w:t>
      </w:r>
      <w:bookmarkEnd w:id="1"/>
    </w:p>
    <w:p>
      <w:pPr>
        <w:pStyle w:val="Heading3"/>
        <w:spacing w:after="120" w:before="250"/>
      </w:pPr>
      <w:bookmarkStart w:name="bm_2_10_1_layers_1_5_deterministic_always_a_63" w:id="1"/>
      <w:r>
        <w:t xml:space="preserve">2.10.1 Layers 1-5 (deterministic, always active — this IS the rule-based path)</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L1_SenderRegistry = 2 if sender NOT IN RBI_DLT_registry AND claims_to_be_bank | 0 if registered</w:t>
      </w:r>
      <w:r>
        <w:rPr>
          <w:rFonts w:ascii="Consolas" w:cs="Consolas" w:eastAsia="Consolas" w:hAnsi="Consolas"/>
          <w:sz w:val="19"/>
          <w:szCs w:val="19"/>
        </w:rPr>
        <w:br/>
        <w:t xml:space="preserve">L2_URLSafety = 2 if url flagged by threat-intel | 1 if domain_age &lt; 30 days | 0 else</w:t>
      </w:r>
      <w:r>
        <w:rPr>
          <w:rFonts w:ascii="Consolas" w:cs="Consolas" w:eastAsia="Consolas" w:hAnsi="Consolas"/>
          <w:sz w:val="19"/>
          <w:szCs w:val="19"/>
        </w:rPr>
        <w:br/>
        <w:t xml:space="preserve">L3_TemplateMatch = 0 if matches known template | 2 if claims bank but deviates | 1 if no template</w:t>
      </w:r>
      <w:r>
        <w:rPr>
          <w:rFonts w:ascii="Consolas" w:cs="Consolas" w:eastAsia="Consolas" w:hAnsi="Consolas"/>
          <w:sz w:val="19"/>
          <w:szCs w:val="19"/>
        </w:rPr>
        <w:br/>
        <w:t xml:space="preserve">L4_SpoofingCheck = 2 if claims bank but from standard 10-digit mobile number | 0 else</w:t>
      </w:r>
      <w:r>
        <w:rPr>
          <w:rFonts w:ascii="Consolas" w:cs="Consolas" w:eastAsia="Consolas" w:hAnsi="Consolas"/>
          <w:sz w:val="19"/>
          <w:szCs w:val="19"/>
        </w:rPr>
        <w:br/>
        <w:t xml:space="preserve">L5_ContextualCheck = 2 if OTP request with no matching initiated txn in preceding 10min | 0 else</w:t>
      </w:r>
    </w:p>
    <w:p>
      <w:pPr>
        <w:pStyle w:val="Heading3"/>
        <w:spacing w:after="120" w:before="250"/>
      </w:pPr>
      <w:bookmarkStart w:name="bm_2_10_2_layer_6_ml_path_sufficient_labell_64" w:id="1"/>
      <w:r>
        <w:t xml:space="preserve">2.10.2 Layer 6 — ML path (≥ sufficient labelled corpus)</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L6_NLPScore = P(phishing | text)   mapped to {0, 1, 2} via thresholds 0.3 / 0.7</w:t>
      </w:r>
    </w:p>
    <w:p>
      <w:pPr>
        <w:spacing w:after="200" w:before="60"/>
        <w:ind w:left="260"/>
      </w:pPr>
      <w:r>
        <w:rPr>
          <w:b/>
          <w:bCs/>
          <w:i/>
          <w:iCs/>
          <w:color w:val="555555"/>
          <w:sz w:val="20"/>
          <w:szCs w:val="20"/>
        </w:rPr>
        <w:t xml:space="preserve">Notes: </w:t>
      </w:r>
      <w:r>
        <w:rPr>
          <w:i/>
          <w:iCs/>
          <w:color w:val="444444"/>
          <w:sz w:val="20"/>
          <w:szCs w:val="20"/>
        </w:rPr>
        <w:t xml:space="preserve">v1 uses TF-IDF n-grams plus hand-engineered urgency-lexicon features feeding a gradient-boosted tree; v2 (higher recall, more infrastructure) is a fine-tuned small multilingual transformer, needed because Indian bank SMS legitimately mixes English, Hindi, and regional languages.</w:t>
      </w:r>
    </w:p>
    <w:p>
      <w:pPr>
        <w:pStyle w:val="Heading3"/>
        <w:spacing w:after="120" w:before="250"/>
      </w:pPr>
      <w:bookmarkStart w:name="bm_2_10_3_final_combination_both_paths__65" w:id="1"/>
      <w:r>
        <w:t xml:space="preserve">2.10.3 Final combination (both paths)</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FinalBadge = RED if max(L1..L6) = 2  |  AMBER if max(L1..L6) = 1  |  GREEN if all = 0</w:t>
      </w:r>
      <w:r>
        <w:rPr>
          <w:rFonts w:ascii="Consolas" w:cs="Consolas" w:eastAsia="Consolas" w:hAnsi="Consolas"/>
          <w:sz w:val="19"/>
          <w:szCs w:val="19"/>
        </w:rPr>
        <w:br/>
        <w:t xml:space="preserve">Without L6 (rule-based path): FinalBadge = max(L1..L5)</w:t>
      </w:r>
    </w:p>
    <w:p>
      <w:pPr>
        <w:spacing w:after="200" w:before="60"/>
        <w:ind w:left="260"/>
      </w:pPr>
      <w:r>
        <w:rPr>
          <w:b/>
          <w:bCs/>
          <w:i/>
          <w:iCs/>
          <w:color w:val="555555"/>
          <w:sz w:val="20"/>
          <w:szCs w:val="20"/>
        </w:rPr>
        <w:t xml:space="preserve">Notes: </w:t>
      </w:r>
      <w:r>
        <w:rPr>
          <w:i/>
          <w:iCs/>
          <w:color w:val="444444"/>
          <w:sz w:val="20"/>
          <w:szCs w:val="20"/>
        </w:rPr>
        <w:t xml:space="preserve">L1-L5 alone already catch the highest-confidence fraud patterns — spoofed sender, known-bad URL, template deviation — so the rule-based path is not a degraded version of fraud protection, just a version without the novel-phrasing-detection layer.</w:t>
      </w:r>
    </w:p>
    <w:p>
      <w:pPr>
        <w:pStyle w:val="Heading3"/>
        <w:spacing w:after="120" w:before="250"/>
      </w:pPr>
      <w:bookmarkStart w:name="bm_2_10_4_plain_language_summary_66" w:id="1"/>
      <w:r>
        <w:t xml:space="preserve">2.10.4 Plain-language summary</w:t>
      </w:r>
      <w:bookmarkEnd w:id="1"/>
    </w:p>
    <w:p>
      <w:pPr>
        <w:spacing w:after="150"/>
      </w:pPr>
      <w:r>
        <w:t xml:space="preserve">Five straightforward checks run on every incoming bank-related SMS from day one: is the sender officially registered, is any link known-bad, does the message match the real bank's usual format, is it pretending to be a bank from an ordinary phone number, and is it asking for an OTP with no matching transaction. Any one of these failing is enough to flag a message on its own; a smarter language-reading layer is added on top once there's enough data, catching newer scam wording the simple checks might miss, but it's an addition, not something the safety depends on.</w:t>
      </w:r>
    </w:p>
    <w:p>
      <w:pPr>
        <w:pStyle w:val="Heading2"/>
        <w:spacing w:after="150" w:before="300"/>
      </w:pPr>
      <w:bookmarkStart w:name="bm_2_11_model_11_shared_explainability_xai__67" w:id="1"/>
      <w:r>
        <w:t xml:space="preserve">2.11 Model 11 — Shared Explainability (XAI) Framework</w:t>
      </w:r>
      <w:bookmarkEnd w:id="1"/>
    </w:p>
    <w:p>
      <w:pPr>
        <w:pBdr>
          <w:top w:val="single" w:color="C0392B" w:sz="6" w:space="4"/>
          <w:bottom w:val="single" w:color="C0392B" w:sz="6" w:space="4"/>
          <w:left w:val="single" w:color="C0392B" w:sz="18" w:space="8"/>
          <w:right w:val="single" w:color="C0392B" w:sz="6" w:space="4"/>
        </w:pBdr>
        <w:shd w:fill="FDECEA" w:val="clear"/>
        <w:spacing w:after="200" w:before="120"/>
        <w:ind w:left="200"/>
      </w:pPr>
      <w:r>
        <w:rPr>
          <w:b/>
          <w:bCs/>
          <w:color w:val="AF3A2C"/>
        </w:rPr>
        <w:t xml:space="preserve">CORRECTED: </w:t>
      </w:r>
      <w:r>
        <w:rPr>
          <w:color w:val="3B3B3B"/>
        </w:rPr>
        <w:t xml:space="preserve">This model was referenced by name throughout the document — every other model description mentions “the shared XAI contract” — but was never actually specified anywhere. It is fully defined here for the first time, since every other model in this document depends on it existing.</w:t>
      </w:r>
    </w:p>
    <w:p>
      <w:pPr>
        <w:spacing w:after="150"/>
      </w:pPr>
      <w:r>
        <w:t xml:space="preserve">Every model in this document, on both the ML and rule-based path, emits the same explanation object rather than each model inventing its own explanation format. This is what makes a user-facing “why did I get this score/flag/nudge” screen possible without a separate translation layer per model.</w:t>
      </w:r>
    </w:p>
    <w:p>
      <w:pPr>
        <w:pStyle w:val="Heading3"/>
        <w:spacing w:after="120" w:before="250"/>
      </w:pPr>
      <w:bookmarkStart w:name="bm_2_11_1_the_shared_explanation_object_68" w:id="1"/>
      <w:r>
        <w:t xml:space="preserve">2.11.1 The shared explanation object</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XAIExplanation {</w:t>
      </w:r>
      <w:r>
        <w:rPr>
          <w:rFonts w:ascii="Consolas" w:cs="Consolas" w:eastAsia="Consolas" w:hAnsi="Consolas"/>
          <w:sz w:val="19"/>
          <w:szCs w:val="19"/>
        </w:rPr>
        <w:br/>
        <w:t xml:space="preserve">  modelID, modelVersion, decisionTimestamp,</w:t>
      </w:r>
      <w:r>
        <w:rPr>
          <w:rFonts w:ascii="Consolas" w:cs="Consolas" w:eastAsia="Consolas" w:hAnsi="Consolas"/>
          <w:sz w:val="19"/>
          <w:szCs w:val="19"/>
        </w:rPr>
        <w:br/>
        <w:t xml:space="preserve">  topFactors: [ {factorName, contributionWeight, direction} ],</w:t>
      </w:r>
      <w:r>
        <w:rPr>
          <w:rFonts w:ascii="Consolas" w:cs="Consolas" w:eastAsia="Consolas" w:hAnsi="Consolas"/>
          <w:sz w:val="19"/>
          <w:szCs w:val="19"/>
        </w:rPr>
        <w:br/>
        <w:t xml:space="preserve">  confidence: float [0,1],</w:t>
      </w:r>
      <w:r>
        <w:rPr>
          <w:rFonts w:ascii="Consolas" w:cs="Consolas" w:eastAsia="Consolas" w:hAnsi="Consolas"/>
          <w:sz w:val="19"/>
          <w:szCs w:val="19"/>
        </w:rPr>
        <w:br/>
        <w:t xml:space="preserve">  counterfactual: {changeableFactor, requiredChange, resultingOutcome} | null,</w:t>
      </w:r>
      <w:r>
        <w:rPr>
          <w:rFonts w:ascii="Consolas" w:cs="Consolas" w:eastAsia="Consolas" w:hAnsi="Consolas"/>
          <w:sz w:val="19"/>
          <w:szCs w:val="19"/>
        </w:rPr>
        <w:br/>
        <w:t xml:space="preserve">  path: "ml" | "rule_based",</w:t>
      </w:r>
      <w:r>
        <w:rPr>
          <w:rFonts w:ascii="Consolas" w:cs="Consolas" w:eastAsia="Consolas" w:hAnsi="Consolas"/>
          <w:sz w:val="19"/>
          <w:szCs w:val="19"/>
        </w:rPr>
        <w:br/>
        <w:t xml:space="preserve">  inputHash</w:t>
      </w:r>
      <w:r>
        <w:rPr>
          <w:rFonts w:ascii="Consolas" w:cs="Consolas" w:eastAsia="Consolas" w:hAnsi="Consolas"/>
          <w:sz w:val="19"/>
          <w:szCs w:val="19"/>
        </w:rPr>
        <w:br/>
        <w:t xml:space="preserve">}</w:t>
      </w:r>
    </w:p>
    <w:p>
      <w:pPr>
        <w:pStyle w:val="Heading3"/>
        <w:spacing w:after="120" w:before="250"/>
      </w:pPr>
      <w:bookmarkStart w:name="bm_2_11_2_topfactors_extraction_69" w:id="1"/>
      <w:r>
        <w:t xml:space="preserve">2.11.2 topFactors extraction</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ML path:    contributionWeight_i = SHAP_value(feature_i, x)   (or equivalent additive</w:t>
      </w:r>
      <w:r>
        <w:rPr>
          <w:rFonts w:ascii="Consolas" w:cs="Consolas" w:eastAsia="Consolas" w:hAnsi="Consolas"/>
          <w:sz w:val="19"/>
          <w:szCs w:val="19"/>
        </w:rPr>
        <w:br/>
        <w:t xml:space="preserve">                                    attribution method for the specific model family)</w:t>
      </w:r>
      <w:r>
        <w:rPr>
          <w:rFonts w:ascii="Consolas" w:cs="Consolas" w:eastAsia="Consolas" w:hAnsi="Consolas"/>
          <w:sz w:val="19"/>
          <w:szCs w:val="19"/>
        </w:rPr>
        <w:br/>
        <w:t xml:space="preserve">Rule-based path:   contributionWeight_i = the term's own weighted contribution in the</w:t>
      </w:r>
      <w:r>
        <w:rPr>
          <w:rFonts w:ascii="Consolas" w:cs="Consolas" w:eastAsia="Consolas" w:hAnsi="Consolas"/>
          <w:sz w:val="19"/>
          <w:szCs w:val="19"/>
        </w:rPr>
        <w:br/>
        <w:t xml:space="preserve">                                          closed-form formula that produced the decision</w:t>
      </w:r>
      <w:r>
        <w:rPr>
          <w:rFonts w:ascii="Consolas" w:cs="Consolas" w:eastAsia="Consolas" w:hAnsi="Consolas"/>
          <w:sz w:val="19"/>
          <w:szCs w:val="19"/>
        </w:rPr>
        <w:br/>
        <w:t xml:space="preserve"/>
      </w:r>
      <w:r>
        <w:rPr>
          <w:rFonts w:ascii="Consolas" w:cs="Consolas" w:eastAsia="Consolas" w:hAnsi="Consolas"/>
          <w:sz w:val="19"/>
          <w:szCs w:val="19"/>
        </w:rPr>
        <w:br/>
        <w:t xml:space="preserve">topFactors = top 3 factors by |contributionWeight|, sorted descending</w:t>
      </w:r>
    </w:p>
    <w:p>
      <w:pPr>
        <w:spacing w:after="200" w:before="60"/>
        <w:ind w:left="260"/>
      </w:pPr>
      <w:r>
        <w:rPr>
          <w:b/>
          <w:bCs/>
          <w:i/>
          <w:iCs/>
          <w:color w:val="555555"/>
          <w:sz w:val="20"/>
          <w:szCs w:val="20"/>
        </w:rPr>
        <w:t xml:space="preserve">Notes: </w:t>
      </w:r>
      <w:r>
        <w:rPr>
          <w:i/>
          <w:iCs/>
          <w:color w:val="444444"/>
          <w:sz w:val="20"/>
          <w:szCs w:val="20"/>
        </w:rPr>
        <w:t xml:space="preserve">On the rule-based path, the explanation is exact by construction — the formula's own terms already are the explanation, since these formulas were specifically designed to be auditable by a human. On the ML path, SHAP (or an equivalent additive attribution method appropriate to the specific model architecture — tree-based models, graph models, and NLP models each need their own compatible method) approximates each feature's contribution to the specific decision, not just to the model in general.</w:t>
      </w:r>
    </w:p>
    <w:p>
      <w:pPr>
        <w:pStyle w:val="Heading3"/>
        <w:spacing w:after="120" w:before="250"/>
      </w:pPr>
      <w:bookmarkStart w:name="bm_2_11_3_confidence_calibration_70" w:id="1"/>
      <w:r>
        <w:t xml:space="preserve">2.11.3 Confidence calibration</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confidence = P(predicted_class | x)         for a classification decision</w:t>
      </w:r>
      <w:r>
        <w:rPr>
          <w:rFonts w:ascii="Consolas" w:cs="Consolas" w:eastAsia="Consolas" w:hAnsi="Consolas"/>
          <w:sz w:val="19"/>
          <w:szCs w:val="19"/>
        </w:rPr>
        <w:br/>
        <w:t xml:space="preserve">confidence = 1 - normalised_residual_uncertainty   for a continuous score</w:t>
      </w:r>
    </w:p>
    <w:p>
      <w:pPr>
        <w:spacing w:after="200" w:before="60"/>
        <w:ind w:left="260"/>
      </w:pPr>
      <w:r>
        <w:rPr>
          <w:b/>
          <w:bCs/>
          <w:i/>
          <w:iCs/>
          <w:color w:val="555555"/>
          <w:sz w:val="20"/>
          <w:szCs w:val="20"/>
        </w:rPr>
        <w:t xml:space="preserve">Notes: </w:t>
      </w:r>
      <w:r>
        <w:rPr>
          <w:i/>
          <w:iCs/>
          <w:color w:val="444444"/>
          <w:sz w:val="20"/>
          <w:szCs w:val="20"/>
        </w:rPr>
        <w:t xml:space="preserve">Confidence must be calibrated (a model claiming 90% confidence should be right about 90% of the time on held-out data), not just the raw softmax output, which is well known to run overconfident in deep models without calibration. Calibration method (e.g. temperature scaling, isotonic regression) is chosen per model family and re-validated at every model version bump.</w:t>
      </w:r>
    </w:p>
    <w:p>
      <w:pPr>
        <w:pStyle w:val="Heading3"/>
        <w:spacing w:after="120" w:before="250"/>
      </w:pPr>
      <w:bookmarkStart w:name="bm_2_11_4_counterfactual_generation_71" w:id="1"/>
      <w:r>
        <w:t xml:space="preserve">2.11.4 Counterfactual generation</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counterfactual = argmin_{delta} |delta|   such that   Decision(x + delta) != Decision(x)</w:t>
      </w:r>
      <w:r>
        <w:rPr>
          <w:rFonts w:ascii="Consolas" w:cs="Consolas" w:eastAsia="Consolas" w:hAnsi="Consolas"/>
          <w:sz w:val="19"/>
          <w:szCs w:val="19"/>
        </w:rPr>
        <w:br/>
        <w:t xml:space="preserve">                  subject to: delta only touches a factor the user can actually change</w:t>
      </w:r>
    </w:p>
    <w:p>
      <w:pPr>
        <w:spacing w:after="200" w:before="60"/>
        <w:ind w:left="260"/>
      </w:pPr>
      <w:r>
        <w:rPr>
          <w:b/>
          <w:bCs/>
          <w:i/>
          <w:iCs/>
          <w:color w:val="555555"/>
          <w:sz w:val="20"/>
          <w:szCs w:val="20"/>
        </w:rPr>
        <w:t xml:space="preserve">Notes: </w:t>
      </w:r>
      <w:r>
        <w:rPr>
          <w:i/>
          <w:iCs/>
          <w:color w:val="444444"/>
          <w:sz w:val="20"/>
          <w:szCs w:val="20"/>
        </w:rPr>
        <w:t xml:space="preserve">The constraint that delta only touches a changeable factor is what stops the system from generating a technically-true but useless counterfactual like “if you were 10 years younger.” Where no changeable-factor counterfactual exists within a reasonable search radius, counterfactual is null rather than a stretched, low-value one.</w:t>
      </w:r>
    </w:p>
    <w:p>
      <w:pPr>
        <w:pStyle w:val="Heading3"/>
        <w:spacing w:after="120" w:before="250"/>
      </w:pPr>
      <w:bookmarkStart w:name="bm_2_11_5_output_vocabulary_constraint_appl_72" w:id="1"/>
      <w:r>
        <w:t xml:space="preserve">2.11.5 Output-vocabulary constraint (applies to every model's user-facing text, not just this one)</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AllowedRegister = {"consider", "may be worth reviewing", "based on historical patterns",</w:t>
      </w:r>
      <w:r>
        <w:rPr>
          <w:rFonts w:ascii="Consolas" w:cs="Consolas" w:eastAsia="Consolas" w:hAnsi="Consolas"/>
          <w:sz w:val="19"/>
          <w:szCs w:val="19"/>
        </w:rPr>
        <w:br/>
        <w:t xml:space="preserve">                    "typically", "estimated"}</w:t>
      </w:r>
      <w:r>
        <w:rPr>
          <w:rFonts w:ascii="Consolas" w:cs="Consolas" w:eastAsia="Consolas" w:hAnsi="Consolas"/>
          <w:sz w:val="19"/>
          <w:szCs w:val="19"/>
        </w:rPr>
        <w:br/>
        <w:t xml:space="preserve">ForbiddenTerms = {"guaranteed", "will definitely", "certain to", "risk-free",</w:t>
      </w:r>
      <w:r>
        <w:rPr>
          <w:rFonts w:ascii="Consolas" w:cs="Consolas" w:eastAsia="Consolas" w:hAnsi="Consolas"/>
          <w:sz w:val="19"/>
          <w:szCs w:val="19"/>
        </w:rPr>
        <w:br/>
        <w:t xml:space="preserve">                   "always safe", "you should buy/sell/switch"}</w:t>
      </w:r>
      <w:r>
        <w:rPr>
          <w:rFonts w:ascii="Consolas" w:cs="Consolas" w:eastAsia="Consolas" w:hAnsi="Consolas"/>
          <w:sz w:val="19"/>
          <w:szCs w:val="19"/>
        </w:rPr>
        <w:br/>
        <w:t xml:space="preserve"/>
      </w:r>
      <w:r>
        <w:rPr>
          <w:rFonts w:ascii="Consolas" w:cs="Consolas" w:eastAsia="Consolas" w:hAnsi="Consolas"/>
          <w:sz w:val="19"/>
          <w:szCs w:val="19"/>
        </w:rPr>
        <w:br/>
        <w:t xml:space="preserve">Emit(text) permitted iff  text contains NO token in ForbiddenTerms</w:t>
      </w:r>
    </w:p>
    <w:p>
      <w:pPr>
        <w:spacing w:after="200" w:before="60"/>
        <w:ind w:left="260"/>
      </w:pPr>
      <w:r>
        <w:rPr>
          <w:b/>
          <w:bCs/>
          <w:i/>
          <w:iCs/>
          <w:color w:val="555555"/>
          <w:sz w:val="20"/>
          <w:szCs w:val="20"/>
        </w:rPr>
        <w:t xml:space="preserve">Notes: </w:t>
      </w:r>
      <w:r>
        <w:rPr>
          <w:i/>
          <w:iCs/>
          <w:color w:val="444444"/>
          <w:sz w:val="20"/>
          <w:szCs w:val="20"/>
        </w:rPr>
        <w:t xml:space="preserve">This constraint is enforced as a hard filter on any GenAI-narrated text (Model 4 Layer 3, Model 15 disinformation summaries) and is checked at generation time, not proofread after the fact — an output that would violate it is regenerated with a stricter prompt rather than shipped and corrected. This is the mechanism, not just the policy, behind the “no guaranteed returns” commitment referenced throughout this document; without an enforcement point like this one, that commitment would just be a style guideline a model could still violate.</w:t>
      </w:r>
    </w:p>
    <w:p>
      <w:pPr>
        <w:pStyle w:val="Heading3"/>
        <w:spacing w:after="120" w:before="250"/>
      </w:pPr>
      <w:bookmarkStart w:name="bm_2_11_6_plain_language_summary_73" w:id="1"/>
      <w:r>
        <w:t xml:space="preserve">2.11.6 Plain-language summary</w:t>
      </w:r>
      <w:bookmarkEnd w:id="1"/>
    </w:p>
    <w:p>
      <w:pPr>
        <w:spacing w:after="150"/>
      </w:pPr>
      <w:r>
        <w:t xml:space="preserve">Every score, flag, or recommendation this app produces — whether it came from a simple rule or a trained model — comes with the same three things: the top few reasons behind it in plain terms, how confident the system actually is, and, where possible, what would need to change for the outcome to be different. And no matter which model generated the underlying number, the words used to describe it are held to the same restriction: nothing is ever described as guaranteed, risk-free, or a specific instruction to buy or sell.</w:t>
      </w:r>
    </w:p>
    <w:p>
      <w:r>
        <w:br w:type="page"/>
      </w:r>
    </w:p>
    <w:p>
      <w:pPr>
        <w:pStyle w:val="Heading2"/>
        <w:spacing w:after="150" w:before="300"/>
      </w:pPr>
      <w:bookmarkStart w:name="bm_2_12_model_12_debt_optimisation_engine_74" w:id="1"/>
      <w:r>
        <w:t xml:space="preserve">2.12 Model 12 — Debt Optimisation Engine</w:t>
      </w:r>
      <w:bookmarkEnd w:id="1"/>
    </w:p>
    <w:p>
      <w:pPr>
        <w:pBdr>
          <w:left w:val="single" w:color="AF3A2C" w:sz="12" w:space="8"/>
        </w:pBdr>
        <w:spacing w:after="150" w:before="100"/>
        <w:ind w:left="360"/>
      </w:pPr>
      <w:r>
        <w:rPr>
          <w:i/>
          <w:iCs/>
          <w:color w:val="AF3A2C"/>
        </w:rPr>
        <w:t xml:space="preserve">Renumbered from “Model 11” in the source document to “Model 12” to match this document's own architecture map in Section 1 and the correct position of the newly-specified Model 11 (Explainability Framework, Section 2.11) ahead of it.</w:t>
      </w:r>
    </w:p>
    <w:p>
      <w:pPr>
        <w:pStyle w:val="Heading3"/>
        <w:spacing w:after="120" w:before="250"/>
      </w:pPr>
      <w:bookmarkStart w:name="bm_2_12_1_amortisation_primitives_75" w:id="1"/>
      <w:r>
        <w:t xml:space="preserve">2.12.1 Amortisation primitives</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EMI = P * r * (1+r)^n / ((1+r)^n - 1)          r = annual_rate/12, n = tenure_months</w:t>
      </w:r>
      <w:r>
        <w:rPr>
          <w:rFonts w:ascii="Consolas" w:cs="Consolas" w:eastAsia="Consolas" w:hAnsi="Consolas"/>
          <w:sz w:val="19"/>
          <w:szCs w:val="19"/>
        </w:rPr>
        <w:br/>
        <w:t xml:space="preserve">InterestComponent(k) = OutstandingPrincipal(k-1) * r</w:t>
      </w:r>
      <w:r>
        <w:rPr>
          <w:rFonts w:ascii="Consolas" w:cs="Consolas" w:eastAsia="Consolas" w:hAnsi="Consolas"/>
          <w:sz w:val="19"/>
          <w:szCs w:val="19"/>
        </w:rPr>
        <w:br/>
        <w:t xml:space="preserve">PrincipalComponent(k) = EMI - InterestComponent(k)</w:t>
      </w:r>
      <w:r>
        <w:rPr>
          <w:rFonts w:ascii="Consolas" w:cs="Consolas" w:eastAsia="Consolas" w:hAnsi="Consolas"/>
          <w:sz w:val="19"/>
          <w:szCs w:val="19"/>
        </w:rPr>
        <w:br/>
        <w:t xml:space="preserve">TotalInterestPayable = Sum_{k=1..n} InterestComponent(k)</w:t>
      </w:r>
    </w:p>
    <w:p>
      <w:pPr>
        <w:spacing w:after="200" w:before="60"/>
        <w:ind w:left="260"/>
      </w:pPr>
      <w:r>
        <w:rPr>
          <w:b/>
          <w:bCs/>
          <w:i/>
          <w:iCs/>
          <w:color w:val="555555"/>
          <w:sz w:val="20"/>
          <w:szCs w:val="20"/>
        </w:rPr>
        <w:t xml:space="preserve">Notes: </w:t>
      </w:r>
      <w:r>
        <w:rPr>
          <w:i/>
          <w:iCs/>
          <w:color w:val="444444"/>
          <w:sz w:val="20"/>
          <w:szCs w:val="20"/>
        </w:rPr>
        <w:t xml:space="preserve">Simulated month by month across the full tenure, never approximated with a closed-form shortcut, since a user may act financially on this exact number.</w:t>
      </w:r>
    </w:p>
    <w:p>
      <w:pPr>
        <w:pStyle w:val="Heading3"/>
        <w:spacing w:after="120" w:before="250"/>
      </w:pPr>
      <w:bookmarkStart w:name="bm_2_12_2_floating_rate_recompute_76" w:id="1"/>
      <w:r>
        <w:t xml:space="preserve">2.12.2 Floating-rate recompute</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new_annual_rate = old_annual_rate + (delta_repo_bps / 10000) * TransmissionFactor(lender_type)</w:t>
      </w:r>
      <w:r>
        <w:rPr>
          <w:rFonts w:ascii="Consolas" w:cs="Consolas" w:eastAsia="Consolas" w:hAnsi="Consolas"/>
          <w:sz w:val="19"/>
          <w:szCs w:val="19"/>
        </w:rPr>
        <w:br/>
        <w:t xml:space="preserve">n_new = -ln(1 - P*r/EMI) / ln(1+r)      [if tenure recomputed instead of EMI]</w:t>
      </w:r>
    </w:p>
    <w:p>
      <w:pPr>
        <w:pBdr>
          <w:top w:val="single" w:color="C0392B" w:sz="6" w:space="4"/>
          <w:bottom w:val="single" w:color="C0392B" w:sz="6" w:space="4"/>
          <w:left w:val="single" w:color="C0392B" w:sz="18" w:space="8"/>
          <w:right w:val="single" w:color="C0392B" w:sz="6" w:space="4"/>
        </w:pBdr>
        <w:shd w:fill="FDECEA" w:val="clear"/>
        <w:spacing w:after="200" w:before="120"/>
        <w:ind w:left="200"/>
      </w:pPr>
      <w:r>
        <w:rPr>
          <w:b/>
          <w:bCs/>
          <w:color w:val="AF3A2C"/>
        </w:rPr>
        <w:t xml:space="preserve">CORRECTED: </w:t>
      </w:r>
      <w:r>
        <w:rPr>
          <w:color w:val="3B3B3B"/>
        </w:rPr>
        <w:t xml:space="preserve">The circular date behind TransmissionFactor was incorrect in the source (stated as February 2019). The correct instrument is RBI's circular dated 4 September 2019 on External Benchmark Based Lending, which mandated linking new floating-rate retail and MSE loans to an external benchmark (commonly the repo rate) with effect from 1 October 2019, and medium-enterprise loans from 1 April 2020. TransmissionFactor ≈ 1.0 applies to loans on this external-benchmark regime, since the reset is a near-direct repo pass-through, reset at least once every three months. A separate, lower, lender-discretionary TransmissionFactor branch is required for older MCLR-benchmarked loans originated before this regime, since those reset on the bank's own cycle rather than passing the repo change through directly.</w:t>
      </w:r>
    </w:p>
    <w:p>
      <w:pPr>
        <w:pStyle w:val="Heading3"/>
        <w:spacing w:after="120" w:before="250"/>
      </w:pPr>
      <w:bookmarkStart w:name="bm_2_12_3_avalanche_vs_snowball_77" w:id="1"/>
      <w:r>
        <w:t xml:space="preserve">2.12.3 Avalanche vs Snowball</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InterestCostOfSnowballChoice = Avalanche_total_interest - Snowball_total_interest</w:t>
      </w:r>
      <w:r>
        <w:rPr>
          <w:rFonts w:ascii="Consolas" w:cs="Consolas" w:eastAsia="Consolas" w:hAnsi="Consolas"/>
          <w:sz w:val="19"/>
          <w:szCs w:val="19"/>
        </w:rPr>
        <w:br/>
        <w:t xml:space="preserve">RecommendedStrategy = Avalanche   if cost &gt; 2% of annual income AND persona != Impulse Spender</w:t>
      </w:r>
      <w:r>
        <w:rPr>
          <w:rFonts w:ascii="Consolas" w:cs="Consolas" w:eastAsia="Consolas" w:hAnsi="Consolas"/>
          <w:sz w:val="19"/>
          <w:szCs w:val="19"/>
        </w:rPr>
        <w:br/>
        <w:t xml:space="preserve">                     = Snowball    if PastAdherenceScore &lt; threshold</w:t>
      </w:r>
    </w:p>
    <w:p>
      <w:pPr>
        <w:spacing w:after="200" w:before="60"/>
        <w:ind w:left="260"/>
      </w:pPr>
      <w:r>
        <w:rPr>
          <w:b/>
          <w:bCs/>
          <w:i/>
          <w:iCs/>
          <w:color w:val="555555"/>
          <w:sz w:val="20"/>
          <w:szCs w:val="20"/>
        </w:rPr>
        <w:t xml:space="preserve">Notes: </w:t>
      </w:r>
      <w:r>
        <w:rPr>
          <w:i/>
          <w:iCs/>
          <w:color w:val="444444"/>
          <w:sz w:val="20"/>
          <w:szCs w:val="20"/>
        </w:rPr>
        <w:t xml:space="preserve">InterestCostOfSnowballChoice is always &gt;= 0 by construction — Avalanche (highest interest rate first) is mathematically optimal for total interest paid, a proven property of the method, not a model output. The XAI explanation for this decision always shows both numbers regardless of which strategy is recommended, so a user choosing the psychologically easier Snowball path can still see exactly what it costs them. PastAdherenceScore follows the Never Invent History rule (Section 1.3): a new user with no goal-contribution history defaults to a neutral midpoint, not an estimated value.</w:t>
      </w:r>
    </w:p>
    <w:p>
      <w:pPr>
        <w:pStyle w:val="Heading3"/>
        <w:spacing w:after="120" w:before="250"/>
      </w:pPr>
      <w:bookmarkStart w:name="bm_2_12_4_foreclosure_decision_78" w:id="1"/>
      <w:r>
        <w:t xml:space="preserve">2.12.4 Foreclosure decision</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ForeclosurePenaltyRate(loan) =</w:t>
      </w:r>
      <w:r>
        <w:rPr>
          <w:rFonts w:ascii="Consolas" w:cs="Consolas" w:eastAsia="Consolas" w:hAnsi="Consolas"/>
          <w:sz w:val="19"/>
          <w:szCs w:val="19"/>
        </w:rPr>
        <w:br/>
        <w:t xml:space="preserve">  0   if loan.rate_type == floating</w:t>
      </w:r>
      <w:r>
        <w:rPr>
          <w:rFonts w:ascii="Consolas" w:cs="Consolas" w:eastAsia="Consolas" w:hAnsi="Consolas"/>
          <w:sz w:val="19"/>
          <w:szCs w:val="19"/>
        </w:rPr>
        <w:br/>
        <w:t xml:space="preserve">      AND loan.borrower_type in {individual_non_business, individual_business, MSE}</w:t>
      </w:r>
      <w:r>
        <w:rPr>
          <w:rFonts w:ascii="Consolas" w:cs="Consolas" w:eastAsia="Consolas" w:hAnsi="Consolas"/>
          <w:sz w:val="19"/>
          <w:szCs w:val="19"/>
        </w:rPr>
        <w:br/>
        <w:t xml:space="preserve">      AND ( loan.borrower_type == individual_non_business</w:t>
      </w:r>
      <w:r>
        <w:rPr>
          <w:rFonts w:ascii="Consolas" w:cs="Consolas" w:eastAsia="Consolas" w:hAnsi="Consolas"/>
          <w:sz w:val="19"/>
          <w:szCs w:val="19"/>
        </w:rPr>
        <w:br/>
        <w:t xml:space="preserve">            OR ( loan.sanctioned_or_renewed_on &gt;= 2026-01-01</w:t>
      </w:r>
      <w:r>
        <w:rPr>
          <w:rFonts w:ascii="Consolas" w:cs="Consolas" w:eastAsia="Consolas" w:hAnsi="Consolas"/>
          <w:sz w:val="19"/>
          <w:szCs w:val="19"/>
        </w:rPr>
        <w:br/>
        <w:t xml:space="preserve">                 AND loan.aggregate_sanctioned_limit &lt;= 75000000</w:t>
      </w:r>
      <w:r>
        <w:rPr>
          <w:rFonts w:ascii="Consolas" w:cs="Consolas" w:eastAsia="Consolas" w:hAnsi="Consolas"/>
          <w:sz w:val="19"/>
          <w:szCs w:val="19"/>
        </w:rPr>
        <w:br/>
        <w:t xml:space="preserve">                 AND lender.category NOT IN {tier1_tier2_UCB, base_layer_NBFC} ) )</w:t>
      </w:r>
      <w:r>
        <w:rPr>
          <w:rFonts w:ascii="Consolas" w:cs="Consolas" w:eastAsia="Consolas" w:hAnsi="Consolas"/>
          <w:sz w:val="19"/>
          <w:szCs w:val="19"/>
        </w:rPr>
        <w:br/>
        <w:t xml:space="preserve">  Board-approved policy rate   otherwise</w:t>
      </w:r>
      <w:r>
        <w:rPr>
          <w:rFonts w:ascii="Consolas" w:cs="Consolas" w:eastAsia="Consolas" w:hAnsi="Consolas"/>
          <w:sz w:val="19"/>
          <w:szCs w:val="19"/>
        </w:rPr>
        <w:br/>
        <w:t xml:space="preserve"/>
      </w:r>
      <w:r>
        <w:rPr>
          <w:rFonts w:ascii="Consolas" w:cs="Consolas" w:eastAsia="Consolas" w:hAnsi="Consolas"/>
          <w:sz w:val="19"/>
          <w:szCs w:val="19"/>
        </w:rPr>
        <w:br/>
        <w:t xml:space="preserve">OpportunityCostOfCapital = amount * (ExpectedInvestmentReturn - loan_rate) * remaining_years</w:t>
      </w:r>
      <w:r>
        <w:rPr>
          <w:rFonts w:ascii="Consolas" w:cs="Consolas" w:eastAsia="Consolas" w:hAnsi="Consolas"/>
          <w:sz w:val="19"/>
          <w:szCs w:val="19"/>
        </w:rPr>
        <w:br/>
        <w:t xml:space="preserve">NetBenefitOfForeclosure = RemainingInterestIfHeld - ForeclosurePenaltyRate*OutstandingBalance</w:t>
      </w:r>
      <w:r>
        <w:rPr>
          <w:rFonts w:ascii="Consolas" w:cs="Consolas" w:eastAsia="Consolas" w:hAnsi="Consolas"/>
          <w:sz w:val="19"/>
          <w:szCs w:val="19"/>
        </w:rPr>
        <w:br/>
        <w:t xml:space="preserve">                          - OpportunityCostOfCapital</w:t>
      </w:r>
      <w:r>
        <w:rPr>
          <w:rFonts w:ascii="Consolas" w:cs="Consolas" w:eastAsia="Consolas" w:hAnsi="Consolas"/>
          <w:sz w:val="19"/>
          <w:szCs w:val="19"/>
        </w:rPr>
        <w:br/>
        <w:t xml:space="preserve">Flag "not recommended" if NetBenefitOfForeclosure &lt; 0</w:t>
      </w:r>
    </w:p>
    <w:p>
      <w:pPr>
        <w:pBdr>
          <w:top w:val="single" w:color="C0392B" w:sz="6" w:space="4"/>
          <w:bottom w:val="single" w:color="C0392B" w:sz="6" w:space="4"/>
          <w:left w:val="single" w:color="C0392B" w:sz="18" w:space="8"/>
          <w:right w:val="single" w:color="C0392B" w:sz="6" w:space="4"/>
        </w:pBdr>
        <w:shd w:fill="FDECEA" w:val="clear"/>
        <w:spacing w:after="200" w:before="120"/>
        <w:ind w:left="200"/>
      </w:pPr>
      <w:r>
        <w:rPr>
          <w:b/>
          <w:bCs/>
          <w:color w:val="AF3A2C"/>
        </w:rPr>
        <w:t xml:space="preserve">CORRECTED: </w:t>
      </w:r>
      <w:r>
        <w:rPr>
          <w:color w:val="3B3B3B"/>
        </w:rPr>
        <w:t xml:space="preserve">This is the most significant correction in the document. The source treated foreclosure penalty as a fixed binary — zero for floating-rate individual non-business loans under the 2014 circular, penalty-allowed for everything else, including all business loans. That is now materially incomplete: the RBI (Pre-payment Charges on Loans) Directions, 2025 are in force for loans sanctioned or renewed on or after 1 January 2026 — a date already in the past as of today — and extend the zero-penalty rule to floating-rate business loans taken by individuals and by Micro &amp; Small Enterprises, up to an aggregate sanctioned limit of ₹7.5 crore per borrower, with an exemption only for Tier-1/Tier-2 urban co-operative banks and base-layer NBFCs, who may still charge under a board-approved policy. Getting this wrong in the old direction (assuming a penalty always applies to business loans) would systematically overstate the cost of foreclosing for a large population of borrowers who, under current law, owe nothing. The formula above is now a proper decision table across rate type, borrower type, sanction/renewal date, and lender category rather than a single flat rule, and it should be re-checked against the finalised RBI Directions text (this was in force as a Directions instrument, following an earlier draft-circular stage) rather than assumed static going forward, since prepayment-charge regulation has changed materially more than once in the last few years.</w:t>
      </w:r>
    </w:p>
    <w:p>
      <w:pPr>
        <w:pStyle w:val="Heading3"/>
        <w:spacing w:after="120" w:before="250"/>
      </w:pPr>
      <w:bookmarkStart w:name="bm_2_12_5_rule_based_path_79" w:id="1"/>
      <w:r>
        <w:t xml:space="preserve">2.12.5 Rule-based path</w:t>
      </w:r>
      <w:bookmarkEnd w:id="1"/>
    </w:p>
    <w:p>
      <w:pPr>
        <w:spacing w:after="150"/>
      </w:pPr>
      <w:r>
        <w:t xml:space="preserve">No separate path exists — fully deterministic in all cases. PastAdherenceScore defaults to a neutral midpoint for a new user per Section 1.3, rather than being estimated.</w:t>
      </w:r>
    </w:p>
    <w:p>
      <w:pPr>
        <w:pStyle w:val="Heading3"/>
        <w:spacing w:after="120" w:before="250"/>
      </w:pPr>
      <w:bookmarkStart w:name="bm_2_12_6_plain_language_summary_80" w:id="1"/>
      <w:r>
        <w:t xml:space="preserve">2.12.6 Plain-language summary</w:t>
      </w:r>
      <w:bookmarkEnd w:id="1"/>
    </w:p>
    <w:p>
      <w:pPr>
        <w:spacing w:after="150"/>
      </w:pPr>
      <w:r>
        <w:t xml:space="preserve">Simulates a loan's real repayment schedule month by month rather than approximating it, recalculates EMI correctly when RBI changes rates, and compares two ways of paying off multiple debts faster, always showing the mathematically best option even when recommending the psychologically easier one for someone likely to give up otherwise. Also checks whether paying off a loan early is actually a good idea once the cost of pulling that money out of better-earning investments is counted, and now correctly recognises that a much larger group of business borrowers — not just individuals borrowing for personal reasons — owe no foreclosure penalty at all under the rules now in force.</w:t>
      </w:r>
    </w:p>
    <w:p>
      <w:r>
        <w:br w:type="page"/>
      </w:r>
    </w:p>
    <w:p>
      <w:pPr>
        <w:pStyle w:val="Heading2"/>
        <w:spacing w:after="150" w:before="300"/>
      </w:pPr>
      <w:bookmarkStart w:name="bm_2_13_model_13_scenario_simulation_what_i_81" w:id="1"/>
      <w:r>
        <w:t xml:space="preserve">2.13 Model 13 — Scenario Simulation / What-If Engine</w:t>
      </w:r>
      <w:bookmarkEnd w:id="1"/>
    </w:p>
    <w:p>
      <w:pPr>
        <w:pBdr>
          <w:left w:val="single" w:color="AF3A2C" w:sz="12" w:space="8"/>
        </w:pBdr>
        <w:spacing w:after="150" w:before="100"/>
        <w:ind w:left="360"/>
      </w:pPr>
      <w:r>
        <w:rPr>
          <w:i/>
          <w:iCs/>
          <w:color w:val="AF3A2C"/>
        </w:rPr>
        <w:t xml:space="preserve">Renumbered from “Model 12” in the source document — see Section 2.12's note.</w:t>
      </w:r>
    </w:p>
    <w:p>
      <w:pPr>
        <w:pStyle w:val="Heading3"/>
        <w:spacing w:after="120" w:before="250"/>
      </w:pPr>
      <w:bookmarkStart w:name="bm_2_13_1_monte_carlo_path_return_uncertain_82" w:id="1"/>
      <w:r>
        <w:t xml:space="preserve">2.13.1 Monte Carlo path (return-uncertainty scenarios only)</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For each of N &gt;= 10,000 paths:   C_t = C_{t-1}*(1+r_t) + m,   t = 1..T</w:t>
      </w:r>
      <w:r>
        <w:rPr>
          <w:rFonts w:ascii="Consolas" w:cs="Consolas" w:eastAsia="Consolas" w:hAnsi="Consolas"/>
          <w:sz w:val="19"/>
          <w:szCs w:val="19"/>
        </w:rPr>
        <w:br/>
        <w:t xml:space="preserve">r_t ~ bootstrap-resampled from &gt;= 10yr real historical monthly returns of the blended benchmark</w:t>
      </w:r>
      <w:r>
        <w:rPr>
          <w:rFonts w:ascii="Consolas" w:cs="Consolas" w:eastAsia="Consolas" w:hAnsi="Consolas"/>
          <w:sz w:val="19"/>
          <w:szCs w:val="19"/>
        </w:rPr>
        <w:br/>
        <w:t xml:space="preserve">success_i = 1[C_T &gt;= C_target]</w:t>
      </w:r>
      <w:r>
        <w:rPr>
          <w:rFonts w:ascii="Consolas" w:cs="Consolas" w:eastAsia="Consolas" w:hAnsi="Consolas"/>
          <w:sz w:val="19"/>
          <w:szCs w:val="19"/>
        </w:rPr>
        <w:br/>
        <w:t xml:space="preserve">GoalCompletionProbability = (1/N) * Sum_i success_i</w:t>
      </w:r>
      <w:r>
        <w:rPr>
          <w:rFonts w:ascii="Consolas" w:cs="Consolas" w:eastAsia="Consolas" w:hAnsi="Consolas"/>
          <w:sz w:val="19"/>
          <w:szCs w:val="19"/>
        </w:rPr>
        <w:br/>
        <w:t xml:space="preserve">Report P10, P50, P90 corpus values</w:t>
      </w:r>
    </w:p>
    <w:p>
      <w:pPr>
        <w:spacing w:after="200" w:before="60"/>
        <w:ind w:left="260"/>
      </w:pPr>
      <w:r>
        <w:rPr>
          <w:b/>
          <w:bCs/>
          <w:i/>
          <w:iCs/>
          <w:color w:val="555555"/>
          <w:sz w:val="20"/>
          <w:szCs w:val="20"/>
        </w:rPr>
        <w:t xml:space="preserve">Notes: </w:t>
      </w:r>
      <w:r>
        <w:rPr>
          <w:i/>
          <w:iCs/>
          <w:color w:val="444444"/>
          <w:sz w:val="20"/>
          <w:szCs w:val="20"/>
        </w:rPr>
        <w:t xml:space="preserve">Bootstrap-resampling from real historical returns, not a Normal-distribution assumption, so the simulation preserves real fat-tail behaviour — equity returns are well documented to have heavier tails and negative skew than a Normal distribution captures, a known failure mode of naive Monte Carlo retirement calculators. GoalCompletionProbability is rounded to the nearest 1% before display, since more precision than that is false precision on a stochastic estimate. Report as a fan chart (P10/P50/P90), not a single line.</w:t>
      </w:r>
    </w:p>
    <w:p>
      <w:pPr>
        <w:pStyle w:val="Heading3"/>
        <w:spacing w:after="120" w:before="250"/>
      </w:pPr>
      <w:bookmarkStart w:name="bm_2_13_2_deterministic_path_no_uncertainty_83" w:id="1"/>
      <w:r>
        <w:t xml:space="preserve">2.13.2 Deterministic path (no-uncertainty scenarios)</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"Take a home loan"        -&gt; Model 12 amortisation + Model 2 Pillar 2 DTI recompute</w:t>
      </w:r>
      <w:r>
        <w:rPr>
          <w:rFonts w:ascii="Consolas" w:cs="Consolas" w:eastAsia="Consolas" w:hAnsi="Consolas"/>
          <w:sz w:val="19"/>
          <w:szCs w:val="19"/>
        </w:rPr>
        <w:br/>
        <w:t xml:space="preserve">"Switch tax regime"       -&gt; Model 8 both-regime liability, delta shown</w:t>
      </w:r>
      <w:r>
        <w:rPr>
          <w:rFonts w:ascii="Consolas" w:cs="Consolas" w:eastAsia="Consolas" w:hAnsi="Consolas"/>
          <w:sz w:val="19"/>
          <w:szCs w:val="19"/>
        </w:rPr>
        <w:br/>
        <w:t xml:space="preserve">"Pay off loan early"      -&gt; Model 12 PrepaymentImpact, chained into Pillar 2 recompute</w:t>
      </w:r>
      <w:r>
        <w:rPr>
          <w:rFonts w:ascii="Consolas" w:cs="Consolas" w:eastAsia="Consolas" w:hAnsi="Consolas"/>
          <w:sz w:val="19"/>
          <w:szCs w:val="19"/>
        </w:rPr>
        <w:br/>
        <w:t xml:space="preserve">"Stop investing 6 months" -&gt; OpportunityCost = FV(missed contributions, mu, 6) - 0</w:t>
      </w:r>
      <w:r>
        <w:rPr>
          <w:rFonts w:ascii="Consolas" w:cs="Consolas" w:eastAsia="Consolas" w:hAnsi="Consolas"/>
          <w:sz w:val="19"/>
          <w:szCs w:val="19"/>
        </w:rPr>
        <w:br/>
        <w:t xml:space="preserve">"Gold drops 15%"          -&gt; re-price gold sleeve, recompute NetWorth/HHI/goal funding</w:t>
      </w:r>
    </w:p>
    <w:p>
      <w:pPr>
        <w:pStyle w:val="Heading3"/>
        <w:spacing w:after="120" w:before="250"/>
      </w:pPr>
      <w:bookmarkStart w:name="bm_2_13_3_rule_based_path_6_months_monte_ca_84" w:id="1"/>
      <w:r>
        <w:t xml:space="preserve">2.13.3 Rule-based path (&lt; 6 months, Monte Carlo tier only)</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mu, sigma blended from asset-class long-run historical averages, not personal portfolio history</w:t>
      </w:r>
      <w:r>
        <w:rPr>
          <w:rFonts w:ascii="Consolas" w:cs="Consolas" w:eastAsia="Consolas" w:hAnsi="Consolas"/>
          <w:sz w:val="19"/>
          <w:szCs w:val="19"/>
        </w:rPr>
        <w:br/>
        <w:t xml:space="preserve">Deterministic sub-scenarios: unaffected at any history length</w:t>
      </w:r>
    </w:p>
    <w:p>
      <w:pPr>
        <w:spacing w:after="200" w:before="60"/>
        <w:ind w:left="260"/>
      </w:pPr>
      <w:r>
        <w:rPr>
          <w:b/>
          <w:bCs/>
          <w:i/>
          <w:iCs/>
          <w:color w:val="555555"/>
          <w:sz w:val="20"/>
          <w:szCs w:val="20"/>
        </w:rPr>
        <w:t xml:space="preserve">Notes: </w:t>
      </w:r>
      <w:r>
        <w:rPr>
          <w:i/>
          <w:iCs/>
          <w:color w:val="444444"/>
          <w:sz w:val="20"/>
          <w:szCs w:val="20"/>
        </w:rPr>
        <w:t xml:space="preserve">A new user may not have 6 months of return history on their own specific holdings yet, so population-level (Section 1.1) long-run asset-class averages are used for mu and sigma instead — the bootstrap method itself is unchanged, only the source data is population-level rather than personal.</w:t>
      </w:r>
    </w:p>
    <w:p>
      <w:pPr>
        <w:pStyle w:val="Heading3"/>
        <w:spacing w:after="120" w:before="250"/>
      </w:pPr>
      <w:bookmarkStart w:name="bm_2_13_4_calibration_and_honesty_constrain_85" w:id="1"/>
      <w:r>
        <w:t xml:space="preserve">2.13.4 Calibration and honesty constraints (both paths)</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Round to nearest 1%, never a false-precision figure like "73.482%"</w:t>
      </w:r>
      <w:r>
        <w:rPr>
          <w:rFonts w:ascii="Consolas" w:cs="Consolas" w:eastAsia="Consolas" w:hAnsi="Consolas"/>
          <w:sz w:val="19"/>
          <w:szCs w:val="19"/>
        </w:rPr>
        <w:br/>
        <w:t xml:space="preserve">Every output carries: {simulationCount, historicalDataWindow, assumptionSet, disclaimer}</w:t>
      </w:r>
    </w:p>
    <w:p>
      <w:pPr>
        <w:spacing w:after="200" w:before="60"/>
        <w:ind w:left="260"/>
      </w:pPr>
      <w:r>
        <w:rPr>
          <w:b/>
          <w:bCs/>
          <w:i/>
          <w:iCs/>
          <w:color w:val="555555"/>
          <w:sz w:val="20"/>
          <w:szCs w:val="20"/>
        </w:rPr>
        <w:t xml:space="preserve">Notes: </w:t>
      </w:r>
      <w:r>
        <w:rPr>
          <w:i/>
          <w:iCs/>
          <w:color w:val="444444"/>
          <w:sz w:val="20"/>
          <w:szCs w:val="20"/>
        </w:rPr>
        <w:t xml:space="preserve">The disclaimer text and the output-vocabulary constraint from Model 11 (Section 2.11.5) apply together here — a probability output is the single highest-risk surface in the app for reading like a guarantee, so both the rounding rule and the forbidden-terms filter matter more here than almost anywhere else in the system.</w:t>
      </w:r>
    </w:p>
    <w:p>
      <w:pPr>
        <w:pStyle w:val="Heading3"/>
        <w:spacing w:after="120" w:before="250"/>
      </w:pPr>
      <w:bookmarkStart w:name="bm_2_13_5_plain_language_summary_86" w:id="1"/>
      <w:r>
        <w:t xml:space="preserve">2.13.5 Plain-language summary</w:t>
      </w:r>
      <w:bookmarkEnd w:id="1"/>
    </w:p>
    <w:p>
      <w:pPr>
        <w:spacing w:after="150"/>
      </w:pPr>
      <w:r>
        <w:t xml:space="preserve">For questions where the answer depends on how markets behave, the system runs the numbers 10,000 different ways using real historical market patterns and reports a range and a probability, not a false-precision single number. For questions with a definite, calculable answer, it just does the exact arithmetic once — no randomness needed, because nothing about that calculation is actually uncertain.</w:t>
      </w:r>
    </w:p>
    <w:p>
      <w:pPr>
        <w:pStyle w:val="Heading2"/>
        <w:spacing w:after="150" w:before="300"/>
      </w:pPr>
      <w:bookmarkStart w:name="bm_2_14_model_14_market_manipulation_panic__87" w:id="1"/>
      <w:r>
        <w:t xml:space="preserve">2.14 Model 14 — Market Manipulation &amp; Panic-Selling Defence</w:t>
      </w:r>
      <w:bookmarkEnd w:id="1"/>
    </w:p>
    <w:p>
      <w:pPr>
        <w:pBdr>
          <w:left w:val="single" w:color="AF3A2C" w:sz="12" w:space="8"/>
        </w:pBdr>
        <w:spacing w:after="150" w:before="100"/>
        <w:ind w:left="360"/>
      </w:pPr>
      <w:r>
        <w:rPr>
          <w:i/>
          <w:iCs/>
          <w:color w:val="AF3A2C"/>
        </w:rPr>
        <w:t xml:space="preserve">Renumbered from “Model 13” in the source document — see Section 2.12's note.</w:t>
      </w:r>
    </w:p>
    <w:p>
      <w:pPr>
        <w:pStyle w:val="Heading3"/>
        <w:spacing w:after="120" w:before="250"/>
      </w:pPr>
      <w:bookmarkStart w:name="bm_2_14_1_tip_to_trade_correlation_88" w:id="1"/>
      <w:r>
        <w:t xml:space="preserve">2.14.1 Tip-to-trade correlation</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Trigger_TipToTrade :=  EXISTS message m in preceding 72h WHERE</w:t>
      </w:r>
      <w:r>
        <w:rPr>
          <w:rFonts w:ascii="Consolas" w:cs="Consolas" w:eastAsia="Consolas" w:hAnsi="Consolas"/>
          <w:sz w:val="19"/>
          <w:szCs w:val="19"/>
        </w:rPr>
        <w:br/>
        <w:t xml:space="preserve">                        m.flaggedBy(Model_10) IN {AMBER, RED}</w:t>
      </w:r>
      <w:r>
        <w:rPr>
          <w:rFonts w:ascii="Consolas" w:cs="Consolas" w:eastAsia="Consolas" w:hAnsi="Consolas"/>
          <w:sz w:val="19"/>
          <w:szCs w:val="19"/>
        </w:rPr>
        <w:br/>
        <w:t xml:space="preserve">                        AND m.entity == order.instrument</w:t>
      </w:r>
      <w:r>
        <w:rPr>
          <w:rFonts w:ascii="Consolas" w:cs="Consolas" w:eastAsia="Consolas" w:hAnsi="Consolas"/>
          <w:sz w:val="19"/>
          <w:szCs w:val="19"/>
        </w:rPr>
        <w:br/>
        <w:t xml:space="preserve">                        AND order.instrument.avg_daily_volume &lt; LowLiquidityThreshold</w:t>
      </w:r>
      <w:r>
        <w:rPr>
          <w:rFonts w:ascii="Consolas" w:cs="Consolas" w:eastAsia="Consolas" w:hAnsi="Consolas"/>
          <w:sz w:val="19"/>
          <w:szCs w:val="19"/>
        </w:rPr>
        <w:br/>
        <w:t xml:space="preserve">-&gt; elevate Model 1's MarketContextTerm, surface specific XAI reason</w:t>
      </w:r>
    </w:p>
    <w:p>
      <w:pPr>
        <w:spacing w:after="200" w:before="60"/>
        <w:ind w:left="260"/>
      </w:pPr>
      <w:r>
        <w:rPr>
          <w:b/>
          <w:bCs/>
          <w:i/>
          <w:iCs/>
          <w:color w:val="555555"/>
          <w:sz w:val="20"/>
          <w:szCs w:val="20"/>
        </w:rPr>
        <w:t xml:space="preserve">Notes: </w:t>
      </w:r>
      <w:r>
        <w:rPr>
          <w:i/>
          <w:iCs/>
          <w:color w:val="444444"/>
          <w:sz w:val="20"/>
          <w:szCs w:val="20"/>
        </w:rPr>
        <w:t xml:space="preserve">The low-liquidity filter matters: pump-and-dump manipulation economically requires a thinly-traded instrument for retail-sized capital to move the price at all, so this avoids false-flagging routine trades in large, liquid stocks that happen to appear in an unrelated flagged message.</w:t>
      </w:r>
    </w:p>
    <w:p>
      <w:pPr>
        <w:pStyle w:val="Heading3"/>
        <w:spacing w:after="120" w:before="250"/>
      </w:pPr>
      <w:bookmarkStart w:name="bm_2_14_2_panic_selling_intervention_89" w:id="1"/>
      <w:r>
        <w:t xml:space="preserve">2.14.2 Panic-selling intervention</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Trigger_PanicSell :=  order.side == SELL</w:t>
      </w:r>
      <w:r>
        <w:rPr>
          <w:rFonts w:ascii="Consolas" w:cs="Consolas" w:eastAsia="Consolas" w:hAnsi="Consolas"/>
          <w:sz w:val="19"/>
          <w:szCs w:val="19"/>
        </w:rPr>
        <w:br/>
        <w:t xml:space="preserve">                       AND order.amount &gt; 0.25*TotalEquityPortfolioValue</w:t>
      </w:r>
      <w:r>
        <w:rPr>
          <w:rFonts w:ascii="Consolas" w:cs="Consolas" w:eastAsia="Consolas" w:hAnsi="Consolas"/>
          <w:sz w:val="19"/>
          <w:szCs w:val="19"/>
        </w:rPr>
        <w:br/>
        <w:t xml:space="preserve">                       AND MarketDrawdown_intraday(RelevantBenchmark(order.instrument)) &lt;= -3%</w:t>
      </w:r>
      <w:r>
        <w:rPr>
          <w:rFonts w:ascii="Consolas" w:cs="Consolas" w:eastAsia="Consolas" w:hAnsi="Consolas"/>
          <w:sz w:val="19"/>
          <w:szCs w:val="19"/>
        </w:rPr>
        <w:br/>
        <w:t xml:space="preserve">-&gt; calm-down prompt reusing Model 13's deterministic hold-vs-sell comparison</w:t>
      </w:r>
    </w:p>
    <w:p>
      <w:pPr>
        <w:spacing w:after="200" w:before="60"/>
        <w:ind w:left="260"/>
      </w:pPr>
      <w:r>
        <w:rPr>
          <w:b/>
          <w:bCs/>
          <w:i/>
          <w:iCs/>
          <w:color w:val="555555"/>
          <w:sz w:val="20"/>
          <w:szCs w:val="20"/>
        </w:rPr>
        <w:t xml:space="preserve">Notes: </w:t>
      </w:r>
      <w:r>
        <w:rPr>
          <w:i/>
          <w:iCs/>
          <w:color w:val="444444"/>
          <w:sz w:val="20"/>
          <w:szCs w:val="20"/>
        </w:rPr>
        <w:t xml:space="preserve">RelevantBenchmark must be the holding's own appropriate index — a broad market index for a broad-index fund, a sector index for a sector fund — not one fixed benchmark applied to every holding regardless of what it actually tracks. A sector-fund holder should not be exempted from this check just because the broad market hasn't moved, nor unnecessarily triggered by broad-market noise unrelated to their specific sector.</w:t>
      </w:r>
    </w:p>
    <w:p>
      <w:pPr>
        <w:pStyle w:val="Heading3"/>
        <w:spacing w:after="120" w:before="250"/>
      </w:pPr>
      <w:bookmarkStart w:name="bm_2_14_3_rule_based_path_90" w:id="1"/>
      <w:r>
        <w:t xml:space="preserve">2.14.3 Rule-based path</w:t>
      </w:r>
      <w:bookmarkEnd w:id="1"/>
    </w:p>
    <w:p>
      <w:pPr>
        <w:spacing w:after="150"/>
      </w:pPr>
      <w:r>
        <w:t xml:space="preserve">This model is nested logic only in both cases — no ML path exists or is needed; thresholds are identical regardless of data history.</w:t>
      </w:r>
    </w:p>
    <w:p>
      <w:pPr>
        <w:pStyle w:val="Heading3"/>
        <w:spacing w:after="120" w:before="250"/>
      </w:pPr>
      <w:bookmarkStart w:name="bm_2_14_4_plain_language_summary_91" w:id="1"/>
      <w:r>
        <w:t xml:space="preserve">2.14.4 Plain-language summary</w:t>
      </w:r>
      <w:bookmarkEnd w:id="1"/>
    </w:p>
    <w:p>
      <w:pPr>
        <w:spacing w:after="150"/>
      </w:pPr>
      <w:r>
        <w:t xml:space="preserve">If someone receives a suspicious message mentioning a thinly-traded stock and then tries to trade that exact stock within three days, the system treats that as an elevated risk signal, a classic pump-and-dump pattern. Separately, if someone tries to sell a large chunk of their holdings right during a real drop in the market relevant to that specific holding, a gentle, dismissible prompt shows what staying invested would likely look like instead — never blocking the sale, just offering a moment to reconsider.</w:t>
      </w:r>
    </w:p>
    <w:p>
      <w:pPr>
        <w:pStyle w:val="Heading2"/>
        <w:spacing w:after="150" w:before="300"/>
      </w:pPr>
      <w:bookmarkStart w:name="bm_2_15_model_15_news_disinformation_integr_92" w:id="1"/>
      <w:r>
        <w:t xml:space="preserve">2.15 Model 15 — News / Disinformation Integrity Filter</w:t>
      </w:r>
      <w:bookmarkEnd w:id="1"/>
    </w:p>
    <w:p>
      <w:pPr>
        <w:pBdr>
          <w:left w:val="single" w:color="AF3A2C" w:sz="12" w:space="8"/>
        </w:pBdr>
        <w:spacing w:after="150" w:before="100"/>
        <w:ind w:left="360"/>
      </w:pPr>
      <w:r>
        <w:rPr>
          <w:i/>
          <w:iCs/>
          <w:color w:val="AF3A2C"/>
        </w:rPr>
        <w:t xml:space="preserve">Renumbered from “Model 14” in the source document — see Section 2.12's note.</w:t>
      </w:r>
    </w:p>
    <w:p>
      <w:pPr>
        <w:pStyle w:val="Heading3"/>
        <w:spacing w:after="120" w:before="250"/>
      </w:pPr>
      <w:bookmarkStart w:name="bm_2_15_1_stage_1_source_whitelist_93" w:id="1"/>
      <w:r>
        <w:t xml:space="preserve">2.15.1 Stage 1 — source whitelist</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Admit(article) := article.source_domain IN ApprovedSourceWhitelist</w:t>
      </w:r>
    </w:p>
    <w:p>
      <w:pPr>
        <w:spacing w:after="200" w:before="60"/>
        <w:ind w:left="260"/>
      </w:pPr>
      <w:r>
        <w:rPr>
          <w:b/>
          <w:bCs/>
          <w:i/>
          <w:iCs/>
          <w:color w:val="555555"/>
          <w:sz w:val="20"/>
          <w:szCs w:val="20"/>
        </w:rPr>
        <w:t xml:space="preserve">Notes: </w:t>
      </w:r>
      <w:r>
        <w:rPr>
          <w:i/>
          <w:iCs/>
          <w:color w:val="444444"/>
          <w:sz w:val="20"/>
          <w:szCs w:val="20"/>
        </w:rPr>
        <w:t xml:space="preserve">Whitelist covers BSE/NSE/RBI/SEBI official sources plus a small, named list of mainstream financial media. If an article's source is not admitted, it is never shown at all — full stop, before Stage 2 ever runs.</w:t>
      </w:r>
    </w:p>
    <w:p>
      <w:pPr>
        <w:pStyle w:val="Heading3"/>
        <w:spacing w:after="120" w:before="250"/>
      </w:pPr>
      <w:bookmarkStart w:name="bm_2_15_2_stage_2_tone_manipulation_scoring_94" w:id="1"/>
      <w:r>
        <w:t xml:space="preserve">2.15.2 Stage 2 — tone/manipulation scoring (whitelisted content only)</w:t>
      </w:r>
      <w:bookmarkEnd w:id="1"/>
    </w:p>
    <w:p>
      <w:pPr>
        <w:pBdr>
          <w:top w:val="single" w:color="AAB7C4" w:sz="4" w:space="6"/>
          <w:bottom w:val="single" w:color="AAB7C4" w:sz="4" w:space="6"/>
          <w:left w:val="single" w:color="AAB7C4" w:sz="4" w:space="8"/>
          <w:right w:val="single" w:color="AAB7C4" w:sz="4" w:space="8"/>
        </w:pBdr>
        <w:shd w:fill="F0F3F6" w:val="clear"/>
        <w:spacing w:after="60" w:before="100"/>
        <w:ind w:left="260" w:right="260"/>
      </w:pPr>
      <w:r>
        <w:rPr>
          <w:rFonts w:ascii="Consolas" w:cs="Consolas" w:eastAsia="Consolas" w:hAnsi="Consolas"/>
          <w:sz w:val="19"/>
          <w:szCs w:val="19"/>
        </w:rPr>
        <w:t xml:space="preserve">DisinfoScore = w1*UrgencyLexiconDensity + w2*1[no attributable source in first 3 paras]</w:t>
      </w:r>
      <w:r>
        <w:rPr>
          <w:rFonts w:ascii="Consolas" w:cs="Consolas" w:eastAsia="Consolas" w:hAnsi="Consolas"/>
          <w:sz w:val="19"/>
          <w:szCs w:val="19"/>
        </w:rPr>
        <w:br/>
        <w:t xml:space="preserve">               + w3*1[extreme language above outlet's normal baseline]</w:t>
      </w:r>
      <w:r>
        <w:rPr>
          <w:rFonts w:ascii="Consolas" w:cs="Consolas" w:eastAsia="Consolas" w:hAnsi="Consolas"/>
          <w:sz w:val="19"/>
          <w:szCs w:val="19"/>
        </w:rPr>
        <w:br/>
        <w:t xml:space="preserve">               - w4*1[cites official filing/press release directly]</w:t>
      </w:r>
      <w:r>
        <w:rPr>
          <w:rFonts w:ascii="Consolas" w:cs="Consolas" w:eastAsia="Consolas" w:hAnsi="Consolas"/>
          <w:sz w:val="19"/>
          <w:szCs w:val="19"/>
        </w:rPr>
        <w:br/>
        <w:t xml:space="preserve">Flag "review with caution" if DisinfoScore &gt; threshold</w:t>
      </w:r>
    </w:p>
    <w:p>
      <w:pPr>
        <w:spacing w:after="200" w:before="60"/>
        <w:ind w:left="260"/>
      </w:pPr>
      <w:r>
        <w:rPr>
          <w:b/>
          <w:bCs/>
          <w:i/>
          <w:iCs/>
          <w:color w:val="555555"/>
          <w:sz w:val="20"/>
          <w:szCs w:val="20"/>
        </w:rPr>
        <w:t xml:space="preserve">Notes: </w:t>
      </w:r>
      <w:r>
        <w:rPr>
          <w:i/>
          <w:iCs/>
          <w:color w:val="444444"/>
          <w:sz w:val="20"/>
          <w:szCs w:val="20"/>
        </w:rPr>
        <w:t xml:space="preserve">A soft flag only, never a hard block, and only ever applied within the already-trusted whitelist — this stage's job is tone, not source legitimacy, which Stage 1 already handled.</w:t>
      </w:r>
    </w:p>
    <w:p>
      <w:pPr>
        <w:pStyle w:val="Heading3"/>
        <w:spacing w:after="120" w:before="250"/>
      </w:pPr>
      <w:bookmarkStart w:name="bm_2_15_3_rule_based_path_95" w:id="1"/>
      <w:r>
        <w:t xml:space="preserve">2.15.3 Rule-based path</w:t>
      </w:r>
      <w:bookmarkEnd w:id="1"/>
    </w:p>
    <w:p>
      <w:pPr>
        <w:spacing w:after="150"/>
      </w:pPr>
      <w:r>
        <w:t xml:space="preserve">Fully rule-based in both cases — this model has no ML component and no 6-month threshold; the whitelist and lexicon weights are governance-set, not learned.</w:t>
      </w:r>
    </w:p>
    <w:p>
      <w:pPr>
        <w:pStyle w:val="Heading3"/>
        <w:spacing w:after="120" w:before="250"/>
      </w:pPr>
      <w:bookmarkStart w:name="bm_2_15_4_plain_language_summary_96" w:id="1"/>
      <w:r>
        <w:t xml:space="preserve">2.15.4 Plain-language summary</w:t>
      </w:r>
      <w:bookmarkEnd w:id="1"/>
    </w:p>
    <w:p>
      <w:pPr>
        <w:spacing w:after="150"/>
      </w:pPr>
      <w:r>
        <w:t xml:space="preserve">Only news from a small, pre-approved list of trustworthy sources is ever shown at all — this isn't a general-purpose fake-news detector making judgment calls on the whole internet. Within that trusted list, a second, gentler check looks for manipulative-sounding language and adds a soft caution flag on the rare piece that reads that way, without ever hiding it.</w:t>
      </w:r>
    </w:p>
    <w:p>
      <w:r>
        <w:br w:type="page"/>
      </w:r>
    </w:p>
    <w:p>
      <w:pPr>
        <w:pStyle w:val="Heading1"/>
        <w:spacing w:after="200" w:before="400"/>
      </w:pPr>
      <w:bookmarkStart w:name="bm_3_compliance_checked_inputs_97" w:id="1"/>
      <w:r>
        <w:t xml:space="preserve">3. Compliance-Checked Inputs</w:t>
      </w:r>
      <w:bookmarkEnd w:id="1"/>
    </w:p>
    <w:p>
      <w:pPr>
        <w:spacing w:after="150"/>
      </w:pPr>
      <w:r>
        <w:t xml:space="preserve">Every raw input any model in this document consumes, its legal basis, and its handling requirement. Cross-references to model math below point to the corrected Section 2 numbering.</w:t>
      </w:r>
    </w:p>
    <w:p>
      <w:pPr>
        <w:pStyle w:val="Heading2"/>
        <w:spacing w:after="150" w:before="300"/>
      </w:pPr>
      <w:bookmarkStart w:name="bm_3_1_financial_and_transactional_data_98" w:id="1"/>
      <w:r>
        <w:t xml:space="preserve">3.1 Financial and Transactional Data</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6400"/>
      </w:tblGrid>
      <w:tr>
        <w:trPr>
          <w:tblHeader/>
        </w:trPr>
        <w:tc>
          <w:tcPr>
            <w:tcW w:type="dxa" w:w="2400"/>
            <w:shd w:fill="1B4F72" w:val="clear"/>
            <w:tcMar>
              <w:top w:type="dxa" w:w="60"/>
              <w:left w:type="dxa" w:w="100"/>
              <w:bottom w:type="dxa" w:w="60"/>
              <w:right w:type="dxa" w:w="100"/>
            </w:tcMar>
            <w:vAlign w:val="center"/>
          </w:tcPr>
          <w:p>
            <w:r>
              <w:rPr>
                <w:b/>
                <w:bCs/>
                <w:color w:val="FFFFFF"/>
                <w:sz w:val="19"/>
                <w:szCs w:val="19"/>
              </w:rPr>
              <w:t xml:space="preserve">Raw input</w:t>
            </w:r>
          </w:p>
        </w:tc>
        <w:tc>
          <w:tcPr>
            <w:tcW w:type="dxa" w:w="1700"/>
            <w:shd w:fill="1B4F72" w:val="clear"/>
            <w:tcMar>
              <w:top w:type="dxa" w:w="60"/>
              <w:left w:type="dxa" w:w="100"/>
              <w:bottom w:type="dxa" w:w="60"/>
              <w:right w:type="dxa" w:w="100"/>
            </w:tcMar>
            <w:vAlign w:val="center"/>
          </w:tcPr>
          <w:p>
            <w:r>
              <w:rPr>
                <w:b/>
                <w:bCs/>
                <w:color w:val="FFFFFF"/>
                <w:sz w:val="19"/>
                <w:szCs w:val="19"/>
              </w:rPr>
              <w:t xml:space="preserve">Used by</w:t>
            </w:r>
          </w:p>
        </w:tc>
        <w:tc>
          <w:tcPr>
            <w:tcW w:type="dxa" w:w="6400"/>
            <w:shd w:fill="1B4F72" w:val="clear"/>
            <w:tcMar>
              <w:top w:type="dxa" w:w="60"/>
              <w:left w:type="dxa" w:w="100"/>
              <w:bottom w:type="dxa" w:w="60"/>
              <w:right w:type="dxa" w:w="100"/>
            </w:tcMar>
            <w:vAlign w:val="center"/>
          </w:tcPr>
          <w:p>
            <w:r>
              <w:rPr>
                <w:b/>
                <w:bCs/>
                <w:color w:val="FFFFFF"/>
                <w:sz w:val="19"/>
                <w:szCs w:val="19"/>
              </w:rPr>
              <w:t xml:space="preserve">Legal basis / handling</w:t>
            </w:r>
          </w:p>
        </w:tc>
      </w:tr>
      <w:tr>
        <w:tc>
          <w:tcPr>
            <w:tcW w:type="dxa" w:w="2400"/>
            <w:shd w:fill="F4F6F7" w:val="clear"/>
            <w:tcMar>
              <w:top w:type="dxa" w:w="60"/>
              <w:left w:type="dxa" w:w="100"/>
              <w:bottom w:type="dxa" w:w="60"/>
              <w:right w:type="dxa" w:w="100"/>
            </w:tcMar>
            <w:vAlign w:val="center"/>
          </w:tcPr>
          <w:p>
            <w:r>
              <w:rPr>
                <w:sz w:val="19"/>
                <w:szCs w:val="19"/>
              </w:rPr>
              <w:t xml:space="preserve">Account Aggregator feed (balances, transactions)</w:t>
            </w:r>
          </w:p>
        </w:tc>
        <w:tc>
          <w:tcPr>
            <w:tcW w:type="dxa" w:w="1700"/>
            <w:shd w:fill="F4F6F7" w:val="clear"/>
            <w:tcMar>
              <w:top w:type="dxa" w:w="60"/>
              <w:left w:type="dxa" w:w="100"/>
              <w:bottom w:type="dxa" w:w="60"/>
              <w:right w:type="dxa" w:w="100"/>
            </w:tcMar>
            <w:vAlign w:val="center"/>
          </w:tcPr>
          <w:p>
            <w:r>
              <w:rPr>
                <w:sz w:val="19"/>
                <w:szCs w:val="19"/>
              </w:rPr>
              <w:t xml:space="preserve">Models 1, 2, 4, 6, 7, 8, 13</w:t>
            </w:r>
          </w:p>
        </w:tc>
        <w:tc>
          <w:tcPr>
            <w:tcW w:type="dxa" w:w="6400"/>
            <w:shd w:fill="F4F6F7" w:val="clear"/>
            <w:tcMar>
              <w:top w:type="dxa" w:w="60"/>
              <w:left w:type="dxa" w:w="100"/>
              <w:bottom w:type="dxa" w:w="60"/>
              <w:right w:type="dxa" w:w="100"/>
            </w:tcMar>
            <w:vAlign w:val="center"/>
          </w:tcPr>
          <w:p>
            <w:r>
              <w:rPr>
                <w:sz w:val="19"/>
                <w:szCs w:val="19"/>
              </w:rPr>
              <w:t xml:space="preserve">Collected via the RBI-regulated Account Aggregator framework, itself a consent architecture — the AA consent artifact is the legal basis; FINIX must not retain data beyond the consented purpose/duration specified in it. Consent-based processing under DPDP, not a FINIX consent flow layered on top.</w:t>
            </w:r>
          </w:p>
        </w:tc>
      </w:tr>
      <w:tr>
        <w:tc>
          <w:tcPr>
            <w:tcW w:type="dxa" w:w="2400"/>
            <w:shd w:fill="FFFFFF" w:val="clear"/>
            <w:tcMar>
              <w:top w:type="dxa" w:w="60"/>
              <w:left w:type="dxa" w:w="100"/>
              <w:bottom w:type="dxa" w:w="60"/>
              <w:right w:type="dxa" w:w="100"/>
            </w:tcMar>
            <w:vAlign w:val="center"/>
          </w:tcPr>
          <w:p>
            <w:r>
              <w:rPr>
                <w:sz w:val="19"/>
                <w:szCs w:val="19"/>
              </w:rPr>
              <w:t xml:space="preserve">Transaction event stream (real-time)</w:t>
            </w:r>
          </w:p>
        </w:tc>
        <w:tc>
          <w:tcPr>
            <w:tcW w:type="dxa" w:w="1700"/>
            <w:shd w:fill="FFFFFF" w:val="clear"/>
            <w:tcMar>
              <w:top w:type="dxa" w:w="60"/>
              <w:left w:type="dxa" w:w="100"/>
              <w:bottom w:type="dxa" w:w="60"/>
              <w:right w:type="dxa" w:w="100"/>
            </w:tcMar>
            <w:vAlign w:val="center"/>
          </w:tcPr>
          <w:p>
            <w:r>
              <w:rPr>
                <w:sz w:val="19"/>
                <w:szCs w:val="19"/>
              </w:rPr>
              <w:t xml:space="preserve">Model 1 primarily</w:t>
            </w:r>
          </w:p>
        </w:tc>
        <w:tc>
          <w:tcPr>
            <w:tcW w:type="dxa" w:w="6400"/>
            <w:shd w:fill="FFFFFF" w:val="clear"/>
            <w:tcMar>
              <w:top w:type="dxa" w:w="60"/>
              <w:left w:type="dxa" w:w="100"/>
              <w:bottom w:type="dxa" w:w="60"/>
              <w:right w:type="dxa" w:w="100"/>
            </w:tcMar>
            <w:vAlign w:val="center"/>
          </w:tcPr>
          <w:p>
            <w:r>
              <w:rPr>
                <w:sz w:val="19"/>
                <w:szCs w:val="19"/>
              </w:rPr>
              <w:t xml:space="preserve">Necessary for the core banking service being provided (payment execution), under DPDP's contract-performance provision, in addition to standing AA consent.</w:t>
            </w:r>
          </w:p>
        </w:tc>
      </w:tr>
      <w:tr>
        <w:tc>
          <w:tcPr>
            <w:tcW w:type="dxa" w:w="2400"/>
            <w:shd w:fill="F4F6F7" w:val="clear"/>
            <w:tcMar>
              <w:top w:type="dxa" w:w="60"/>
              <w:left w:type="dxa" w:w="100"/>
              <w:bottom w:type="dxa" w:w="60"/>
              <w:right w:type="dxa" w:w="100"/>
            </w:tcMar>
            <w:vAlign w:val="center"/>
          </w:tcPr>
          <w:p>
            <w:r>
              <w:rPr>
                <w:sz w:val="19"/>
                <w:szCs w:val="19"/>
              </w:rPr>
              <w:t xml:space="preserve">Credit card statement / utilisation data</w:t>
            </w:r>
          </w:p>
        </w:tc>
        <w:tc>
          <w:tcPr>
            <w:tcW w:type="dxa" w:w="1700"/>
            <w:shd w:fill="F4F6F7" w:val="clear"/>
            <w:tcMar>
              <w:top w:type="dxa" w:w="60"/>
              <w:left w:type="dxa" w:w="100"/>
              <w:bottom w:type="dxa" w:w="60"/>
              <w:right w:type="dxa" w:w="100"/>
            </w:tcMar>
            <w:vAlign w:val="center"/>
          </w:tcPr>
          <w:p>
            <w:r>
              <w:rPr>
                <w:sz w:val="19"/>
                <w:szCs w:val="19"/>
              </w:rPr>
              <w:t xml:space="preserve">Model 2 Pillar 2, Model 12</w:t>
            </w:r>
          </w:p>
        </w:tc>
        <w:tc>
          <w:tcPr>
            <w:tcW w:type="dxa" w:w="6400"/>
            <w:shd w:fill="F4F6F7" w:val="clear"/>
            <w:tcMar>
              <w:top w:type="dxa" w:w="60"/>
              <w:left w:type="dxa" w:w="100"/>
              <w:bottom w:type="dxa" w:w="60"/>
              <w:right w:type="dxa" w:w="100"/>
            </w:tcMar>
            <w:vAlign w:val="center"/>
          </w:tcPr>
          <w:p>
            <w:r>
              <w:rPr>
                <w:sz w:val="19"/>
                <w:szCs w:val="19"/>
              </w:rPr>
              <w:t xml:space="preserve">Via AA consent scope; must be named as its own data category in the consent artifact, distinct from savings-account transaction data.</w:t>
            </w:r>
          </w:p>
        </w:tc>
      </w:tr>
      <w:tr>
        <w:tc>
          <w:tcPr>
            <w:tcW w:type="dxa" w:w="2400"/>
            <w:shd w:fill="FFFFFF" w:val="clear"/>
            <w:tcMar>
              <w:top w:type="dxa" w:w="60"/>
              <w:left w:type="dxa" w:w="100"/>
              <w:bottom w:type="dxa" w:w="60"/>
              <w:right w:type="dxa" w:w="100"/>
            </w:tcMar>
            <w:vAlign w:val="center"/>
          </w:tcPr>
          <w:p>
            <w:r>
              <w:rPr>
                <w:sz w:val="19"/>
                <w:szCs w:val="19"/>
              </w:rPr>
              <w:t xml:space="preserve">Loan / EMI schedule data</w:t>
            </w:r>
          </w:p>
        </w:tc>
        <w:tc>
          <w:tcPr>
            <w:tcW w:type="dxa" w:w="1700"/>
            <w:shd w:fill="FFFFFF" w:val="clear"/>
            <w:tcMar>
              <w:top w:type="dxa" w:w="60"/>
              <w:left w:type="dxa" w:w="100"/>
              <w:bottom w:type="dxa" w:w="60"/>
              <w:right w:type="dxa" w:w="100"/>
            </w:tcMar>
            <w:vAlign w:val="center"/>
          </w:tcPr>
          <w:p>
            <w:r>
              <w:rPr>
                <w:sz w:val="19"/>
                <w:szCs w:val="19"/>
              </w:rPr>
              <w:t xml:space="preserve">Models 2, 12, 13</w:t>
            </w:r>
          </w:p>
        </w:tc>
        <w:tc>
          <w:tcPr>
            <w:tcW w:type="dxa" w:w="6400"/>
            <w:shd w:fill="FFFFFF" w:val="clear"/>
            <w:tcMar>
              <w:top w:type="dxa" w:w="60"/>
              <w:left w:type="dxa" w:w="100"/>
              <w:bottom w:type="dxa" w:w="60"/>
              <w:right w:type="dxa" w:w="100"/>
            </w:tcMar>
            <w:vAlign w:val="center"/>
          </w:tcPr>
          <w:p>
            <w:r>
              <w:rPr>
                <w:sz w:val="19"/>
                <w:szCs w:val="19"/>
              </w:rPr>
              <w:t xml:space="preserve">Via AA consent scope, same handling as above.</w:t>
            </w:r>
          </w:p>
        </w:tc>
      </w:tr>
      <w:tr>
        <w:tc>
          <w:tcPr>
            <w:tcW w:type="dxa" w:w="2400"/>
            <w:shd w:fill="F4F6F7" w:val="clear"/>
            <w:tcMar>
              <w:top w:type="dxa" w:w="60"/>
              <w:left w:type="dxa" w:w="100"/>
              <w:bottom w:type="dxa" w:w="60"/>
              <w:right w:type="dxa" w:w="100"/>
            </w:tcMar>
            <w:vAlign w:val="center"/>
          </w:tcPr>
          <w:p>
            <w:r>
              <w:rPr>
                <w:sz w:val="19"/>
                <w:szCs w:val="19"/>
              </w:rPr>
              <w:t xml:space="preserve">Portfolio holdings + NAV data</w:t>
            </w:r>
          </w:p>
        </w:tc>
        <w:tc>
          <w:tcPr>
            <w:tcW w:type="dxa" w:w="1700"/>
            <w:shd w:fill="F4F6F7" w:val="clear"/>
            <w:tcMar>
              <w:top w:type="dxa" w:w="60"/>
              <w:left w:type="dxa" w:w="100"/>
              <w:bottom w:type="dxa" w:w="60"/>
              <w:right w:type="dxa" w:w="100"/>
            </w:tcMar>
            <w:vAlign w:val="center"/>
          </w:tcPr>
          <w:p>
            <w:r>
              <w:rPr>
                <w:sz w:val="19"/>
                <w:szCs w:val="19"/>
              </w:rPr>
              <w:t xml:space="preserve">Models 2, 4, 6, 14, 15</w:t>
            </w:r>
          </w:p>
        </w:tc>
        <w:tc>
          <w:tcPr>
            <w:tcW w:type="dxa" w:w="6400"/>
            <w:shd w:fill="F4F6F7" w:val="clear"/>
            <w:tcMar>
              <w:top w:type="dxa" w:w="60"/>
              <w:left w:type="dxa" w:w="100"/>
              <w:bottom w:type="dxa" w:w="60"/>
              <w:right w:type="dxa" w:w="100"/>
            </w:tcMar>
            <w:vAlign w:val="center"/>
          </w:tcPr>
          <w:p>
            <w:r>
              <w:rPr>
                <w:sz w:val="19"/>
                <w:szCs w:val="19"/>
              </w:rPr>
              <w:t xml:space="preserve">Via AA consent scope (Investment AA category); underlying-holdings overlap data pulled from AMFI/fund-house sources is publicly disclosed data, not personal data, so DPDP does not apply to that specific sub-fetch.</w:t>
            </w:r>
          </w:p>
        </w:tc>
      </w:tr>
      <w:tr>
        <w:tc>
          <w:tcPr>
            <w:tcW w:type="dxa" w:w="2400"/>
            <w:shd w:fill="FFFFFF" w:val="clear"/>
            <w:tcMar>
              <w:top w:type="dxa" w:w="60"/>
              <w:left w:type="dxa" w:w="100"/>
              <w:bottom w:type="dxa" w:w="60"/>
              <w:right w:type="dxa" w:w="100"/>
            </w:tcMar>
            <w:vAlign w:val="center"/>
          </w:tcPr>
          <w:p>
            <w:r>
              <w:rPr>
                <w:sz w:val="19"/>
                <w:szCs w:val="19"/>
              </w:rPr>
              <w:t xml:space="preserve">Insurance policy data</w:t>
            </w:r>
          </w:p>
        </w:tc>
        <w:tc>
          <w:tcPr>
            <w:tcW w:type="dxa" w:w="1700"/>
            <w:shd w:fill="FFFFFF" w:val="clear"/>
            <w:tcMar>
              <w:top w:type="dxa" w:w="60"/>
              <w:left w:type="dxa" w:w="100"/>
              <w:bottom w:type="dxa" w:w="60"/>
              <w:right w:type="dxa" w:w="100"/>
            </w:tcMar>
            <w:vAlign w:val="center"/>
          </w:tcPr>
          <w:p>
            <w:r>
              <w:rPr>
                <w:sz w:val="19"/>
                <w:szCs w:val="19"/>
              </w:rPr>
              <w:t xml:space="preserve">Models 2, 7</w:t>
            </w:r>
          </w:p>
        </w:tc>
        <w:tc>
          <w:tcPr>
            <w:tcW w:type="dxa" w:w="6400"/>
            <w:shd w:fill="FFFFFF" w:val="clear"/>
            <w:tcMar>
              <w:top w:type="dxa" w:w="60"/>
              <w:left w:type="dxa" w:w="100"/>
              <w:bottom w:type="dxa" w:w="60"/>
              <w:right w:type="dxa" w:w="100"/>
            </w:tcMar>
            <w:vAlign w:val="center"/>
          </w:tcPr>
          <w:p>
            <w:r>
              <w:rPr>
                <w:sz w:val="19"/>
                <w:szCs w:val="19"/>
              </w:rPr>
              <w:t xml:space="preserve">Via AA consent scope (Insurance AA category) where available; explicit user upload/declaration consent where not yet AA-integrated.</w:t>
            </w:r>
          </w:p>
        </w:tc>
      </w:tr>
    </w:tbl>
    <w:p>
      <w:pPr>
        <w:pStyle w:val="Heading2"/>
        <w:spacing w:after="150" w:before="300"/>
      </w:pPr>
      <w:bookmarkStart w:name="bm_3_2_identity_and_profile_data_99" w:id="1"/>
      <w:r>
        <w:t xml:space="preserve">3.2 Identity and Profile Data</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6400"/>
      </w:tblGrid>
      <w:tr>
        <w:trPr>
          <w:tblHeader/>
        </w:trPr>
        <w:tc>
          <w:tcPr>
            <w:tcW w:type="dxa" w:w="2400"/>
            <w:shd w:fill="1B4F72" w:val="clear"/>
            <w:tcMar>
              <w:top w:type="dxa" w:w="60"/>
              <w:left w:type="dxa" w:w="100"/>
              <w:bottom w:type="dxa" w:w="60"/>
              <w:right w:type="dxa" w:w="100"/>
            </w:tcMar>
            <w:vAlign w:val="center"/>
          </w:tcPr>
          <w:p>
            <w:r>
              <w:rPr>
                <w:b/>
                <w:bCs/>
                <w:color w:val="FFFFFF"/>
                <w:sz w:val="19"/>
                <w:szCs w:val="19"/>
              </w:rPr>
              <w:t xml:space="preserve">Raw input</w:t>
            </w:r>
          </w:p>
        </w:tc>
        <w:tc>
          <w:tcPr>
            <w:tcW w:type="dxa" w:w="1700"/>
            <w:shd w:fill="1B4F72" w:val="clear"/>
            <w:tcMar>
              <w:top w:type="dxa" w:w="60"/>
              <w:left w:type="dxa" w:w="100"/>
              <w:bottom w:type="dxa" w:w="60"/>
              <w:right w:type="dxa" w:w="100"/>
            </w:tcMar>
            <w:vAlign w:val="center"/>
          </w:tcPr>
          <w:p>
            <w:r>
              <w:rPr>
                <w:b/>
                <w:bCs/>
                <w:color w:val="FFFFFF"/>
                <w:sz w:val="19"/>
                <w:szCs w:val="19"/>
              </w:rPr>
              <w:t xml:space="preserve">Used by</w:t>
            </w:r>
          </w:p>
        </w:tc>
        <w:tc>
          <w:tcPr>
            <w:tcW w:type="dxa" w:w="6400"/>
            <w:shd w:fill="1B4F72" w:val="clear"/>
            <w:tcMar>
              <w:top w:type="dxa" w:w="60"/>
              <w:left w:type="dxa" w:w="100"/>
              <w:bottom w:type="dxa" w:w="60"/>
              <w:right w:type="dxa" w:w="100"/>
            </w:tcMar>
            <w:vAlign w:val="center"/>
          </w:tcPr>
          <w:p>
            <w:r>
              <w:rPr>
                <w:b/>
                <w:bCs/>
                <w:color w:val="FFFFFF"/>
                <w:sz w:val="19"/>
                <w:szCs w:val="19"/>
              </w:rPr>
              <w:t xml:space="preserve">Legal basis / handling</w:t>
            </w:r>
          </w:p>
        </w:tc>
      </w:tr>
      <w:tr>
        <w:tc>
          <w:tcPr>
            <w:tcW w:type="dxa" w:w="2400"/>
            <w:shd w:fill="F4F6F7" w:val="clear"/>
            <w:tcMar>
              <w:top w:type="dxa" w:w="60"/>
              <w:left w:type="dxa" w:w="100"/>
              <w:bottom w:type="dxa" w:w="60"/>
              <w:right w:type="dxa" w:w="100"/>
            </w:tcMar>
            <w:vAlign w:val="center"/>
          </w:tcPr>
          <w:p>
            <w:r>
              <w:rPr>
                <w:sz w:val="19"/>
                <w:szCs w:val="19"/>
              </w:rPr>
              <w:t xml:space="preserve">eKYC / CKYC identity data</w:t>
            </w:r>
          </w:p>
        </w:tc>
        <w:tc>
          <w:tcPr>
            <w:tcW w:type="dxa" w:w="1700"/>
            <w:shd w:fill="F4F6F7" w:val="clear"/>
            <w:tcMar>
              <w:top w:type="dxa" w:w="60"/>
              <w:left w:type="dxa" w:w="100"/>
              <w:bottom w:type="dxa" w:w="60"/>
              <w:right w:type="dxa" w:w="100"/>
            </w:tcMar>
            <w:vAlign w:val="center"/>
          </w:tcPr>
          <w:p>
            <w:r>
              <w:rPr>
                <w:sz w:val="19"/>
                <w:szCs w:val="19"/>
              </w:rPr>
              <w:t xml:space="preserve">Onboarding, Models 2, 3</w:t>
            </w:r>
          </w:p>
        </w:tc>
        <w:tc>
          <w:tcPr>
            <w:tcW w:type="dxa" w:w="6400"/>
            <w:shd w:fill="F4F6F7" w:val="clear"/>
            <w:tcMar>
              <w:top w:type="dxa" w:w="60"/>
              <w:left w:type="dxa" w:w="100"/>
              <w:bottom w:type="dxa" w:w="60"/>
              <w:right w:type="dxa" w:w="100"/>
            </w:tcMar>
            <w:vAlign w:val="center"/>
          </w:tcPr>
          <w:p>
            <w:r>
              <w:rPr>
                <w:sz w:val="19"/>
                <w:szCs w:val="19"/>
              </w:rPr>
              <w:t xml:space="preserve">Collected under RBI's KYC Master Direction — a distinct regulatory basis, not purely DPDP consent. Aadhaar-linked eKYC additionally falls under the Aadhaar Act's own consent regime, reconciled with (not superseded by) DPDP. UID hashed, PAN stored last-4-only wherever the full value isn't operationally required.</w:t>
            </w:r>
          </w:p>
        </w:tc>
      </w:tr>
      <w:tr>
        <w:tc>
          <w:tcPr>
            <w:tcW w:type="dxa" w:w="2400"/>
            <w:shd w:fill="FFFFFF" w:val="clear"/>
            <w:tcMar>
              <w:top w:type="dxa" w:w="60"/>
              <w:left w:type="dxa" w:w="100"/>
              <w:bottom w:type="dxa" w:w="60"/>
              <w:right w:type="dxa" w:w="100"/>
            </w:tcMar>
            <w:vAlign w:val="center"/>
          </w:tcPr>
          <w:p>
            <w:r>
              <w:rPr>
                <w:sz w:val="19"/>
                <w:szCs w:val="19"/>
              </w:rPr>
              <w:t xml:space="preserve">User-declared profile (dependents, city, income type, employment)</w:t>
            </w:r>
          </w:p>
        </w:tc>
        <w:tc>
          <w:tcPr>
            <w:tcW w:type="dxa" w:w="1700"/>
            <w:shd w:fill="FFFFFF" w:val="clear"/>
            <w:tcMar>
              <w:top w:type="dxa" w:w="60"/>
              <w:left w:type="dxa" w:w="100"/>
              <w:bottom w:type="dxa" w:w="60"/>
              <w:right w:type="dxa" w:w="100"/>
            </w:tcMar>
            <w:vAlign w:val="center"/>
          </w:tcPr>
          <w:p>
            <w:r>
              <w:rPr>
                <w:sz w:val="19"/>
                <w:szCs w:val="19"/>
              </w:rPr>
              <w:t xml:space="preserve">Models 2, 6, 7</w:t>
            </w:r>
          </w:p>
        </w:tc>
        <w:tc>
          <w:tcPr>
            <w:tcW w:type="dxa" w:w="6400"/>
            <w:shd w:fill="FFFFFF" w:val="clear"/>
            <w:tcMar>
              <w:top w:type="dxa" w:w="60"/>
              <w:left w:type="dxa" w:w="100"/>
              <w:bottom w:type="dxa" w:w="60"/>
              <w:right w:type="dxa" w:w="100"/>
            </w:tcMar>
            <w:vAlign w:val="center"/>
          </w:tcPr>
          <w:p>
            <w:r>
              <w:rPr>
                <w:sz w:val="19"/>
                <w:szCs w:val="19"/>
              </w:rPr>
              <w:t xml:space="preserve">Explicit consent at onboarding/profile-setup with a DPDP-compliant notice stating the specific purpose (needs-based insurance/liquidity calculation).</w:t>
            </w:r>
          </w:p>
        </w:tc>
      </w:tr>
      <w:tr>
        <w:tc>
          <w:tcPr>
            <w:tcW w:type="dxa" w:w="2400"/>
            <w:shd w:fill="F4F6F7" w:val="clear"/>
            <w:tcMar>
              <w:top w:type="dxa" w:w="60"/>
              <w:left w:type="dxa" w:w="100"/>
              <w:bottom w:type="dxa" w:w="60"/>
              <w:right w:type="dxa" w:w="100"/>
            </w:tcMar>
            <w:vAlign w:val="center"/>
          </w:tcPr>
          <w:p>
            <w:r>
              <w:rPr>
                <w:sz w:val="19"/>
                <w:szCs w:val="19"/>
              </w:rPr>
              <w:t xml:space="preserve">Declared shock/emergency tag (medical, festival)</w:t>
            </w:r>
          </w:p>
        </w:tc>
        <w:tc>
          <w:tcPr>
            <w:tcW w:type="dxa" w:w="1700"/>
            <w:shd w:fill="F4F6F7" w:val="clear"/>
            <w:tcMar>
              <w:top w:type="dxa" w:w="60"/>
              <w:left w:type="dxa" w:w="100"/>
              <w:bottom w:type="dxa" w:w="60"/>
              <w:right w:type="dxa" w:w="100"/>
            </w:tcMar>
            <w:vAlign w:val="center"/>
          </w:tcPr>
          <w:p>
            <w:r>
              <w:rPr>
                <w:sz w:val="19"/>
                <w:szCs w:val="19"/>
              </w:rPr>
              <w:t xml:space="preserve">Model 2</w:t>
            </w:r>
          </w:p>
        </w:tc>
        <w:tc>
          <w:tcPr>
            <w:tcW w:type="dxa" w:w="6400"/>
            <w:shd w:fill="F4F6F7" w:val="clear"/>
            <w:tcMar>
              <w:top w:type="dxa" w:w="60"/>
              <w:left w:type="dxa" w:w="100"/>
              <w:bottom w:type="dxa" w:w="60"/>
              <w:right w:type="dxa" w:w="100"/>
            </w:tcMar>
            <w:vAlign w:val="center"/>
          </w:tcPr>
          <w:p>
            <w:r>
              <w:rPr>
                <w:sz w:val="19"/>
                <w:szCs w:val="19"/>
              </w:rPr>
              <w:t xml:space="preserve">Explicit, optional, user-initiated tagging. May reveal health-adjacent information and should be handled with health-data-level care even though DPDP 2023 has no distinct sensitive-personal-data sub-category; only the shock flag itself, not the underlying reason, is needed for the math.</w:t>
            </w:r>
          </w:p>
        </w:tc>
      </w:tr>
      <w:tr>
        <w:tc>
          <w:tcPr>
            <w:tcW w:type="dxa" w:w="2400"/>
            <w:shd w:fill="FFFFFF" w:val="clear"/>
            <w:tcMar>
              <w:top w:type="dxa" w:w="60"/>
              <w:left w:type="dxa" w:w="100"/>
              <w:bottom w:type="dxa" w:w="60"/>
              <w:right w:type="dxa" w:w="100"/>
            </w:tcMar>
            <w:vAlign w:val="center"/>
          </w:tcPr>
          <w:p>
            <w:r>
              <w:rPr>
                <w:sz w:val="19"/>
                <w:szCs w:val="19"/>
              </w:rPr>
              <w:t xml:space="preserve">Goal definitions (user-set)</w:t>
            </w:r>
          </w:p>
        </w:tc>
        <w:tc>
          <w:tcPr>
            <w:tcW w:type="dxa" w:w="1700"/>
            <w:shd w:fill="FFFFFF" w:val="clear"/>
            <w:tcMar>
              <w:top w:type="dxa" w:w="60"/>
              <w:left w:type="dxa" w:w="100"/>
              <w:bottom w:type="dxa" w:w="60"/>
              <w:right w:type="dxa" w:w="100"/>
            </w:tcMar>
            <w:vAlign w:val="center"/>
          </w:tcPr>
          <w:p>
            <w:r>
              <w:rPr>
                <w:sz w:val="19"/>
                <w:szCs w:val="19"/>
              </w:rPr>
              <w:t xml:space="preserve">Models 2, 6, 14</w:t>
            </w:r>
          </w:p>
        </w:tc>
        <w:tc>
          <w:tcPr>
            <w:tcW w:type="dxa" w:w="6400"/>
            <w:shd w:fill="FFFFFF" w:val="clear"/>
            <w:tcMar>
              <w:top w:type="dxa" w:w="60"/>
              <w:left w:type="dxa" w:w="100"/>
              <w:bottom w:type="dxa" w:w="60"/>
              <w:right w:type="dxa" w:w="100"/>
            </w:tcMar>
            <w:vAlign w:val="center"/>
          </w:tcPr>
          <w:p>
            <w:r>
              <w:rPr>
                <w:sz w:val="19"/>
                <w:szCs w:val="19"/>
              </w:rPr>
              <w:t xml:space="preserve">Directly provided by user for the service requested — necessary for contract performance, in addition to general consent.</w:t>
            </w:r>
          </w:p>
        </w:tc>
      </w:tr>
    </w:tbl>
    <w:p>
      <w:pPr>
        <w:pStyle w:val="Heading2"/>
        <w:spacing w:after="150" w:before="300"/>
      </w:pPr>
      <w:bookmarkStart w:name="bm_3_3_device_location_and_biometric_signal_100" w:id="1"/>
      <w:r>
        <w:t xml:space="preserve">3.3 Device, Location, and Biometric Signals</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6400"/>
      </w:tblGrid>
      <w:tr>
        <w:trPr>
          <w:tblHeader/>
        </w:trPr>
        <w:tc>
          <w:tcPr>
            <w:tcW w:type="dxa" w:w="2400"/>
            <w:shd w:fill="1B4F72" w:val="clear"/>
            <w:tcMar>
              <w:top w:type="dxa" w:w="60"/>
              <w:left w:type="dxa" w:w="100"/>
              <w:bottom w:type="dxa" w:w="60"/>
              <w:right w:type="dxa" w:w="100"/>
            </w:tcMar>
            <w:vAlign w:val="center"/>
          </w:tcPr>
          <w:p>
            <w:r>
              <w:rPr>
                <w:b/>
                <w:bCs/>
                <w:color w:val="FFFFFF"/>
                <w:sz w:val="19"/>
                <w:szCs w:val="19"/>
              </w:rPr>
              <w:t xml:space="preserve">Raw input</w:t>
            </w:r>
          </w:p>
        </w:tc>
        <w:tc>
          <w:tcPr>
            <w:tcW w:type="dxa" w:w="1700"/>
            <w:shd w:fill="1B4F72" w:val="clear"/>
            <w:tcMar>
              <w:top w:type="dxa" w:w="60"/>
              <w:left w:type="dxa" w:w="100"/>
              <w:bottom w:type="dxa" w:w="60"/>
              <w:right w:type="dxa" w:w="100"/>
            </w:tcMar>
            <w:vAlign w:val="center"/>
          </w:tcPr>
          <w:p>
            <w:r>
              <w:rPr>
                <w:b/>
                <w:bCs/>
                <w:color w:val="FFFFFF"/>
                <w:sz w:val="19"/>
                <w:szCs w:val="19"/>
              </w:rPr>
              <w:t xml:space="preserve">Used by</w:t>
            </w:r>
          </w:p>
        </w:tc>
        <w:tc>
          <w:tcPr>
            <w:tcW w:type="dxa" w:w="6400"/>
            <w:shd w:fill="1B4F72" w:val="clear"/>
            <w:tcMar>
              <w:top w:type="dxa" w:w="60"/>
              <w:left w:type="dxa" w:w="100"/>
              <w:bottom w:type="dxa" w:w="60"/>
              <w:right w:type="dxa" w:w="100"/>
            </w:tcMar>
            <w:vAlign w:val="center"/>
          </w:tcPr>
          <w:p>
            <w:r>
              <w:rPr>
                <w:b/>
                <w:bCs/>
                <w:color w:val="FFFFFF"/>
                <w:sz w:val="19"/>
                <w:szCs w:val="19"/>
              </w:rPr>
              <w:t xml:space="preserve">Legal basis / handling</w:t>
            </w:r>
          </w:p>
        </w:tc>
      </w:tr>
      <w:tr>
        <w:tc>
          <w:tcPr>
            <w:tcW w:type="dxa" w:w="2400"/>
            <w:shd w:fill="F4F6F7" w:val="clear"/>
            <w:tcMar>
              <w:top w:type="dxa" w:w="60"/>
              <w:left w:type="dxa" w:w="100"/>
              <w:bottom w:type="dxa" w:w="60"/>
              <w:right w:type="dxa" w:w="100"/>
            </w:tcMar>
            <w:vAlign w:val="center"/>
          </w:tcPr>
          <w:p>
            <w:r>
              <w:rPr>
                <w:sz w:val="19"/>
                <w:szCs w:val="19"/>
              </w:rPr>
              <w:t xml:space="preserve">Keystroke / swipe / tap / tilt telemetry</w:t>
            </w:r>
          </w:p>
        </w:tc>
        <w:tc>
          <w:tcPr>
            <w:tcW w:type="dxa" w:w="1700"/>
            <w:shd w:fill="F4F6F7" w:val="clear"/>
            <w:tcMar>
              <w:top w:type="dxa" w:w="60"/>
              <w:left w:type="dxa" w:w="100"/>
              <w:bottom w:type="dxa" w:w="60"/>
              <w:right w:type="dxa" w:w="100"/>
            </w:tcMar>
            <w:vAlign w:val="center"/>
          </w:tcPr>
          <w:p>
            <w:r>
              <w:rPr>
                <w:sz w:val="19"/>
                <w:szCs w:val="19"/>
              </w:rPr>
              <w:t xml:space="preserve">Model 9</w:t>
            </w:r>
          </w:p>
        </w:tc>
        <w:tc>
          <w:tcPr>
            <w:tcW w:type="dxa" w:w="6400"/>
            <w:shd w:fill="F4F6F7" w:val="clear"/>
            <w:tcMar>
              <w:top w:type="dxa" w:w="60"/>
              <w:left w:type="dxa" w:w="100"/>
              <w:bottom w:type="dxa" w:w="60"/>
              <w:right w:type="dxa" w:w="100"/>
            </w:tcMar>
            <w:vAlign w:val="center"/>
          </w:tcPr>
          <w:p>
            <w:r>
              <w:rPr>
                <w:sz w:val="19"/>
                <w:szCs w:val="19"/>
              </w:rPr>
              <w:t xml:space="preserve">Must never leave the device in raw form — the model's own architectural requirement and the most defensible DPDP posture available. Requires its own explicit runtime permission, separate from general app-usage consent.</w:t>
            </w:r>
          </w:p>
        </w:tc>
      </w:tr>
      <w:tr>
        <w:tc>
          <w:tcPr>
            <w:tcW w:type="dxa" w:w="2400"/>
            <w:shd w:fill="FFFFFF" w:val="clear"/>
            <w:tcMar>
              <w:top w:type="dxa" w:w="60"/>
              <w:left w:type="dxa" w:w="100"/>
              <w:bottom w:type="dxa" w:w="60"/>
              <w:right w:type="dxa" w:w="100"/>
            </w:tcMar>
            <w:vAlign w:val="center"/>
          </w:tcPr>
          <w:p>
            <w:r>
              <w:rPr>
                <w:sz w:val="19"/>
                <w:szCs w:val="19"/>
              </w:rPr>
              <w:t xml:space="preserve">Device GPS + prior location history</w:t>
            </w:r>
          </w:p>
        </w:tc>
        <w:tc>
          <w:tcPr>
            <w:tcW w:type="dxa" w:w="1700"/>
            <w:shd w:fill="FFFFFF" w:val="clear"/>
            <w:tcMar>
              <w:top w:type="dxa" w:w="60"/>
              <w:left w:type="dxa" w:w="100"/>
              <w:bottom w:type="dxa" w:w="60"/>
              <w:right w:type="dxa" w:w="100"/>
            </w:tcMar>
            <w:vAlign w:val="center"/>
          </w:tcPr>
          <w:p>
            <w:r>
              <w:rPr>
                <w:sz w:val="19"/>
                <w:szCs w:val="19"/>
              </w:rPr>
              <w:t xml:space="preserve">Model 1 (geo-velocity)</w:t>
            </w:r>
          </w:p>
        </w:tc>
        <w:tc>
          <w:tcPr>
            <w:tcW w:type="dxa" w:w="6400"/>
            <w:shd w:fill="FFFFFF" w:val="clear"/>
            <w:tcMar>
              <w:top w:type="dxa" w:w="60"/>
              <w:left w:type="dxa" w:w="100"/>
              <w:bottom w:type="dxa" w:w="60"/>
              <w:right w:type="dxa" w:w="100"/>
            </w:tcMar>
            <w:vAlign w:val="center"/>
          </w:tcPr>
          <w:p>
            <w:r>
              <w:rPr>
                <w:sz w:val="19"/>
                <w:szCs w:val="19"/>
              </w:rPr>
              <w:t xml:space="preserve">Requires explicit, standalone location-permission consent (OS-level and DPDP-level), purpose-limited to fraud detection specifically.</w:t>
            </w:r>
          </w:p>
        </w:tc>
      </w:tr>
      <w:tr>
        <w:tc>
          <w:tcPr>
            <w:tcW w:type="dxa" w:w="2400"/>
            <w:shd w:fill="F4F6F7" w:val="clear"/>
            <w:tcMar>
              <w:top w:type="dxa" w:w="60"/>
              <w:left w:type="dxa" w:w="100"/>
              <w:bottom w:type="dxa" w:w="60"/>
              <w:right w:type="dxa" w:w="100"/>
            </w:tcMar>
            <w:vAlign w:val="center"/>
          </w:tcPr>
          <w:p>
            <w:r>
              <w:rPr>
                <w:sz w:val="19"/>
                <w:szCs w:val="19"/>
              </w:rPr>
              <w:t xml:space="preserve">Device / session fingerprint</w:t>
            </w:r>
          </w:p>
        </w:tc>
        <w:tc>
          <w:tcPr>
            <w:tcW w:type="dxa" w:w="1700"/>
            <w:shd w:fill="F4F6F7" w:val="clear"/>
            <w:tcMar>
              <w:top w:type="dxa" w:w="60"/>
              <w:left w:type="dxa" w:w="100"/>
              <w:bottom w:type="dxa" w:w="60"/>
              <w:right w:type="dxa" w:w="100"/>
            </w:tcMar>
            <w:vAlign w:val="center"/>
          </w:tcPr>
          <w:p>
            <w:r>
              <w:rPr>
                <w:sz w:val="19"/>
                <w:szCs w:val="19"/>
              </w:rPr>
              <w:t xml:space="preserve">Models 1, 9</w:t>
            </w:r>
          </w:p>
        </w:tc>
        <w:tc>
          <w:tcPr>
            <w:tcW w:type="dxa" w:w="6400"/>
            <w:shd w:fill="F4F6F7" w:val="clear"/>
            <w:tcMar>
              <w:top w:type="dxa" w:w="60"/>
              <w:left w:type="dxa" w:w="100"/>
              <w:bottom w:type="dxa" w:w="60"/>
              <w:right w:type="dxa" w:w="100"/>
            </w:tcMar>
            <w:vAlign w:val="center"/>
          </w:tcPr>
          <w:p>
            <w:r>
              <w:rPr>
                <w:sz w:val="19"/>
                <w:szCs w:val="19"/>
              </w:rPr>
              <w:t xml:space="preserve">Necessary for the security service being provided — legitimate-use processing for the specified purpose the user engaged the service for.</w:t>
            </w:r>
          </w:p>
        </w:tc>
      </w:tr>
      <w:tr>
        <w:tc>
          <w:tcPr>
            <w:tcW w:type="dxa" w:w="2400"/>
            <w:shd w:fill="FFFFFF" w:val="clear"/>
            <w:tcMar>
              <w:top w:type="dxa" w:w="60"/>
              <w:left w:type="dxa" w:w="100"/>
              <w:bottom w:type="dxa" w:w="60"/>
              <w:right w:type="dxa" w:w="100"/>
            </w:tcMar>
            <w:vAlign w:val="center"/>
          </w:tcPr>
          <w:p>
            <w:r>
              <w:rPr>
                <w:sz w:val="19"/>
                <w:szCs w:val="19"/>
              </w:rPr>
              <w:t xml:space="preserve">SMS content</w:t>
            </w:r>
          </w:p>
        </w:tc>
        <w:tc>
          <w:tcPr>
            <w:tcW w:type="dxa" w:w="1700"/>
            <w:shd w:fill="FFFFFF" w:val="clear"/>
            <w:tcMar>
              <w:top w:type="dxa" w:w="60"/>
              <w:left w:type="dxa" w:w="100"/>
              <w:bottom w:type="dxa" w:w="60"/>
              <w:right w:type="dxa" w:w="100"/>
            </w:tcMar>
            <w:vAlign w:val="center"/>
          </w:tcPr>
          <w:p>
            <w:r>
              <w:rPr>
                <w:sz w:val="19"/>
                <w:szCs w:val="19"/>
              </w:rPr>
              <w:t xml:space="preserve">Model 10</w:t>
            </w:r>
          </w:p>
        </w:tc>
        <w:tc>
          <w:tcPr>
            <w:tcW w:type="dxa" w:w="6400"/>
            <w:shd w:fill="FFFFFF" w:val="clear"/>
            <w:tcMar>
              <w:top w:type="dxa" w:w="60"/>
              <w:left w:type="dxa" w:w="100"/>
              <w:bottom w:type="dxa" w:w="60"/>
              <w:right w:type="dxa" w:w="100"/>
            </w:tcMar>
            <w:vAlign w:val="center"/>
          </w:tcPr>
          <w:p>
            <w:r>
              <w:rPr>
                <w:sz w:val="19"/>
                <w:szCs w:val="19"/>
              </w:rPr>
              <w:t xml:space="preserve">Requires explicit, standalone SMS-read runtime permission. Must be scoped on-device to financial-institution-relevant patterns only; anything else discarded immediately, never transmitted or retained.</w:t>
            </w:r>
          </w:p>
        </w:tc>
      </w:tr>
    </w:tbl>
    <w:p>
      <w:pPr>
        <w:pStyle w:val="Heading2"/>
        <w:spacing w:after="150" w:before="300"/>
      </w:pPr>
      <w:bookmarkStart w:name="bm_3_4_market_news_and_graph_data_101" w:id="1"/>
      <w:r>
        <w:t xml:space="preserve">3.4 Market, News, and Graph Data</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6400"/>
      </w:tblGrid>
      <w:tr>
        <w:trPr>
          <w:tblHeader/>
        </w:trPr>
        <w:tc>
          <w:tcPr>
            <w:tcW w:type="dxa" w:w="2400"/>
            <w:shd w:fill="1B4F72" w:val="clear"/>
            <w:tcMar>
              <w:top w:type="dxa" w:w="60"/>
              <w:left w:type="dxa" w:w="100"/>
              <w:bottom w:type="dxa" w:w="60"/>
              <w:right w:type="dxa" w:w="100"/>
            </w:tcMar>
            <w:vAlign w:val="center"/>
          </w:tcPr>
          <w:p>
            <w:r>
              <w:rPr>
                <w:b/>
                <w:bCs/>
                <w:color w:val="FFFFFF"/>
                <w:sz w:val="19"/>
                <w:szCs w:val="19"/>
              </w:rPr>
              <w:t xml:space="preserve">Raw input</w:t>
            </w:r>
          </w:p>
        </w:tc>
        <w:tc>
          <w:tcPr>
            <w:tcW w:type="dxa" w:w="1700"/>
            <w:shd w:fill="1B4F72" w:val="clear"/>
            <w:tcMar>
              <w:top w:type="dxa" w:w="60"/>
              <w:left w:type="dxa" w:w="100"/>
              <w:bottom w:type="dxa" w:w="60"/>
              <w:right w:type="dxa" w:w="100"/>
            </w:tcMar>
            <w:vAlign w:val="center"/>
          </w:tcPr>
          <w:p>
            <w:r>
              <w:rPr>
                <w:b/>
                <w:bCs/>
                <w:color w:val="FFFFFF"/>
                <w:sz w:val="19"/>
                <w:szCs w:val="19"/>
              </w:rPr>
              <w:t xml:space="preserve">Used by</w:t>
            </w:r>
          </w:p>
        </w:tc>
        <w:tc>
          <w:tcPr>
            <w:tcW w:type="dxa" w:w="6400"/>
            <w:shd w:fill="1B4F72" w:val="clear"/>
            <w:tcMar>
              <w:top w:type="dxa" w:w="60"/>
              <w:left w:type="dxa" w:w="100"/>
              <w:bottom w:type="dxa" w:w="60"/>
              <w:right w:type="dxa" w:w="100"/>
            </w:tcMar>
            <w:vAlign w:val="center"/>
          </w:tcPr>
          <w:p>
            <w:r>
              <w:rPr>
                <w:b/>
                <w:bCs/>
                <w:color w:val="FFFFFF"/>
                <w:sz w:val="19"/>
                <w:szCs w:val="19"/>
              </w:rPr>
              <w:t xml:space="preserve">Legal basis / handling</w:t>
            </w:r>
          </w:p>
        </w:tc>
      </w:tr>
      <w:tr>
        <w:tc>
          <w:tcPr>
            <w:tcW w:type="dxa" w:w="2400"/>
            <w:shd w:fill="F4F6F7" w:val="clear"/>
            <w:tcMar>
              <w:top w:type="dxa" w:w="60"/>
              <w:left w:type="dxa" w:w="100"/>
              <w:bottom w:type="dxa" w:w="60"/>
              <w:right w:type="dxa" w:w="100"/>
            </w:tcMar>
            <w:vAlign w:val="center"/>
          </w:tcPr>
          <w:p>
            <w:r>
              <w:rPr>
                <w:sz w:val="19"/>
                <w:szCs w:val="19"/>
              </w:rPr>
              <w:t xml:space="preserve">Market index / realised volatility feed</w:t>
            </w:r>
          </w:p>
        </w:tc>
        <w:tc>
          <w:tcPr>
            <w:tcW w:type="dxa" w:w="1700"/>
            <w:shd w:fill="F4F6F7" w:val="clear"/>
            <w:tcMar>
              <w:top w:type="dxa" w:w="60"/>
              <w:left w:type="dxa" w:w="100"/>
              <w:bottom w:type="dxa" w:w="60"/>
              <w:right w:type="dxa" w:w="100"/>
            </w:tcMar>
            <w:vAlign w:val="center"/>
          </w:tcPr>
          <w:p>
            <w:r>
              <w:rPr>
                <w:sz w:val="19"/>
                <w:szCs w:val="19"/>
              </w:rPr>
              <w:t xml:space="preserve">Models 1, 6, 14, 15</w:t>
            </w:r>
          </w:p>
        </w:tc>
        <w:tc>
          <w:tcPr>
            <w:tcW w:type="dxa" w:w="6400"/>
            <w:shd w:fill="F4F6F7" w:val="clear"/>
            <w:tcMar>
              <w:top w:type="dxa" w:w="60"/>
              <w:left w:type="dxa" w:w="100"/>
              <w:bottom w:type="dxa" w:w="60"/>
              <w:right w:type="dxa" w:w="100"/>
            </w:tcMar>
            <w:vAlign w:val="center"/>
          </w:tcPr>
          <w:p>
            <w:r>
              <w:rPr>
                <w:sz w:val="19"/>
                <w:szCs w:val="19"/>
              </w:rPr>
              <w:t xml:space="preserve">Public market data, not personal data — DPDP does not apply; governed by standard commercial data-licensing terms with the market-data provider.</w:t>
            </w:r>
          </w:p>
        </w:tc>
      </w:tr>
      <w:tr>
        <w:tc>
          <w:tcPr>
            <w:tcW w:type="dxa" w:w="2400"/>
            <w:shd w:fill="FFFFFF" w:val="clear"/>
            <w:tcMar>
              <w:top w:type="dxa" w:w="60"/>
              <w:left w:type="dxa" w:w="100"/>
              <w:bottom w:type="dxa" w:w="60"/>
              <w:right w:type="dxa" w:w="100"/>
            </w:tcMar>
            <w:vAlign w:val="center"/>
          </w:tcPr>
          <w:p>
            <w:r>
              <w:rPr>
                <w:sz w:val="19"/>
                <w:szCs w:val="19"/>
              </w:rPr>
              <w:t xml:space="preserve">Hashed recipient graph edges (Mule GNN)</w:t>
            </w:r>
          </w:p>
        </w:tc>
        <w:tc>
          <w:tcPr>
            <w:tcW w:type="dxa" w:w="1700"/>
            <w:shd w:fill="FFFFFF" w:val="clear"/>
            <w:tcMar>
              <w:top w:type="dxa" w:w="60"/>
              <w:left w:type="dxa" w:w="100"/>
              <w:bottom w:type="dxa" w:w="60"/>
              <w:right w:type="dxa" w:w="100"/>
            </w:tcMar>
            <w:vAlign w:val="center"/>
          </w:tcPr>
          <w:p>
            <w:r>
              <w:rPr>
                <w:sz w:val="19"/>
                <w:szCs w:val="19"/>
              </w:rPr>
              <w:t xml:space="preserve">Model 5</w:t>
            </w:r>
          </w:p>
        </w:tc>
        <w:tc>
          <w:tcPr>
            <w:tcW w:type="dxa" w:w="6400"/>
            <w:shd w:fill="FFFFFF" w:val="clear"/>
            <w:tcMar>
              <w:top w:type="dxa" w:w="60"/>
              <w:left w:type="dxa" w:w="100"/>
              <w:bottom w:type="dxa" w:w="60"/>
              <w:right w:type="dxa" w:w="100"/>
            </w:tcMar>
            <w:vAlign w:val="center"/>
          </w:tcPr>
          <w:p>
            <w:r>
              <w:rPr>
                <w:sz w:val="19"/>
                <w:szCs w:val="19"/>
              </w:rPr>
              <w:t xml:space="preserve">Nodes are sha256-hashed specifically so the graph does not directly identify a real account without a separate, access-logged resolver service — a deliberate data-minimisation design, preserved even as Stage 2 is built. Any future resolver mapping a hash back to a real accountID for compliance/AML action must be its own distinct, audited, access-controlled system.</w:t>
            </w:r>
          </w:p>
        </w:tc>
      </w:tr>
      <w:tr>
        <w:tc>
          <w:tcPr>
            <w:tcW w:type="dxa" w:w="2400"/>
            <w:shd w:fill="F4F6F7" w:val="clear"/>
            <w:tcMar>
              <w:top w:type="dxa" w:w="60"/>
              <w:left w:type="dxa" w:w="100"/>
              <w:bottom w:type="dxa" w:w="60"/>
              <w:right w:type="dxa" w:w="100"/>
            </w:tcMar>
            <w:vAlign w:val="center"/>
          </w:tcPr>
          <w:p>
            <w:r>
              <w:rPr>
                <w:sz w:val="19"/>
                <w:szCs w:val="19"/>
              </w:rPr>
              <w:t xml:space="preserve">24hr transaction ledger, same recipient (StructuringFlag)</w:t>
            </w:r>
          </w:p>
        </w:tc>
        <w:tc>
          <w:tcPr>
            <w:tcW w:type="dxa" w:w="1700"/>
            <w:shd w:fill="F4F6F7" w:val="clear"/>
            <w:tcMar>
              <w:top w:type="dxa" w:w="60"/>
              <w:left w:type="dxa" w:w="100"/>
              <w:bottom w:type="dxa" w:w="60"/>
              <w:right w:type="dxa" w:w="100"/>
            </w:tcMar>
            <w:vAlign w:val="center"/>
          </w:tcPr>
          <w:p>
            <w:r>
              <w:rPr>
                <w:sz w:val="19"/>
                <w:szCs w:val="19"/>
              </w:rPr>
              <w:t xml:space="preserve">Models 1, 5</w:t>
            </w:r>
          </w:p>
        </w:tc>
        <w:tc>
          <w:tcPr>
            <w:tcW w:type="dxa" w:w="6400"/>
            <w:shd w:fill="F4F6F7" w:val="clear"/>
            <w:tcMar>
              <w:top w:type="dxa" w:w="60"/>
              <w:left w:type="dxa" w:w="100"/>
              <w:bottom w:type="dxa" w:w="60"/>
              <w:right w:type="dxa" w:w="100"/>
            </w:tcMar>
            <w:vAlign w:val="center"/>
          </w:tcPr>
          <w:p>
            <w:r>
              <w:rPr>
                <w:sz w:val="19"/>
                <w:szCs w:val="19"/>
              </w:rPr>
              <w:t xml:space="preserve">Same legal basis as core transaction data (3.1) — a derived view over data already lawfully held, not new collection.</w:t>
            </w:r>
          </w:p>
        </w:tc>
      </w:tr>
    </w:tbl>
    <w:p>
      <w:pPr>
        <w:pStyle w:val="Heading2"/>
        <w:spacing w:after="150" w:before="300"/>
      </w:pPr>
      <w:bookmarkStart w:name="bm_3_5_what_cannot_be_taken_as_input_102" w:id="1"/>
      <w:r>
        <w:t xml:space="preserve">3.5 What CANNOT Be Taken as Input</w:t>
      </w:r>
      <w:bookmarkEnd w:id="1"/>
    </w:p>
    <w:p>
      <w:pPr>
        <w:pStyle w:val="ListParagraph"/>
        <w:numPr>
          <w:ilvl w:val="0"/>
          <w:numId w:val="1"/>
        </w:numPr>
        <w:spacing w:after="80"/>
      </w:pPr>
      <w:r>
        <w:t xml:space="preserve">Full Aadhaar number in plaintext, retained beyond the eKYC verification moment — only the hashed UID is retained afterward.</w:t>
      </w:r>
    </w:p>
    <w:p>
      <w:pPr>
        <w:pStyle w:val="ListParagraph"/>
        <w:numPr>
          <w:ilvl w:val="0"/>
          <w:numId w:val="1"/>
        </w:numPr>
        <w:spacing w:after="80"/>
      </w:pPr>
      <w:r>
        <w:t xml:space="preserve">Raw SMS content for messages not matching a financial-institution pattern — discarded on-device before reaching any model; the app must not become a general SMS archive.</w:t>
      </w:r>
    </w:p>
    <w:p>
      <w:pPr>
        <w:pStyle w:val="ListParagraph"/>
        <w:numPr>
          <w:ilvl w:val="0"/>
          <w:numId w:val="1"/>
        </w:numPr>
        <w:spacing w:after="80"/>
      </w:pPr>
      <w:r>
        <w:t xml:space="preserve">Social media data, browsing history, or any data source outside what is mapped in Section 3.1–3.4 — none of the 15 models in this document require anything beyond these, and adding any new source needs its own fresh compliance review first.</w:t>
      </w:r>
    </w:p>
    <w:p>
      <w:pPr>
        <w:pStyle w:val="ListParagraph"/>
        <w:numPr>
          <w:ilvl w:val="0"/>
          <w:numId w:val="1"/>
        </w:numPr>
        <w:spacing w:after="80"/>
      </w:pPr>
      <w:r>
        <w:t xml:space="preserve">Precise health/medical diagnosis detail behind an IsShockMonth medical tag — only the fact that a shock occurred is needed for Model 2's math; a user-volunteered free-text reason should not be required and should be stored with extra care if provided.</w:t>
      </w:r>
    </w:p>
    <w:p>
      <w:pPr>
        <w:pStyle w:val="ListParagraph"/>
        <w:numPr>
          <w:ilvl w:val="0"/>
          <w:numId w:val="1"/>
        </w:numPr>
        <w:spacing w:after="80"/>
      </w:pPr>
      <w:r>
        <w:t xml:space="preserve">A fixed statutory reporting-threshold amount used as a direct input to StructuringFlag (Model 1, Section 2.1.1) — as corrected there, no such figure legally applies to non-cash transactions, so none is hardcoded as if it were a legal cutoff.</w:t>
      </w:r>
    </w:p>
    <w:p>
      <w:r>
        <w:br w:type="page"/>
      </w:r>
    </w:p>
    <w:p>
      <w:pPr>
        <w:pStyle w:val="Heading1"/>
        <w:spacing w:after="200" w:before="400"/>
      </w:pPr>
      <w:bookmarkStart w:name="bm_4_synthetic_data_requirements_103" w:id="1"/>
      <w:r>
        <w:t xml:space="preserve">4. Synthetic Data Requirements</w:t>
      </w:r>
      <w:bookmarkEnd w:id="1"/>
    </w:p>
    <w:p>
      <w:pPr>
        <w:spacing w:after="150"/>
      </w:pPr>
      <w:r>
        <w:t xml:space="preserve">Field-level generation notes per model, condensed to what a synthetic-data build needs to get right — particularly the adversarial and edge-case test data that exercises each correction made in Section 2.</w:t>
      </w:r>
    </w:p>
    <w:p>
      <w:pPr>
        <w:pStyle w:val="Heading2"/>
        <w:spacing w:after="150" w:before="300"/>
      </w:pPr>
      <w:bookmarkStart w:name="bm_4_1_model_1_transaction_risk_score_104" w:id="1"/>
      <w:r>
        <w:t xml:space="preserve">4.1 Model 1 — Transaction Risk Score</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B4F72" w:val="clear"/>
            <w:tcMar>
              <w:top w:type="dxa" w:w="60"/>
              <w:left w:type="dxa" w:w="100"/>
              <w:bottom w:type="dxa" w:w="60"/>
              <w:right w:type="dxa" w:w="100"/>
            </w:tcMar>
            <w:vAlign w:val="center"/>
          </w:tcPr>
          <w:p>
            <w:r>
              <w:rPr>
                <w:b/>
                <w:bCs/>
                <w:color w:val="FFFFFF"/>
                <w:sz w:val="19"/>
                <w:szCs w:val="19"/>
              </w:rPr>
              <w:t xml:space="preserve">Field / test case</w:t>
            </w:r>
          </w:p>
        </w:tc>
        <w:tc>
          <w:tcPr>
            <w:tcW w:type="dxa" w:w="7900"/>
            <w:shd w:fill="1B4F72" w:val="clear"/>
            <w:tcMar>
              <w:top w:type="dxa" w:w="60"/>
              <w:left w:type="dxa" w:w="100"/>
              <w:bottom w:type="dxa" w:w="60"/>
              <w:right w:type="dxa" w:w="100"/>
            </w:tcMar>
            <w:vAlign w:val="center"/>
          </w:tcPr>
          <w:p>
            <w:r>
              <w:rPr>
                <w:b/>
                <w:bCs/>
                <w:color w:val="FFFFFF"/>
                <w:sz w:val="19"/>
                <w:szCs w:val="19"/>
              </w:rPr>
              <w:t xml:space="preserve">Generation notes</w:t>
            </w:r>
          </w:p>
        </w:tc>
      </w:tr>
      <w:tr>
        <w:tc>
          <w:tcPr>
            <w:tcW w:type="dxa" w:w="2600"/>
            <w:shd w:fill="F4F6F7" w:val="clear"/>
            <w:tcMar>
              <w:top w:type="dxa" w:w="60"/>
              <w:left w:type="dxa" w:w="100"/>
              <w:bottom w:type="dxa" w:w="60"/>
              <w:right w:type="dxa" w:w="100"/>
            </w:tcMar>
            <w:vAlign w:val="center"/>
          </w:tcPr>
          <w:p>
            <w:r>
              <w:rPr>
                <w:sz w:val="19"/>
                <w:szCs w:val="19"/>
              </w:rPr>
              <w:t xml:space="preserve">txn_amount_paise</w:t>
            </w:r>
          </w:p>
        </w:tc>
        <w:tc>
          <w:tcPr>
            <w:tcW w:type="dxa" w:w="7900"/>
            <w:shd w:fill="F4F6F7" w:val="clear"/>
            <w:tcMar>
              <w:top w:type="dxa" w:w="60"/>
              <w:left w:type="dxa" w:w="100"/>
              <w:bottom w:type="dxa" w:w="60"/>
              <w:right w:type="dxa" w:w="100"/>
            </w:tcMar>
            <w:vAlign w:val="center"/>
          </w:tcPr>
          <w:p>
            <w:r>
              <w:rPr>
                <w:sz w:val="19"/>
                <w:szCs w:val="19"/>
              </w:rPr>
              <w:t xml:space="preserve">Log-normal, median ~₹800, long right tail to ₹5,00,000+, to test g(x) capping at 25x.</w:t>
            </w:r>
          </w:p>
        </w:tc>
      </w:tr>
      <w:tr>
        <w:tc>
          <w:tcPr>
            <w:tcW w:type="dxa" w:w="2600"/>
            <w:shd w:fill="FFFFFF" w:val="clear"/>
            <w:tcMar>
              <w:top w:type="dxa" w:w="60"/>
              <w:left w:type="dxa" w:w="100"/>
              <w:bottom w:type="dxa" w:w="60"/>
              <w:right w:type="dxa" w:w="100"/>
            </w:tcMar>
            <w:vAlign w:val="center"/>
          </w:tcPr>
          <w:p>
            <w:r>
              <w:rPr>
                <w:sz w:val="19"/>
                <w:szCs w:val="19"/>
              </w:rPr>
              <w:t xml:space="preserve">velocity_count_1hr adversarial tail</w:t>
            </w:r>
          </w:p>
        </w:tc>
        <w:tc>
          <w:tcPr>
            <w:tcW w:type="dxa" w:w="7900"/>
            <w:shd w:fill="FFFFFF" w:val="clear"/>
            <w:tcMar>
              <w:top w:type="dxa" w:w="60"/>
              <w:left w:type="dxa" w:w="100"/>
              <w:bottom w:type="dxa" w:w="60"/>
              <w:right w:type="dxa" w:w="100"/>
            </w:tcMar>
            <w:vAlign w:val="center"/>
          </w:tcPr>
          <w:p>
            <w:r>
              <w:rPr>
                <w:sz w:val="19"/>
                <w:szCs w:val="19"/>
              </w:rPr>
              <w:t xml:space="preserve">Must include synthetic sequences sitting at exactly 2 (never 3+) to validate that the linear-capped VelocityTerm actually closes the old step-function gaming gap.</w:t>
            </w:r>
          </w:p>
        </w:tc>
      </w:tr>
      <w:tr>
        <w:tc>
          <w:tcPr>
            <w:tcW w:type="dxa" w:w="2600"/>
            <w:shd w:fill="F4F6F7" w:val="clear"/>
            <w:tcMar>
              <w:top w:type="dxa" w:w="60"/>
              <w:left w:type="dxa" w:w="100"/>
              <w:bottom w:type="dxa" w:w="60"/>
              <w:right w:type="dxa" w:w="100"/>
            </w:tcMar>
            <w:vAlign w:val="center"/>
          </w:tcPr>
          <w:p>
            <w:r>
              <w:rPr>
                <w:sz w:val="19"/>
                <w:szCs w:val="19"/>
              </w:rPr>
              <w:t xml:space="preserve">device_gps pairs</w:t>
            </w:r>
          </w:p>
        </w:tc>
        <w:tc>
          <w:tcPr>
            <w:tcW w:type="dxa" w:w="7900"/>
            <w:shd w:fill="F4F6F7" w:val="clear"/>
            <w:tcMar>
              <w:top w:type="dxa" w:w="60"/>
              <w:left w:type="dxa" w:w="100"/>
              <w:bottom w:type="dxa" w:w="60"/>
              <w:right w:type="dxa" w:w="100"/>
            </w:tcMar>
            <w:vAlign w:val="center"/>
          </w:tcPr>
          <w:p>
            <w:r>
              <w:rPr>
                <w:sz w:val="19"/>
                <w:szCs w:val="19"/>
              </w:rPr>
              <w:t xml:space="preserve">95% consistent single-city cluster; 5% synthetic impossible-travel pairs (&gt;900km/h implied); also include genuine flight-speed-consistent travel (~800km/h) as a near-miss negative case.</w:t>
            </w:r>
          </w:p>
        </w:tc>
      </w:tr>
      <w:tr>
        <w:tc>
          <w:tcPr>
            <w:tcW w:type="dxa" w:w="2600"/>
            <w:shd w:fill="FFFFFF" w:val="clear"/>
            <w:tcMar>
              <w:top w:type="dxa" w:w="60"/>
              <w:left w:type="dxa" w:w="100"/>
              <w:bottom w:type="dxa" w:w="60"/>
              <w:right w:type="dxa" w:w="100"/>
            </w:tcMar>
            <w:vAlign w:val="center"/>
          </w:tcPr>
          <w:p>
            <w:r>
              <w:rPr>
                <w:sz w:val="19"/>
                <w:szCs w:val="19"/>
              </w:rPr>
              <w:t xml:space="preserve">structuring_sequence (synthetic label)</w:t>
            </w:r>
          </w:p>
        </w:tc>
        <w:tc>
          <w:tcPr>
            <w:tcW w:type="dxa" w:w="7900"/>
            <w:shd w:fill="FFFFFF" w:val="clear"/>
            <w:tcMar>
              <w:top w:type="dxa" w:w="60"/>
              <w:left w:type="dxa" w:w="100"/>
              <w:bottom w:type="dxa" w:w="60"/>
              <w:right w:type="dxa" w:w="100"/>
            </w:tcMar>
            <w:vAlign w:val="center"/>
          </w:tcPr>
          <w:p>
            <w:r>
              <w:rPr>
                <w:sz w:val="19"/>
                <w:szCs w:val="19"/>
              </w:rPr>
              <w:t xml:space="preserve">~50-100 synthetic structuring sequences: 3+ uniform sub-threshold transfers within 24h, both new-recipient and same-recipient variants, sized against the internal calibration benchmark (Section 2.1.1) rather than any legal cash-reporting figure.</w:t>
            </w:r>
          </w:p>
        </w:tc>
      </w:tr>
    </w:tbl>
    <w:p>
      <w:pPr>
        <w:pStyle w:val="Heading2"/>
        <w:spacing w:after="150" w:before="300"/>
      </w:pPr>
      <w:bookmarkStart w:name="bm_4_2_model_2_financial_health_score_105" w:id="1"/>
      <w:r>
        <w:t xml:space="preserve">4.2 Model 2 — Financial Health Score</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B4F72" w:val="clear"/>
            <w:tcMar>
              <w:top w:type="dxa" w:w="60"/>
              <w:left w:type="dxa" w:w="100"/>
              <w:bottom w:type="dxa" w:w="60"/>
              <w:right w:type="dxa" w:w="100"/>
            </w:tcMar>
            <w:vAlign w:val="center"/>
          </w:tcPr>
          <w:p>
            <w:r>
              <w:rPr>
                <w:b/>
                <w:bCs/>
                <w:color w:val="FFFFFF"/>
                <w:sz w:val="19"/>
                <w:szCs w:val="19"/>
              </w:rPr>
              <w:t xml:space="preserve">Field / test case</w:t>
            </w:r>
          </w:p>
        </w:tc>
        <w:tc>
          <w:tcPr>
            <w:tcW w:type="dxa" w:w="7900"/>
            <w:shd w:fill="1B4F72" w:val="clear"/>
            <w:tcMar>
              <w:top w:type="dxa" w:w="60"/>
              <w:left w:type="dxa" w:w="100"/>
              <w:bottom w:type="dxa" w:w="60"/>
              <w:right w:type="dxa" w:w="100"/>
            </w:tcMar>
            <w:vAlign w:val="center"/>
          </w:tcPr>
          <w:p>
            <w:r>
              <w:rPr>
                <w:b/>
                <w:bCs/>
                <w:color w:val="FFFFFF"/>
                <w:sz w:val="19"/>
                <w:szCs w:val="19"/>
              </w:rPr>
              <w:t xml:space="preserve">Generation notes</w:t>
            </w:r>
          </w:p>
        </w:tc>
      </w:tr>
      <w:tr>
        <w:tc>
          <w:tcPr>
            <w:tcW w:type="dxa" w:w="2600"/>
            <w:shd w:fill="F4F6F7" w:val="clear"/>
            <w:tcMar>
              <w:top w:type="dxa" w:w="60"/>
              <w:left w:type="dxa" w:w="100"/>
              <w:bottom w:type="dxa" w:w="60"/>
              <w:right w:type="dxa" w:w="100"/>
            </w:tcMar>
            <w:vAlign w:val="center"/>
          </w:tcPr>
          <w:p>
            <w:r>
              <w:rPr>
                <w:sz w:val="19"/>
                <w:szCs w:val="19"/>
              </w:rPr>
              <w:t xml:space="preserve">12mo category spend</w:t>
            </w:r>
          </w:p>
        </w:tc>
        <w:tc>
          <w:tcPr>
            <w:tcW w:type="dxa" w:w="7900"/>
            <w:shd w:fill="F4F6F7" w:val="clear"/>
            <w:tcMar>
              <w:top w:type="dxa" w:w="60"/>
              <w:left w:type="dxa" w:w="100"/>
              <w:bottom w:type="dxa" w:w="60"/>
              <w:right w:type="dxa" w:w="100"/>
            </w:tcMar>
            <w:vAlign w:val="center"/>
          </w:tcPr>
          <w:p>
            <w:r>
              <w:rPr>
                <w:sz w:val="19"/>
                <w:szCs w:val="19"/>
              </w:rPr>
              <w:t xml:space="preserve">Must include a synthetic festival month (1.5-2.5x normal discretionary spend) and a synthetic medical-emergency month (2-4x normal, 5-10% of users) — the exact non-punitive test cases the shock-month exclusion logic depends on.</w:t>
            </w:r>
          </w:p>
        </w:tc>
      </w:tr>
      <w:tr>
        <w:tc>
          <w:tcPr>
            <w:tcW w:type="dxa" w:w="2600"/>
            <w:shd w:fill="FFFFFF" w:val="clear"/>
            <w:tcMar>
              <w:top w:type="dxa" w:w="60"/>
              <w:left w:type="dxa" w:w="100"/>
              <w:bottom w:type="dxa" w:w="60"/>
              <w:right w:type="dxa" w:w="100"/>
            </w:tcMar>
            <w:vAlign w:val="center"/>
          </w:tcPr>
          <w:p>
            <w:r>
              <w:rPr>
                <w:sz w:val="19"/>
                <w:szCs w:val="19"/>
              </w:rPr>
              <w:t xml:space="preserve">debt_outstanding incl. BNPL</w:t>
            </w:r>
          </w:p>
        </w:tc>
        <w:tc>
          <w:tcPr>
            <w:tcW w:type="dxa" w:w="7900"/>
            <w:shd w:fill="FFFFFF" w:val="clear"/>
            <w:tcMar>
              <w:top w:type="dxa" w:w="60"/>
              <w:left w:type="dxa" w:w="100"/>
              <w:bottom w:type="dxa" w:w="60"/>
              <w:right w:type="dxa" w:w="100"/>
            </w:tcMar>
            <w:vAlign w:val="center"/>
          </w:tcPr>
          <w:p>
            <w:r>
              <w:rPr>
                <w:sz w:val="19"/>
                <w:szCs w:val="19"/>
              </w:rPr>
              <w:t xml:space="preserve">Include a subset of users with BNPL-classified merchant transactions specifically to test BNPL's inclusion in the Pillar 2 DTI numerator.</w:t>
            </w:r>
          </w:p>
        </w:tc>
      </w:tr>
      <w:tr>
        <w:tc>
          <w:tcPr>
            <w:tcW w:type="dxa" w:w="2600"/>
            <w:shd w:fill="F4F6F7" w:val="clear"/>
            <w:tcMar>
              <w:top w:type="dxa" w:w="60"/>
              <w:left w:type="dxa" w:w="100"/>
              <w:bottom w:type="dxa" w:w="60"/>
              <w:right w:type="dxa" w:w="100"/>
            </w:tcMar>
            <w:vAlign w:val="center"/>
          </w:tcPr>
          <w:p>
            <w:r>
              <w:rPr>
                <w:sz w:val="19"/>
                <w:szCs w:val="19"/>
              </w:rPr>
              <w:t xml:space="preserve">portfolio_holdings, fund_overlap_matrix</w:t>
            </w:r>
          </w:p>
        </w:tc>
        <w:tc>
          <w:tcPr>
            <w:tcW w:type="dxa" w:w="7900"/>
            <w:shd w:fill="F4F6F7" w:val="clear"/>
            <w:tcMar>
              <w:top w:type="dxa" w:w="60"/>
              <w:left w:type="dxa" w:w="100"/>
              <w:bottom w:type="dxa" w:w="60"/>
              <w:right w:type="dxa" w:w="100"/>
            </w:tcMar>
            <w:vAlign w:val="center"/>
          </w:tcPr>
          <w:p>
            <w:r>
              <w:rPr>
                <w:sz w:val="19"/>
                <w:szCs w:val="19"/>
              </w:rPr>
              <w:t xml:space="preserve">Include a subset holding 4-5 overlapping large-cap funds (high true concentration, low naive fund-count HHI) to validate the overlap-adjustment logic actually catches this case.</w:t>
            </w:r>
          </w:p>
        </w:tc>
      </w:tr>
    </w:tbl>
    <w:p>
      <w:pPr>
        <w:pStyle w:val="Heading2"/>
        <w:spacing w:after="150" w:before="300"/>
      </w:pPr>
      <w:bookmarkStart w:name="bm_4_3_model_3_persona_classifier_106" w:id="1"/>
      <w:r>
        <w:t xml:space="preserve">4.3 Model 3 — Persona Classifier</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B4F72" w:val="clear"/>
            <w:tcMar>
              <w:top w:type="dxa" w:w="60"/>
              <w:left w:type="dxa" w:w="100"/>
              <w:bottom w:type="dxa" w:w="60"/>
              <w:right w:type="dxa" w:w="100"/>
            </w:tcMar>
            <w:vAlign w:val="center"/>
          </w:tcPr>
          <w:p>
            <w:r>
              <w:rPr>
                <w:b/>
                <w:bCs/>
                <w:color w:val="FFFFFF"/>
                <w:sz w:val="19"/>
                <w:szCs w:val="19"/>
              </w:rPr>
              <w:t xml:space="preserve">Field / test case</w:t>
            </w:r>
          </w:p>
        </w:tc>
        <w:tc>
          <w:tcPr>
            <w:tcW w:type="dxa" w:w="7900"/>
            <w:shd w:fill="1B4F72" w:val="clear"/>
            <w:tcMar>
              <w:top w:type="dxa" w:w="60"/>
              <w:left w:type="dxa" w:w="100"/>
              <w:bottom w:type="dxa" w:w="60"/>
              <w:right w:type="dxa" w:w="100"/>
            </w:tcMar>
            <w:vAlign w:val="center"/>
          </w:tcPr>
          <w:p>
            <w:r>
              <w:rPr>
                <w:b/>
                <w:bCs/>
                <w:color w:val="FFFFFF"/>
                <w:sz w:val="19"/>
                <w:szCs w:val="19"/>
              </w:rPr>
              <w:t xml:space="preserve">Generation notes</w:t>
            </w:r>
          </w:p>
        </w:tc>
      </w:tr>
      <w:tr>
        <w:tc>
          <w:tcPr>
            <w:tcW w:type="dxa" w:w="2600"/>
            <w:shd w:fill="F4F6F7" w:val="clear"/>
            <w:tcMar>
              <w:top w:type="dxa" w:w="60"/>
              <w:left w:type="dxa" w:w="100"/>
              <w:bottom w:type="dxa" w:w="60"/>
              <w:right w:type="dxa" w:w="100"/>
            </w:tcMar>
            <w:vAlign w:val="center"/>
          </w:tcPr>
          <w:p>
            <w:r>
              <w:rPr>
                <w:sz w:val="19"/>
                <w:szCs w:val="19"/>
              </w:rPr>
              <w:t xml:space="preserve">txn_count, high_risk_txn_ratio, goal_progress_ratio</w:t>
            </w:r>
          </w:p>
        </w:tc>
        <w:tc>
          <w:tcPr>
            <w:tcW w:type="dxa" w:w="7900"/>
            <w:shd w:fill="F4F6F7" w:val="clear"/>
            <w:tcMar>
              <w:top w:type="dxa" w:w="60"/>
              <w:left w:type="dxa" w:w="100"/>
              <w:bottom w:type="dxa" w:w="60"/>
              <w:right w:type="dxa" w:w="100"/>
            </w:tcMar>
            <w:vAlign w:val="center"/>
          </w:tcPr>
          <w:p>
            <w:r>
              <w:rPr>
                <w:sz w:val="19"/>
                <w:szCs w:val="19"/>
              </w:rPr>
              <w:t xml:space="preserve">Reuse Model 1's and Model 2's synthetic output rather than generating independently, so persona labels stay internally consistent with the risk/goal data that would really drive them.</w:t>
            </w:r>
          </w:p>
        </w:tc>
      </w:tr>
    </w:tbl>
    <w:p>
      <w:pPr>
        <w:pStyle w:val="Heading2"/>
        <w:spacing w:after="150" w:before="300"/>
      </w:pPr>
      <w:bookmarkStart w:name="bm_4_4_model_4_nudging_engine_107" w:id="1"/>
      <w:r>
        <w:t xml:space="preserve">4.4 Model 4 — Nudging Engine</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B4F72" w:val="clear"/>
            <w:tcMar>
              <w:top w:type="dxa" w:w="60"/>
              <w:left w:type="dxa" w:w="100"/>
              <w:bottom w:type="dxa" w:w="60"/>
              <w:right w:type="dxa" w:w="100"/>
            </w:tcMar>
            <w:vAlign w:val="center"/>
          </w:tcPr>
          <w:p>
            <w:r>
              <w:rPr>
                <w:b/>
                <w:bCs/>
                <w:color w:val="FFFFFF"/>
                <w:sz w:val="19"/>
                <w:szCs w:val="19"/>
              </w:rPr>
              <w:t xml:space="preserve">Field / test case</w:t>
            </w:r>
          </w:p>
        </w:tc>
        <w:tc>
          <w:tcPr>
            <w:tcW w:type="dxa" w:w="7900"/>
            <w:shd w:fill="1B4F72" w:val="clear"/>
            <w:tcMar>
              <w:top w:type="dxa" w:w="60"/>
              <w:left w:type="dxa" w:w="100"/>
              <w:bottom w:type="dxa" w:w="60"/>
              <w:right w:type="dxa" w:w="100"/>
            </w:tcMar>
            <w:vAlign w:val="center"/>
          </w:tcPr>
          <w:p>
            <w:r>
              <w:rPr>
                <w:b/>
                <w:bCs/>
                <w:color w:val="FFFFFF"/>
                <w:sz w:val="19"/>
                <w:szCs w:val="19"/>
              </w:rPr>
              <w:t xml:space="preserve">Generation notes</w:t>
            </w:r>
          </w:p>
        </w:tc>
      </w:tr>
      <w:tr>
        <w:tc>
          <w:tcPr>
            <w:tcW w:type="dxa" w:w="2600"/>
            <w:shd w:fill="F4F6F7" w:val="clear"/>
            <w:tcMar>
              <w:top w:type="dxa" w:w="60"/>
              <w:left w:type="dxa" w:w="100"/>
              <w:bottom w:type="dxa" w:w="60"/>
              <w:right w:type="dxa" w:w="100"/>
            </w:tcMar>
            <w:vAlign w:val="center"/>
          </w:tcPr>
          <w:p>
            <w:r>
              <w:rPr>
                <w:sz w:val="19"/>
                <w:szCs w:val="19"/>
              </w:rPr>
              <w:t xml:space="preserve">3-month savings-rate trend</w:t>
            </w:r>
          </w:p>
        </w:tc>
        <w:tc>
          <w:tcPr>
            <w:tcW w:type="dxa" w:w="7900"/>
            <w:shd w:fill="F4F6F7" w:val="clear"/>
            <w:tcMar>
              <w:top w:type="dxa" w:w="60"/>
              <w:left w:type="dxa" w:w="100"/>
              <w:bottom w:type="dxa" w:w="60"/>
              <w:right w:type="dxa" w:w="100"/>
            </w:tcMar>
            <w:vAlign w:val="center"/>
          </w:tcPr>
          <w:p>
            <w:r>
              <w:rPr>
                <w:sz w:val="19"/>
                <w:szCs w:val="19"/>
              </w:rPr>
              <w:t xml:space="preserve">Include both genuine 3-consecutive-month improvement AND single-month-only improvement as a negative test case that should NOT trigger positive-momentum under the ML path, but SHOULD trigger it under the relaxed 2-month rule-based path.</w:t>
            </w:r>
          </w:p>
        </w:tc>
      </w:tr>
    </w:tbl>
    <w:p>
      <w:pPr>
        <w:pStyle w:val="Heading2"/>
        <w:spacing w:after="150" w:before="300"/>
      </w:pPr>
      <w:bookmarkStart w:name="bm_4_5_model_5_mule_account_gnn_108" w:id="1"/>
      <w:r>
        <w:t xml:space="preserve">4.5 Model 5 — Mule Account GNN</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B4F72" w:val="clear"/>
            <w:tcMar>
              <w:top w:type="dxa" w:w="60"/>
              <w:left w:type="dxa" w:w="100"/>
              <w:bottom w:type="dxa" w:w="60"/>
              <w:right w:type="dxa" w:w="100"/>
            </w:tcMar>
            <w:vAlign w:val="center"/>
          </w:tcPr>
          <w:p>
            <w:r>
              <w:rPr>
                <w:b/>
                <w:bCs/>
                <w:color w:val="FFFFFF"/>
                <w:sz w:val="19"/>
                <w:szCs w:val="19"/>
              </w:rPr>
              <w:t xml:space="preserve">Field / test case</w:t>
            </w:r>
          </w:p>
        </w:tc>
        <w:tc>
          <w:tcPr>
            <w:tcW w:type="dxa" w:w="7900"/>
            <w:shd w:fill="1B4F72" w:val="clear"/>
            <w:tcMar>
              <w:top w:type="dxa" w:w="60"/>
              <w:left w:type="dxa" w:w="100"/>
              <w:bottom w:type="dxa" w:w="60"/>
              <w:right w:type="dxa" w:w="100"/>
            </w:tcMar>
            <w:vAlign w:val="center"/>
          </w:tcPr>
          <w:p>
            <w:r>
              <w:rPr>
                <w:b/>
                <w:bCs/>
                <w:color w:val="FFFFFF"/>
                <w:sz w:val="19"/>
                <w:szCs w:val="19"/>
              </w:rPr>
              <w:t xml:space="preserve">Generation notes</w:t>
            </w:r>
          </w:p>
        </w:tc>
      </w:tr>
      <w:tr>
        <w:tc>
          <w:tcPr>
            <w:tcW w:type="dxa" w:w="2600"/>
            <w:shd w:fill="F4F6F7" w:val="clear"/>
            <w:tcMar>
              <w:top w:type="dxa" w:w="60"/>
              <w:left w:type="dxa" w:w="100"/>
              <w:bottom w:type="dxa" w:w="60"/>
              <w:right w:type="dxa" w:w="100"/>
            </w:tcMar>
            <w:vAlign w:val="center"/>
          </w:tcPr>
          <w:p>
            <w:r>
              <w:rPr>
                <w:sz w:val="19"/>
                <w:szCs w:val="19"/>
              </w:rPr>
              <w:t xml:space="preserve">graph_nodes, graph_edges</w:t>
            </w:r>
          </w:p>
        </w:tc>
        <w:tc>
          <w:tcPr>
            <w:tcW w:type="dxa" w:w="7900"/>
            <w:shd w:fill="F4F6F7" w:val="clear"/>
            <w:tcMar>
              <w:top w:type="dxa" w:w="60"/>
              <w:left w:type="dxa" w:w="100"/>
              <w:bottom w:type="dxa" w:w="60"/>
              <w:right w:type="dxa" w:w="100"/>
            </w:tcMar>
            <w:vAlign w:val="center"/>
          </w:tcPr>
          <w:p>
            <w:r>
              <w:rPr>
                <w:sz w:val="19"/>
                <w:szCs w:val="19"/>
              </w:rPr>
              <w:t xml:space="preserve">Power-law degree distribution (most accounts have few counterparties, a few have many) — real payment graphs are scale-free, not uniform random.</w:t>
            </w:r>
          </w:p>
        </w:tc>
      </w:tr>
      <w:tr>
        <w:tc>
          <w:tcPr>
            <w:tcW w:type="dxa" w:w="2600"/>
            <w:shd w:fill="FFFFFF" w:val="clear"/>
            <w:tcMar>
              <w:top w:type="dxa" w:w="60"/>
              <w:left w:type="dxa" w:w="100"/>
              <w:bottom w:type="dxa" w:w="60"/>
              <w:right w:type="dxa" w:w="100"/>
            </w:tcMar>
            <w:vAlign w:val="center"/>
          </w:tcPr>
          <w:p>
            <w:r>
              <w:rPr>
                <w:sz w:val="19"/>
                <w:szCs w:val="19"/>
              </w:rPr>
              <w:t xml:space="preserve">seed_fraud_nodes, seed_mule_nodes</w:t>
            </w:r>
          </w:p>
        </w:tc>
        <w:tc>
          <w:tcPr>
            <w:tcW w:type="dxa" w:w="7900"/>
            <w:shd w:fill="FFFFFF" w:val="clear"/>
            <w:tcMar>
              <w:top w:type="dxa" w:w="60"/>
              <w:left w:type="dxa" w:w="100"/>
              <w:bottom w:type="dxa" w:w="60"/>
              <w:right w:type="dxa" w:w="100"/>
            </w:tcMar>
            <w:vAlign w:val="center"/>
          </w:tcPr>
          <w:p>
            <w:r>
              <w:rPr>
                <w:sz w:val="19"/>
                <w:szCs w:val="19"/>
              </w:rPr>
              <w:t xml:space="preserve">Construct several genuine funnel-mule subgraphs (many senders -&gt; one node -&gt; rapid large outbound) as positive test cases for FanInRatio/FanOutBurstiness.</w:t>
            </w:r>
          </w:p>
        </w:tc>
      </w:tr>
    </w:tbl>
    <w:p>
      <w:pPr>
        <w:pStyle w:val="Heading2"/>
        <w:spacing w:after="150" w:before="300"/>
      </w:pPr>
      <w:bookmarkStart w:name="bm_4_6_model_6_investment_risk_assessment_109" w:id="1"/>
      <w:r>
        <w:t xml:space="preserve">4.6 Model 6 — Investment Risk Assessment</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B4F72" w:val="clear"/>
            <w:tcMar>
              <w:top w:type="dxa" w:w="60"/>
              <w:left w:type="dxa" w:w="100"/>
              <w:bottom w:type="dxa" w:w="60"/>
              <w:right w:type="dxa" w:w="100"/>
            </w:tcMar>
            <w:vAlign w:val="center"/>
          </w:tcPr>
          <w:p>
            <w:r>
              <w:rPr>
                <w:b/>
                <w:bCs/>
                <w:color w:val="FFFFFF"/>
                <w:sz w:val="19"/>
                <w:szCs w:val="19"/>
              </w:rPr>
              <w:t xml:space="preserve">Field / test case</w:t>
            </w:r>
          </w:p>
        </w:tc>
        <w:tc>
          <w:tcPr>
            <w:tcW w:type="dxa" w:w="7900"/>
            <w:shd w:fill="1B4F72" w:val="clear"/>
            <w:tcMar>
              <w:top w:type="dxa" w:w="60"/>
              <w:left w:type="dxa" w:w="100"/>
              <w:bottom w:type="dxa" w:w="60"/>
              <w:right w:type="dxa" w:w="100"/>
            </w:tcMar>
            <w:vAlign w:val="center"/>
          </w:tcPr>
          <w:p>
            <w:r>
              <w:rPr>
                <w:b/>
                <w:bCs/>
                <w:color w:val="FFFFFF"/>
                <w:sz w:val="19"/>
                <w:szCs w:val="19"/>
              </w:rPr>
              <w:t xml:space="preserve">Generation notes</w:t>
            </w:r>
          </w:p>
        </w:tc>
      </w:tr>
      <w:tr>
        <w:tc>
          <w:tcPr>
            <w:tcW w:type="dxa" w:w="2600"/>
            <w:shd w:fill="F4F6F7" w:val="clear"/>
            <w:tcMar>
              <w:top w:type="dxa" w:w="60"/>
              <w:left w:type="dxa" w:w="100"/>
              <w:bottom w:type="dxa" w:w="60"/>
              <w:right w:type="dxa" w:w="100"/>
            </w:tcMar>
            <w:vAlign w:val="center"/>
          </w:tcPr>
          <w:p>
            <w:r>
              <w:rPr>
                <w:sz w:val="19"/>
                <w:szCs w:val="19"/>
              </w:rPr>
              <w:t xml:space="preserve">stated_risk_tolerance vs. actual allocation</w:t>
            </w:r>
          </w:p>
        </w:tc>
        <w:tc>
          <w:tcPr>
            <w:tcW w:type="dxa" w:w="7900"/>
            <w:shd w:fill="F4F6F7" w:val="clear"/>
            <w:tcMar>
              <w:top w:type="dxa" w:w="60"/>
              <w:left w:type="dxa" w:w="100"/>
              <w:bottom w:type="dxa" w:w="60"/>
              <w:right w:type="dxa" w:w="100"/>
            </w:tcMar>
            <w:vAlign w:val="center"/>
          </w:tcPr>
          <w:p>
            <w:r>
              <w:rPr>
                <w:sz w:val="19"/>
                <w:szCs w:val="19"/>
              </w:rPr>
              <w:t xml:space="preserve">Include deliberate mismatches (stated ‘aggressive’ but 90% FD holdings) as positive test cases for the AlignmentGap XAI flag.</w:t>
            </w:r>
          </w:p>
        </w:tc>
      </w:tr>
      <w:tr>
        <w:tc>
          <w:tcPr>
            <w:tcW w:type="dxa" w:w="2600"/>
            <w:shd w:fill="FFFFFF" w:val="clear"/>
            <w:tcMar>
              <w:top w:type="dxa" w:w="60"/>
              <w:left w:type="dxa" w:w="100"/>
              <w:bottom w:type="dxa" w:w="60"/>
              <w:right w:type="dxa" w:w="100"/>
            </w:tcMar>
            <w:vAlign w:val="center"/>
          </w:tcPr>
          <w:p>
            <w:r>
              <w:rPr>
                <w:sz w:val="19"/>
                <w:szCs w:val="19"/>
              </w:rPr>
              <w:t xml:space="preserve">historical monthly returns per asset class, 10yr+</w:t>
            </w:r>
          </w:p>
        </w:tc>
        <w:tc>
          <w:tcPr>
            <w:tcW w:type="dxa" w:w="7900"/>
            <w:shd w:fill="FFFFFF" w:val="clear"/>
            <w:tcMar>
              <w:top w:type="dxa" w:w="60"/>
              <w:left w:type="dxa" w:w="100"/>
              <w:bottom w:type="dxa" w:w="60"/>
              <w:right w:type="dxa" w:w="100"/>
            </w:tcMar>
            <w:vAlign w:val="center"/>
          </w:tcPr>
          <w:p>
            <w:r>
              <w:rPr>
                <w:sz w:val="19"/>
                <w:szCs w:val="19"/>
              </w:rPr>
              <w:t xml:space="preserve">Must be real historical NSE/AMFI data, not synthetic — the bootstrap-resampling justification in Model 13 depends on preserving real fat-tail shape.</w:t>
            </w:r>
          </w:p>
        </w:tc>
      </w:tr>
    </w:tbl>
    <w:p>
      <w:pPr>
        <w:pStyle w:val="Heading2"/>
        <w:spacing w:after="150" w:before="300"/>
      </w:pPr>
      <w:bookmarkStart w:name="bm_4_7_model_7_insurance_protection_score_110" w:id="1"/>
      <w:r>
        <w:t xml:space="preserve">4.7 Model 7 — Insurance Protection Score</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B4F72" w:val="clear"/>
            <w:tcMar>
              <w:top w:type="dxa" w:w="60"/>
              <w:left w:type="dxa" w:w="100"/>
              <w:bottom w:type="dxa" w:w="60"/>
              <w:right w:type="dxa" w:w="100"/>
            </w:tcMar>
            <w:vAlign w:val="center"/>
          </w:tcPr>
          <w:p>
            <w:r>
              <w:rPr>
                <w:b/>
                <w:bCs/>
                <w:color w:val="FFFFFF"/>
                <w:sz w:val="19"/>
                <w:szCs w:val="19"/>
              </w:rPr>
              <w:t xml:space="preserve">Field / test case</w:t>
            </w:r>
          </w:p>
        </w:tc>
        <w:tc>
          <w:tcPr>
            <w:tcW w:type="dxa" w:w="7900"/>
            <w:shd w:fill="1B4F72" w:val="clear"/>
            <w:tcMar>
              <w:top w:type="dxa" w:w="60"/>
              <w:left w:type="dxa" w:w="100"/>
              <w:bottom w:type="dxa" w:w="60"/>
              <w:right w:type="dxa" w:w="100"/>
            </w:tcMar>
            <w:vAlign w:val="center"/>
          </w:tcPr>
          <w:p>
            <w:r>
              <w:rPr>
                <w:b/>
                <w:bCs/>
                <w:color w:val="FFFFFF"/>
                <w:sz w:val="19"/>
                <w:szCs w:val="19"/>
              </w:rPr>
              <w:t xml:space="preserve">Generation notes</w:t>
            </w:r>
          </w:p>
        </w:tc>
      </w:tr>
      <w:tr>
        <w:tc>
          <w:tcPr>
            <w:tcW w:type="dxa" w:w="2600"/>
            <w:shd w:fill="F4F6F7" w:val="clear"/>
            <w:tcMar>
              <w:top w:type="dxa" w:w="60"/>
              <w:left w:type="dxa" w:w="100"/>
              <w:bottom w:type="dxa" w:w="60"/>
              <w:right w:type="dxa" w:w="100"/>
            </w:tcMar>
            <w:vAlign w:val="center"/>
          </w:tcPr>
          <w:p>
            <w:r>
              <w:rPr>
                <w:sz w:val="19"/>
                <w:szCs w:val="19"/>
              </w:rPr>
              <w:t xml:space="preserve">policy_type, sum_assured, annual_premium</w:t>
            </w:r>
          </w:p>
        </w:tc>
        <w:tc>
          <w:tcPr>
            <w:tcW w:type="dxa" w:w="7900"/>
            <w:shd w:fill="F4F6F7" w:val="clear"/>
            <w:tcMar>
              <w:top w:type="dxa" w:w="60"/>
              <w:left w:type="dxa" w:w="100"/>
              <w:bottom w:type="dxa" w:w="60"/>
              <w:right w:type="dxa" w:w="100"/>
            </w:tcMar>
            <w:vAlign w:val="center"/>
          </w:tcPr>
          <w:p>
            <w:r>
              <w:rPr>
                <w:sz w:val="19"/>
                <w:szCs w:val="19"/>
              </w:rPr>
              <w:t xml:space="preserve">Include ULIP/endowment policies with genuinely high ImpliedCostOfCoverPerLakh (3x+ term-plan cost) as positive test cases for the policy-optimality flag.</w:t>
            </w:r>
          </w:p>
        </w:tc>
      </w:tr>
    </w:tbl>
    <w:p>
      <w:pPr>
        <w:pStyle w:val="Heading2"/>
        <w:spacing w:after="150" w:before="300"/>
      </w:pPr>
      <w:bookmarkStart w:name="bm_4_8_model_8_tax_calculation_suite_111" w:id="1"/>
      <w:r>
        <w:t xml:space="preserve">4.8 Model 8 — Tax Calculation Suite</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B4F72" w:val="clear"/>
            <w:tcMar>
              <w:top w:type="dxa" w:w="60"/>
              <w:left w:type="dxa" w:w="100"/>
              <w:bottom w:type="dxa" w:w="60"/>
              <w:right w:type="dxa" w:w="100"/>
            </w:tcMar>
            <w:vAlign w:val="center"/>
          </w:tcPr>
          <w:p>
            <w:r>
              <w:rPr>
                <w:b/>
                <w:bCs/>
                <w:color w:val="FFFFFF"/>
                <w:sz w:val="19"/>
                <w:szCs w:val="19"/>
              </w:rPr>
              <w:t xml:space="preserve">Field / test case</w:t>
            </w:r>
          </w:p>
        </w:tc>
        <w:tc>
          <w:tcPr>
            <w:tcW w:type="dxa" w:w="7900"/>
            <w:shd w:fill="1B4F72" w:val="clear"/>
            <w:tcMar>
              <w:top w:type="dxa" w:w="60"/>
              <w:left w:type="dxa" w:w="100"/>
              <w:bottom w:type="dxa" w:w="60"/>
              <w:right w:type="dxa" w:w="100"/>
            </w:tcMar>
            <w:vAlign w:val="center"/>
          </w:tcPr>
          <w:p>
            <w:r>
              <w:rPr>
                <w:b/>
                <w:bCs/>
                <w:color w:val="FFFFFF"/>
                <w:sz w:val="19"/>
                <w:szCs w:val="19"/>
              </w:rPr>
              <w:t xml:space="preserve">Generation notes</w:t>
            </w:r>
          </w:p>
        </w:tc>
      </w:tr>
      <w:tr>
        <w:tc>
          <w:tcPr>
            <w:tcW w:type="dxa" w:w="2600"/>
            <w:shd w:fill="F4F6F7" w:val="clear"/>
            <w:tcMar>
              <w:top w:type="dxa" w:w="60"/>
              <w:left w:type="dxa" w:w="100"/>
              <w:bottom w:type="dxa" w:w="60"/>
              <w:right w:type="dxa" w:w="100"/>
            </w:tcMar>
            <w:vAlign w:val="center"/>
          </w:tcPr>
          <w:p>
            <w:r>
              <w:rPr>
                <w:sz w:val="19"/>
                <w:szCs w:val="19"/>
              </w:rPr>
              <w:t xml:space="preserve">FY / Tax Year tax constants</w:t>
            </w:r>
          </w:p>
        </w:tc>
        <w:tc>
          <w:tcPr>
            <w:tcW w:type="dxa" w:w="7900"/>
            <w:shd w:fill="F4F6F7" w:val="clear"/>
            <w:tcMar>
              <w:top w:type="dxa" w:w="60"/>
              <w:left w:type="dxa" w:w="100"/>
              <w:bottom w:type="dxa" w:w="60"/>
              <w:right w:type="dxa" w:w="100"/>
            </w:tcMar>
            <w:vAlign w:val="center"/>
          </w:tcPr>
          <w:p>
            <w:r>
              <w:rPr>
                <w:sz w:val="19"/>
                <w:szCs w:val="19"/>
              </w:rPr>
              <w:t xml:space="preserve">Must be the actual current statute's values — for Tax Year 2025-26, the Income Tax Act 1961's section numbers and rates; for Tax Year 2026-27 onward, the Income Tax Act 2025's renumbered sections. This is the one synthetic-data category that should never itself be randomly generated, since wrong tax constants are an incorrect-financial-information problem, not a realism problem.</w:t>
            </w:r>
          </w:p>
        </w:tc>
      </w:tr>
      <w:tr>
        <w:tc>
          <w:tcPr>
            <w:tcW w:type="dxa" w:w="2600"/>
            <w:shd w:fill="FFFFFF" w:val="clear"/>
            <w:tcMar>
              <w:top w:type="dxa" w:w="60"/>
              <w:left w:type="dxa" w:w="100"/>
              <w:bottom w:type="dxa" w:w="60"/>
              <w:right w:type="dxa" w:w="100"/>
            </w:tcMar>
            <w:vAlign w:val="center"/>
          </w:tcPr>
          <w:p>
            <w:r>
              <w:rPr>
                <w:sz w:val="19"/>
                <w:szCs w:val="19"/>
              </w:rPr>
              <w:t xml:space="preserve">capital asset buy/sell records</w:t>
            </w:r>
          </w:p>
        </w:tc>
        <w:tc>
          <w:tcPr>
            <w:tcW w:type="dxa" w:w="7900"/>
            <w:shd w:fill="FFFFFF" w:val="clear"/>
            <w:tcMar>
              <w:top w:type="dxa" w:w="60"/>
              <w:left w:type="dxa" w:w="100"/>
              <w:bottom w:type="dxa" w:w="60"/>
              <w:right w:type="dxa" w:w="100"/>
            </w:tcMar>
            <w:vAlign w:val="center"/>
          </w:tcPr>
          <w:p>
            <w:r>
              <w:rPr>
                <w:sz w:val="19"/>
                <w:szCs w:val="19"/>
              </w:rPr>
              <w:t xml:space="preserve">Include holdings crossing the LTCG/STCG boundary within the test window (e.g. purchased 340-380 days before a simulated ‘today’) to test DaysToLTCG and the pre-sale alert, plus a separate subset of debt-fund units acquired on/after 1 April 2023 to test the Section 50AA slab-rate branch specifically.</w:t>
            </w:r>
          </w:p>
        </w:tc>
      </w:tr>
    </w:tbl>
    <w:p>
      <w:pPr>
        <w:pStyle w:val="Heading2"/>
        <w:spacing w:after="150" w:before="300"/>
      </w:pPr>
      <w:bookmarkStart w:name="bm_4_9_model_9_behavioural_biometrics_112" w:id="1"/>
      <w:r>
        <w:t xml:space="preserve">4.9 Model 9 — Behavioural Biometrics</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B4F72" w:val="clear"/>
            <w:tcMar>
              <w:top w:type="dxa" w:w="60"/>
              <w:left w:type="dxa" w:w="100"/>
              <w:bottom w:type="dxa" w:w="60"/>
              <w:right w:type="dxa" w:w="100"/>
            </w:tcMar>
            <w:vAlign w:val="center"/>
          </w:tcPr>
          <w:p>
            <w:r>
              <w:rPr>
                <w:b/>
                <w:bCs/>
                <w:color w:val="FFFFFF"/>
                <w:sz w:val="19"/>
                <w:szCs w:val="19"/>
              </w:rPr>
              <w:t xml:space="preserve">Field / test case</w:t>
            </w:r>
          </w:p>
        </w:tc>
        <w:tc>
          <w:tcPr>
            <w:tcW w:type="dxa" w:w="7900"/>
            <w:shd w:fill="1B4F72" w:val="clear"/>
            <w:tcMar>
              <w:top w:type="dxa" w:w="60"/>
              <w:left w:type="dxa" w:w="100"/>
              <w:bottom w:type="dxa" w:w="60"/>
              <w:right w:type="dxa" w:w="100"/>
            </w:tcMar>
            <w:vAlign w:val="center"/>
          </w:tcPr>
          <w:p>
            <w:r>
              <w:rPr>
                <w:b/>
                <w:bCs/>
                <w:color w:val="FFFFFF"/>
                <w:sz w:val="19"/>
                <w:szCs w:val="19"/>
              </w:rPr>
              <w:t xml:space="preserve">Generation notes</w:t>
            </w:r>
          </w:p>
        </w:tc>
      </w:tr>
      <w:tr>
        <w:tc>
          <w:tcPr>
            <w:tcW w:type="dxa" w:w="2600"/>
            <w:shd w:fill="F4F6F7" w:val="clear"/>
            <w:tcMar>
              <w:top w:type="dxa" w:w="60"/>
              <w:left w:type="dxa" w:w="100"/>
              <w:bottom w:type="dxa" w:w="60"/>
              <w:right w:type="dxa" w:w="100"/>
            </w:tcMar>
            <w:vAlign w:val="center"/>
          </w:tcPr>
          <w:p>
            <w:r>
              <w:rPr>
                <w:sz w:val="19"/>
                <w:szCs w:val="19"/>
              </w:rPr>
              <w:t xml:space="preserve">session_count per user</w:t>
            </w:r>
          </w:p>
        </w:tc>
        <w:tc>
          <w:tcPr>
            <w:tcW w:type="dxa" w:w="7900"/>
            <w:shd w:fill="F4F6F7" w:val="clear"/>
            <w:tcMar>
              <w:top w:type="dxa" w:w="60"/>
              <w:left w:type="dxa" w:w="100"/>
              <w:bottom w:type="dxa" w:w="60"/>
              <w:right w:type="dxa" w:w="100"/>
            </w:tcMar>
            <w:vAlign w:val="center"/>
          </w:tcPr>
          <w:p>
            <w:r>
              <w:rPr>
                <w:sz w:val="19"/>
                <w:szCs w:val="19"/>
              </w:rPr>
              <w:t xml:space="preserve">Explicitly include users at 0, 5, 10, 14, and 16 sessions to test the cold-start boundary and the proportional feature-weight scaling.</w:t>
            </w:r>
          </w:p>
        </w:tc>
      </w:tr>
    </w:tbl>
    <w:p>
      <w:pPr>
        <w:pStyle w:val="Heading2"/>
        <w:spacing w:after="150" w:before="300"/>
      </w:pPr>
      <w:bookmarkStart w:name="bm_4_10_model_10_sms_fraud_classifier_113" w:id="1"/>
      <w:r>
        <w:t xml:space="preserve">4.10 Model 10 — SMS Fraud Classifier</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B4F72" w:val="clear"/>
            <w:tcMar>
              <w:top w:type="dxa" w:w="60"/>
              <w:left w:type="dxa" w:w="100"/>
              <w:bottom w:type="dxa" w:w="60"/>
              <w:right w:type="dxa" w:w="100"/>
            </w:tcMar>
            <w:vAlign w:val="center"/>
          </w:tcPr>
          <w:p>
            <w:r>
              <w:rPr>
                <w:b/>
                <w:bCs/>
                <w:color w:val="FFFFFF"/>
                <w:sz w:val="19"/>
                <w:szCs w:val="19"/>
              </w:rPr>
              <w:t xml:space="preserve">Field / test case</w:t>
            </w:r>
          </w:p>
        </w:tc>
        <w:tc>
          <w:tcPr>
            <w:tcW w:type="dxa" w:w="7900"/>
            <w:shd w:fill="1B4F72" w:val="clear"/>
            <w:tcMar>
              <w:top w:type="dxa" w:w="60"/>
              <w:left w:type="dxa" w:w="100"/>
              <w:bottom w:type="dxa" w:w="60"/>
              <w:right w:type="dxa" w:w="100"/>
            </w:tcMar>
            <w:vAlign w:val="center"/>
          </w:tcPr>
          <w:p>
            <w:r>
              <w:rPr>
                <w:b/>
                <w:bCs/>
                <w:color w:val="FFFFFF"/>
                <w:sz w:val="19"/>
                <w:szCs w:val="19"/>
              </w:rPr>
              <w:t xml:space="preserve">Generation notes</w:t>
            </w:r>
          </w:p>
        </w:tc>
      </w:tr>
      <w:tr>
        <w:tc>
          <w:tcPr>
            <w:tcW w:type="dxa" w:w="2600"/>
            <w:shd w:fill="F4F6F7" w:val="clear"/>
            <w:tcMar>
              <w:top w:type="dxa" w:w="60"/>
              <w:left w:type="dxa" w:w="100"/>
              <w:bottom w:type="dxa" w:w="60"/>
              <w:right w:type="dxa" w:w="100"/>
            </w:tcMar>
            <w:vAlign w:val="center"/>
          </w:tcPr>
          <w:p>
            <w:r>
              <w:rPr>
                <w:sz w:val="19"/>
                <w:szCs w:val="19"/>
              </w:rPr>
              <w:t xml:space="preserve">sender_id, message_text, embedded_urls</w:t>
            </w:r>
          </w:p>
        </w:tc>
        <w:tc>
          <w:tcPr>
            <w:tcW w:type="dxa" w:w="7900"/>
            <w:shd w:fill="F4F6F7" w:val="clear"/>
            <w:tcMar>
              <w:top w:type="dxa" w:w="60"/>
              <w:left w:type="dxa" w:w="100"/>
              <w:bottom w:type="dxa" w:w="60"/>
              <w:right w:type="dxa" w:w="100"/>
            </w:tcMar>
            <w:vAlign w:val="center"/>
          </w:tcPr>
          <w:p>
            <w:r>
              <w:rPr>
                <w:sz w:val="19"/>
                <w:szCs w:val="19"/>
              </w:rPr>
              <w:t xml:space="preserve">Construct explicit positive cases for each of L1-L5 independently, not just blended realistic-looking spam, so each rule layer can be validated in isolation.</w:t>
            </w:r>
          </w:p>
        </w:tc>
      </w:tr>
    </w:tbl>
    <w:p>
      <w:pPr>
        <w:pStyle w:val="Heading2"/>
        <w:spacing w:after="150" w:before="300"/>
      </w:pPr>
      <w:bookmarkStart w:name="bm_4_11_model_11_explainability_framework_114" w:id="1"/>
      <w:r>
        <w:t xml:space="preserve">4.11 Model 11 — Explainability Framework</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B4F72" w:val="clear"/>
            <w:tcMar>
              <w:top w:type="dxa" w:w="60"/>
              <w:left w:type="dxa" w:w="100"/>
              <w:bottom w:type="dxa" w:w="60"/>
              <w:right w:type="dxa" w:w="100"/>
            </w:tcMar>
            <w:vAlign w:val="center"/>
          </w:tcPr>
          <w:p>
            <w:r>
              <w:rPr>
                <w:b/>
                <w:bCs/>
                <w:color w:val="FFFFFF"/>
                <w:sz w:val="19"/>
                <w:szCs w:val="19"/>
              </w:rPr>
              <w:t xml:space="preserve">Field / test case</w:t>
            </w:r>
          </w:p>
        </w:tc>
        <w:tc>
          <w:tcPr>
            <w:tcW w:type="dxa" w:w="7900"/>
            <w:shd w:fill="1B4F72" w:val="clear"/>
            <w:tcMar>
              <w:top w:type="dxa" w:w="60"/>
              <w:left w:type="dxa" w:w="100"/>
              <w:bottom w:type="dxa" w:w="60"/>
              <w:right w:type="dxa" w:w="100"/>
            </w:tcMar>
            <w:vAlign w:val="center"/>
          </w:tcPr>
          <w:p>
            <w:r>
              <w:rPr>
                <w:b/>
                <w:bCs/>
                <w:color w:val="FFFFFF"/>
                <w:sz w:val="19"/>
                <w:szCs w:val="19"/>
              </w:rPr>
              <w:t xml:space="preserve">Generation notes</w:t>
            </w:r>
          </w:p>
        </w:tc>
      </w:tr>
      <w:tr>
        <w:tc>
          <w:tcPr>
            <w:tcW w:type="dxa" w:w="2600"/>
            <w:shd w:fill="F4F6F7" w:val="clear"/>
            <w:tcMar>
              <w:top w:type="dxa" w:w="60"/>
              <w:left w:type="dxa" w:w="100"/>
              <w:bottom w:type="dxa" w:w="60"/>
              <w:right w:type="dxa" w:w="100"/>
            </w:tcMar>
            <w:vAlign w:val="center"/>
          </w:tcPr>
          <w:p>
            <w:r>
              <w:rPr>
                <w:sz w:val="19"/>
                <w:szCs w:val="19"/>
              </w:rPr>
              <w:t xml:space="preserve">Paired (decision, explanation) records across every model</w:t>
            </w:r>
          </w:p>
        </w:tc>
        <w:tc>
          <w:tcPr>
            <w:tcW w:type="dxa" w:w="7900"/>
            <w:shd w:fill="F4F6F7" w:val="clear"/>
            <w:tcMar>
              <w:top w:type="dxa" w:w="60"/>
              <w:left w:type="dxa" w:w="100"/>
              <w:bottom w:type="dxa" w:w="60"/>
              <w:right w:type="dxa" w:w="100"/>
            </w:tcMar>
            <w:vAlign w:val="center"/>
          </w:tcPr>
          <w:p>
            <w:r>
              <w:rPr>
                <w:sz w:val="19"/>
                <w:szCs w:val="19"/>
              </w:rPr>
              <w:t xml:space="preserve">For each model's synthetic decision output, generate the corresponding topFactors/confidence/counterfactual triple and verify the output-vocabulary filter (Section 2.11.5) rejects every deliberately-injected forbidden-term test string.</w:t>
            </w:r>
          </w:p>
        </w:tc>
      </w:tr>
    </w:tbl>
    <w:p>
      <w:pPr>
        <w:pStyle w:val="Heading2"/>
        <w:spacing w:after="150" w:before="300"/>
      </w:pPr>
      <w:bookmarkStart w:name="bm_4_12_model_12_debt_optimisation_engine_115" w:id="1"/>
      <w:r>
        <w:t xml:space="preserve">4.12 Model 12 — Debt Optimisation Engine</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B4F72" w:val="clear"/>
            <w:tcMar>
              <w:top w:type="dxa" w:w="60"/>
              <w:left w:type="dxa" w:w="100"/>
              <w:bottom w:type="dxa" w:w="60"/>
              <w:right w:type="dxa" w:w="100"/>
            </w:tcMar>
            <w:vAlign w:val="center"/>
          </w:tcPr>
          <w:p>
            <w:r>
              <w:rPr>
                <w:b/>
                <w:bCs/>
                <w:color w:val="FFFFFF"/>
                <w:sz w:val="19"/>
                <w:szCs w:val="19"/>
              </w:rPr>
              <w:t xml:space="preserve">Field / test case</w:t>
            </w:r>
          </w:p>
        </w:tc>
        <w:tc>
          <w:tcPr>
            <w:tcW w:type="dxa" w:w="7900"/>
            <w:shd w:fill="1B4F72" w:val="clear"/>
            <w:tcMar>
              <w:top w:type="dxa" w:w="60"/>
              <w:left w:type="dxa" w:w="100"/>
              <w:bottom w:type="dxa" w:w="60"/>
              <w:right w:type="dxa" w:w="100"/>
            </w:tcMar>
            <w:vAlign w:val="center"/>
          </w:tcPr>
          <w:p>
            <w:r>
              <w:rPr>
                <w:b/>
                <w:bCs/>
                <w:color w:val="FFFFFF"/>
                <w:sz w:val="19"/>
                <w:szCs w:val="19"/>
              </w:rPr>
              <w:t xml:space="preserve">Generation notes</w:t>
            </w:r>
          </w:p>
        </w:tc>
      </w:tr>
      <w:tr>
        <w:tc>
          <w:tcPr>
            <w:tcW w:type="dxa" w:w="2600"/>
            <w:shd w:fill="F4F6F7" w:val="clear"/>
            <w:tcMar>
              <w:top w:type="dxa" w:w="60"/>
              <w:left w:type="dxa" w:w="100"/>
              <w:bottom w:type="dxa" w:w="60"/>
              <w:right w:type="dxa" w:w="100"/>
            </w:tcMar>
            <w:vAlign w:val="center"/>
          </w:tcPr>
          <w:p>
            <w:r>
              <w:rPr>
                <w:sz w:val="19"/>
                <w:szCs w:val="19"/>
              </w:rPr>
              <w:t xml:space="preserve">loan_set (rate type, borrower type, sanction date, lender category)</w:t>
            </w:r>
          </w:p>
        </w:tc>
        <w:tc>
          <w:tcPr>
            <w:tcW w:type="dxa" w:w="7900"/>
            <w:shd w:fill="F4F6F7" w:val="clear"/>
            <w:tcMar>
              <w:top w:type="dxa" w:w="60"/>
              <w:left w:type="dxa" w:w="100"/>
              <w:bottom w:type="dxa" w:w="60"/>
              <w:right w:type="dxa" w:w="100"/>
            </w:tcMar>
            <w:vAlign w:val="center"/>
          </w:tcPr>
          <w:p>
            <w:r>
              <w:rPr>
                <w:sz w:val="19"/>
                <w:szCs w:val="19"/>
              </w:rPr>
              <w:t xml:space="preserve">Must include floating-rate individual loans, floating-rate business loans to individuals and MSEs both before and after 1 January 2026, and loans from Tier-1/Tier-2 UCBs/base-layer NBFCs specifically — the corrected ForeclosurePenaltyRate decision table (Section 2.12.4) has enough branches that each one needs its own positive test case.</w:t>
            </w:r>
          </w:p>
        </w:tc>
      </w:tr>
    </w:tbl>
    <w:p>
      <w:pPr>
        <w:pStyle w:val="Heading2"/>
        <w:spacing w:after="150" w:before="300"/>
      </w:pPr>
      <w:bookmarkStart w:name="bm_4_13_model_13_scenario_simulation_engine_116" w:id="1"/>
      <w:r>
        <w:t xml:space="preserve">4.13 Model 13 — Scenario Simulation Engine</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B4F72" w:val="clear"/>
            <w:tcMar>
              <w:top w:type="dxa" w:w="60"/>
              <w:left w:type="dxa" w:w="100"/>
              <w:bottom w:type="dxa" w:w="60"/>
              <w:right w:type="dxa" w:w="100"/>
            </w:tcMar>
            <w:vAlign w:val="center"/>
          </w:tcPr>
          <w:p>
            <w:r>
              <w:rPr>
                <w:b/>
                <w:bCs/>
                <w:color w:val="FFFFFF"/>
                <w:sz w:val="19"/>
                <w:szCs w:val="19"/>
              </w:rPr>
              <w:t xml:space="preserve">Field / test case</w:t>
            </w:r>
          </w:p>
        </w:tc>
        <w:tc>
          <w:tcPr>
            <w:tcW w:type="dxa" w:w="7900"/>
            <w:shd w:fill="1B4F72" w:val="clear"/>
            <w:tcMar>
              <w:top w:type="dxa" w:w="60"/>
              <w:left w:type="dxa" w:w="100"/>
              <w:bottom w:type="dxa" w:w="60"/>
              <w:right w:type="dxa" w:w="100"/>
            </w:tcMar>
            <w:vAlign w:val="center"/>
          </w:tcPr>
          <w:p>
            <w:r>
              <w:rPr>
                <w:b/>
                <w:bCs/>
                <w:color w:val="FFFFFF"/>
                <w:sz w:val="19"/>
                <w:szCs w:val="19"/>
              </w:rPr>
              <w:t xml:space="preserve">Generation notes</w:t>
            </w:r>
          </w:p>
        </w:tc>
      </w:tr>
      <w:tr>
        <w:tc>
          <w:tcPr>
            <w:tcW w:type="dxa" w:w="2600"/>
            <w:shd w:fill="F4F6F7" w:val="clear"/>
            <w:tcMar>
              <w:top w:type="dxa" w:w="60"/>
              <w:left w:type="dxa" w:w="100"/>
              <w:bottom w:type="dxa" w:w="60"/>
              <w:right w:type="dxa" w:w="100"/>
            </w:tcMar>
            <w:vAlign w:val="center"/>
          </w:tcPr>
          <w:p>
            <w:r>
              <w:rPr>
                <w:sz w:val="19"/>
                <w:szCs w:val="19"/>
              </w:rPr>
              <w:t xml:space="preserve">blended asset-class return series</w:t>
            </w:r>
          </w:p>
        </w:tc>
        <w:tc>
          <w:tcPr>
            <w:tcW w:type="dxa" w:w="7900"/>
            <w:shd w:fill="F4F6F7" w:val="clear"/>
            <w:tcMar>
              <w:top w:type="dxa" w:w="60"/>
              <w:left w:type="dxa" w:w="100"/>
              <w:bottom w:type="dxa" w:w="60"/>
              <w:right w:type="dxa" w:w="100"/>
            </w:tcMar>
            <w:vAlign w:val="center"/>
          </w:tcPr>
          <w:p>
            <w:r>
              <w:rPr>
                <w:sz w:val="19"/>
                <w:szCs w:val="19"/>
              </w:rPr>
              <w:t xml:space="preserve">Real historical data, same requirement as Model 6, to preserve genuine fat-tail behaviour for the bootstrap.</w:t>
            </w:r>
          </w:p>
        </w:tc>
      </w:tr>
    </w:tbl>
    <w:p>
      <w:pPr>
        <w:pStyle w:val="Heading2"/>
        <w:spacing w:after="150" w:before="300"/>
      </w:pPr>
      <w:bookmarkStart w:name="bm_4_14_model_14_market_manipulation_panic__117" w:id="1"/>
      <w:r>
        <w:t xml:space="preserve">4.14 Model 14 — Market Manipulation &amp; Panic-Sell Defence</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B4F72" w:val="clear"/>
            <w:tcMar>
              <w:top w:type="dxa" w:w="60"/>
              <w:left w:type="dxa" w:w="100"/>
              <w:bottom w:type="dxa" w:w="60"/>
              <w:right w:type="dxa" w:w="100"/>
            </w:tcMar>
            <w:vAlign w:val="center"/>
          </w:tcPr>
          <w:p>
            <w:r>
              <w:rPr>
                <w:b/>
                <w:bCs/>
                <w:color w:val="FFFFFF"/>
                <w:sz w:val="19"/>
                <w:szCs w:val="19"/>
              </w:rPr>
              <w:t xml:space="preserve">Field / test case</w:t>
            </w:r>
          </w:p>
        </w:tc>
        <w:tc>
          <w:tcPr>
            <w:tcW w:type="dxa" w:w="7900"/>
            <w:shd w:fill="1B4F72" w:val="clear"/>
            <w:tcMar>
              <w:top w:type="dxa" w:w="60"/>
              <w:left w:type="dxa" w:w="100"/>
              <w:bottom w:type="dxa" w:w="60"/>
              <w:right w:type="dxa" w:w="100"/>
            </w:tcMar>
            <w:vAlign w:val="center"/>
          </w:tcPr>
          <w:p>
            <w:r>
              <w:rPr>
                <w:b/>
                <w:bCs/>
                <w:color w:val="FFFFFF"/>
                <w:sz w:val="19"/>
                <w:szCs w:val="19"/>
              </w:rPr>
              <w:t xml:space="preserve">Generation notes</w:t>
            </w:r>
          </w:p>
        </w:tc>
      </w:tr>
      <w:tr>
        <w:tc>
          <w:tcPr>
            <w:tcW w:type="dxa" w:w="2600"/>
            <w:shd w:fill="F4F6F7" w:val="clear"/>
            <w:tcMar>
              <w:top w:type="dxa" w:w="60"/>
              <w:left w:type="dxa" w:w="100"/>
              <w:bottom w:type="dxa" w:w="60"/>
              <w:right w:type="dxa" w:w="100"/>
            </w:tcMar>
            <w:vAlign w:val="center"/>
          </w:tcPr>
          <w:p>
            <w:r>
              <w:rPr>
                <w:sz w:val="19"/>
                <w:szCs w:val="19"/>
              </w:rPr>
              <w:t xml:space="preserve">sell orders during synthetic market drawdown events</w:t>
            </w:r>
          </w:p>
        </w:tc>
        <w:tc>
          <w:tcPr>
            <w:tcW w:type="dxa" w:w="7900"/>
            <w:shd w:fill="F4F6F7" w:val="clear"/>
            <w:tcMar>
              <w:top w:type="dxa" w:w="60"/>
              <w:left w:type="dxa" w:w="100"/>
              <w:bottom w:type="dxa" w:w="60"/>
              <w:right w:type="dxa" w:w="100"/>
            </w:tcMar>
            <w:vAlign w:val="center"/>
          </w:tcPr>
          <w:p>
            <w:r>
              <w:rPr>
                <w:sz w:val="19"/>
                <w:szCs w:val="19"/>
              </w:rPr>
              <w:t xml:space="preserve">Include drawdowns in a SPECIFIC holding's relevant benchmark (not just the broad index) to validate the per-holding-benchmark correction in Section 2.14.2.</w:t>
            </w:r>
          </w:p>
        </w:tc>
      </w:tr>
    </w:tbl>
    <w:p>
      <w:pPr>
        <w:pStyle w:val="Heading2"/>
        <w:spacing w:after="150" w:before="300"/>
      </w:pPr>
      <w:bookmarkStart w:name="bm_4_15_model_15_news_disinformation_integr_118" w:id="1"/>
      <w:r>
        <w:t xml:space="preserve">4.15 Model 15 — News / Disinformation Integrity Filter</w:t>
      </w:r>
      <w:bookmarkEnd w:id="1"/>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B4F72" w:val="clear"/>
            <w:tcMar>
              <w:top w:type="dxa" w:w="60"/>
              <w:left w:type="dxa" w:w="100"/>
              <w:bottom w:type="dxa" w:w="60"/>
              <w:right w:type="dxa" w:w="100"/>
            </w:tcMar>
            <w:vAlign w:val="center"/>
          </w:tcPr>
          <w:p>
            <w:r>
              <w:rPr>
                <w:b/>
                <w:bCs/>
                <w:color w:val="FFFFFF"/>
                <w:sz w:val="19"/>
                <w:szCs w:val="19"/>
              </w:rPr>
              <w:t xml:space="preserve">Field / test case</w:t>
            </w:r>
          </w:p>
        </w:tc>
        <w:tc>
          <w:tcPr>
            <w:tcW w:type="dxa" w:w="7900"/>
            <w:shd w:fill="1B4F72" w:val="clear"/>
            <w:tcMar>
              <w:top w:type="dxa" w:w="60"/>
              <w:left w:type="dxa" w:w="100"/>
              <w:bottom w:type="dxa" w:w="60"/>
              <w:right w:type="dxa" w:w="100"/>
            </w:tcMar>
            <w:vAlign w:val="center"/>
          </w:tcPr>
          <w:p>
            <w:r>
              <w:rPr>
                <w:b/>
                <w:bCs/>
                <w:color w:val="FFFFFF"/>
                <w:sz w:val="19"/>
                <w:szCs w:val="19"/>
              </w:rPr>
              <w:t xml:space="preserve">Generation notes</w:t>
            </w:r>
          </w:p>
        </w:tc>
      </w:tr>
      <w:tr>
        <w:tc>
          <w:tcPr>
            <w:tcW w:type="dxa" w:w="2600"/>
            <w:shd w:fill="F4F6F7" w:val="clear"/>
            <w:tcMar>
              <w:top w:type="dxa" w:w="60"/>
              <w:left w:type="dxa" w:w="100"/>
              <w:bottom w:type="dxa" w:w="60"/>
              <w:right w:type="dxa" w:w="100"/>
            </w:tcMar>
            <w:vAlign w:val="center"/>
          </w:tcPr>
          <w:p>
            <w:r>
              <w:rPr>
                <w:sz w:val="19"/>
                <w:szCs w:val="19"/>
              </w:rPr>
              <w:t xml:space="preserve">article source_domain, text content</w:t>
            </w:r>
          </w:p>
        </w:tc>
        <w:tc>
          <w:tcPr>
            <w:tcW w:type="dxa" w:w="7900"/>
            <w:shd w:fill="F4F6F7" w:val="clear"/>
            <w:tcMar>
              <w:top w:type="dxa" w:w="60"/>
              <w:left w:type="dxa" w:w="100"/>
              <w:bottom w:type="dxa" w:w="60"/>
              <w:right w:type="dxa" w:w="100"/>
            </w:tcMar>
            <w:vAlign w:val="center"/>
          </w:tcPr>
          <w:p>
            <w:r>
              <w:rPr>
                <w:sz w:val="19"/>
                <w:szCs w:val="19"/>
              </w:rPr>
              <w:t xml:space="preserve">Real articles (appropriately licensed) from both inside and outside the whitelist, since Stage 1's admit/reject behaviour needs genuine source diversity, not synthetic text.</w:t>
            </w:r>
          </w:p>
        </w:tc>
      </w:tr>
    </w:tbl>
    <w:p>
      <w:r>
        <w:br w:type="page"/>
      </w:r>
    </w:p>
    <w:p>
      <w:pPr>
        <w:pStyle w:val="Heading1"/>
        <w:spacing w:after="200" w:before="400"/>
      </w:pPr>
      <w:bookmarkStart w:name="bm_5_references_119" w:id="1"/>
      <w:r>
        <w:t xml:space="preserve">5. References</w:t>
      </w:r>
      <w:bookmarkEnd w:id="1"/>
    </w:p>
    <w:p>
      <w:pPr>
        <w:spacing w:after="150"/>
      </w:pPr>
      <w:r>
        <w:t xml:space="preserve">Every law, regulation, or official framework this document depends on, with what it governs here. Items marked (verified via web search, July 2026) were checked against current sources during this revision rather than carried forward from the prior draft.</w:t>
      </w:r>
    </w:p>
    <w:p>
      <w:pPr>
        <w:pStyle w:val="Heading2"/>
        <w:spacing w:after="150" w:before="300"/>
      </w:pPr>
      <w:bookmarkStart w:name="bm_5_1_data_protection_law_120" w:id="1"/>
      <w:r>
        <w:t xml:space="preserve">5.1 Data Protection Law</w:t>
      </w:r>
      <w:bookmarkEnd w:id="1"/>
    </w:p>
    <w:p>
      <w:pPr>
        <w:pStyle w:val="ListParagraph"/>
        <w:numPr>
          <w:ilvl w:val="0"/>
          <w:numId w:val="1"/>
        </w:numPr>
        <w:spacing w:after="80"/>
      </w:pPr>
      <w:r>
        <w:t xml:space="preserve">Digital Personal Data Protection Act, 2023 — India's core data-protection statute; the primary legal-basis framework throughout Section 3.</w:t>
      </w:r>
    </w:p>
    <w:p>
      <w:pPr>
        <w:pStyle w:val="ListParagraph"/>
        <w:numPr>
          <w:ilvl w:val="0"/>
          <w:numId w:val="1"/>
        </w:numPr>
        <w:spacing w:after="80"/>
      </w:pPr>
      <w:r>
        <w:t xml:space="preserve">Digital Personal Data Protection Rules, 2025 — notified 13–14 November 2025, operationalising the Act's delegated provisions. Phased implementation: procedural provisions effective from the November 2025 notification date; Consent Manager registration and further obligations phasing in through November 2026; full compliance obligations required by May 2027. (verified via web search, July 2026).</w:t>
      </w:r>
    </w:p>
    <w:p>
      <w:pPr>
        <w:pStyle w:val="ListParagraph"/>
        <w:numPr>
          <w:ilvl w:val="0"/>
          <w:numId w:val="1"/>
        </w:numPr>
        <w:spacing w:after="80"/>
      </w:pPr>
      <w:r>
        <w:t xml:space="preserve">Aadhaar (Targeted Delivery of Financial and Other Subsidies, Benefits and Services) Act, 2016 — a distinct consent/purpose-limitation regime applying specifically to Aadhaar-linked eKYC data, reconciled with, not superseded by, DPDP obligations.</w:t>
      </w:r>
    </w:p>
    <w:p>
      <w:pPr>
        <w:pStyle w:val="Heading2"/>
        <w:spacing w:after="150" w:before="300"/>
      </w:pPr>
      <w:bookmarkStart w:name="bm_5_2_banking_and_payments_regulation_rbi__121" w:id="1"/>
      <w:r>
        <w:t xml:space="preserve">5.2 Banking and Payments Regulation (RBI)</w:t>
      </w:r>
      <w:bookmarkEnd w:id="1"/>
    </w:p>
    <w:p>
      <w:pPr>
        <w:pStyle w:val="ListParagraph"/>
        <w:numPr>
          <w:ilvl w:val="0"/>
          <w:numId w:val="1"/>
        </w:numPr>
        <w:spacing w:after="80"/>
      </w:pPr>
      <w:r>
        <w:t xml:space="preserve">RBI Master Direction on Know Your Customer (KYC) — legal basis for eKYC/CKYC data collection, distinct from and in addition to DPDP consent.</w:t>
      </w:r>
    </w:p>
    <w:p>
      <w:pPr>
        <w:pStyle w:val="ListParagraph"/>
        <w:numPr>
          <w:ilvl w:val="0"/>
          <w:numId w:val="1"/>
        </w:numPr>
        <w:spacing w:after="80"/>
      </w:pPr>
      <w:r>
        <w:t xml:space="preserve">RBI circular on External Benchmark Based Lending, dated 4 September 2019 — mandates linking new floating-rate retail and MSE loans to an external benchmark (commonly repo rate) effective 1 October 2019, medium enterprises from 1 April 2020; basis for TransmissionFactor ≈ 1.0 in Model 12 (Section 2.12.2). Corrected in this revision from an earlier, incorrect “February 2019” date. (verified via web search, July 2026).</w:t>
      </w:r>
    </w:p>
    <w:p>
      <w:pPr>
        <w:pStyle w:val="ListParagraph"/>
        <w:numPr>
          <w:ilvl w:val="0"/>
          <w:numId w:val="1"/>
        </w:numPr>
        <w:spacing w:after="80"/>
      </w:pPr>
      <w:r>
        <w:t xml:space="preserve">RBI circular on non-levy of foreclosure/prepayment charges on floating-rate loans to individual borrowers, 2014, as superseded and substantially expanded by the RBI (Pre-payment Charges on Loans) Directions, 2025 — in force for loans sanctioned or renewed on or after 1 January 2026, extending the zero-charge rule to floating-rate business loans for individuals and Micro &amp; Small Enterprises up to an aggregate sanctioned limit of ₹7.5 crore, with a narrow exemption for Tier-1/Tier-2 urban co-operative banks and base-layer NBFCs. Basis for the corrected ForeclosurePenaltyRate decision table in Model 12 (Section 2.12.4). (verified via web search, July 2026 — this is the single most consequential correction in this revision and should be re-confirmed against the finalised Directions text before production use, since this area of regulation has changed materially more than once in recent years).</w:t>
      </w:r>
    </w:p>
    <w:p>
      <w:pPr>
        <w:pStyle w:val="ListParagraph"/>
        <w:numPr>
          <w:ilvl w:val="0"/>
          <w:numId w:val="1"/>
        </w:numPr>
        <w:spacing w:after="80"/>
      </w:pPr>
      <w:r>
        <w:t xml:space="preserve">RBI-regulated Account Aggregator (AA) framework — primary legal/consent basis for financial data collection across most models (Section 3.1).</w:t>
      </w:r>
    </w:p>
    <w:p>
      <w:pPr>
        <w:pStyle w:val="ListParagraph"/>
        <w:numPr>
          <w:ilvl w:val="0"/>
          <w:numId w:val="1"/>
        </w:numPr>
        <w:spacing w:after="80"/>
      </w:pPr>
      <w:r>
        <w:t xml:space="preserve">RBI FREE-AI Committee Report, “Framework for Responsible and Ethical Enablement of Artificial Intelligence,” released 13 August 2025 — seven guiding Sutras (trust, people first, innovation over restraint, fairness and equity, accountability, understandable by design, and safety/resilience/sustainability) and 26 recommendations across six pillars for responsible AI in Indian financial services. Basis for this document's explainability-by-construction design (Model 11, Section 2.11) and bias-audit expectations. (verified via web search, July 2026).</w:t>
      </w:r>
    </w:p>
    <w:p>
      <w:pPr>
        <w:pStyle w:val="ListParagraph"/>
        <w:numPr>
          <w:ilvl w:val="0"/>
          <w:numId w:val="1"/>
        </w:numPr>
        <w:spacing w:after="80"/>
      </w:pPr>
      <w:r>
        <w:t xml:space="preserve">RBI draft regulatory guidelines on model risk management (building on August 2024 draft principles) — basis for treating every model's version, feature vector, and decision as requiring immutable audit logging.</w:t>
      </w:r>
    </w:p>
    <w:p>
      <w:pPr>
        <w:pStyle w:val="ListParagraph"/>
        <w:numPr>
          <w:ilvl w:val="0"/>
          <w:numId w:val="1"/>
        </w:numPr>
        <w:spacing w:after="80"/>
      </w:pPr>
      <w:r>
        <w:t xml:space="preserve">RBI Digital Lending Guidelines, 2022 — governs Model 12's Key Fact Statement-style disclosure obligations for EffectiveAPR and all-in cost transparency.</w:t>
      </w:r>
    </w:p>
    <w:p>
      <w:pPr>
        <w:pStyle w:val="ListParagraph"/>
        <w:numPr>
          <w:ilvl w:val="0"/>
          <w:numId w:val="1"/>
        </w:numPr>
        <w:spacing w:after="80"/>
      </w:pPr>
      <w:r>
        <w:t xml:space="preserve">RBI Master Direction on Digital Payment Security Controls — governs Model 1's step-up authentication logic at a regulatory-control level.</w:t>
      </w:r>
    </w:p>
    <w:p>
      <w:pPr>
        <w:pStyle w:val="Heading2"/>
        <w:spacing w:after="150" w:before="300"/>
      </w:pPr>
      <w:bookmarkStart w:name="bm_5_3_financial_benchmarks_grounding_the_f_122" w:id="1"/>
      <w:r>
        <w:t xml:space="preserve">5.3 Financial Benchmarks Grounding the Financial Health Score</w:t>
      </w:r>
      <w:bookmarkEnd w:id="1"/>
    </w:p>
    <w:p>
      <w:pPr>
        <w:pStyle w:val="ListParagraph"/>
        <w:numPr>
          <w:ilvl w:val="0"/>
          <w:numId w:val="1"/>
        </w:numPr>
        <w:spacing w:after="80"/>
      </w:pPr>
      <w:r>
        <w:t xml:space="preserve">Emergency fund sizing (3–6 months single/family, 9–12 months variable-income) — cross-checked against SEBI investor-education material and standard Indian CFP practice guidance.</w:t>
      </w:r>
    </w:p>
    <w:p>
      <w:pPr>
        <w:pStyle w:val="ListParagraph"/>
        <w:numPr>
          <w:ilvl w:val="0"/>
          <w:numId w:val="1"/>
        </w:numPr>
        <w:spacing w:after="80"/>
      </w:pPr>
      <w:r>
        <w:t xml:space="preserve">FOIR ceilings of roughly 40–55%, scaling by income level and employment type — cross-checked against current Indian bank underwriting practice; used in Model 2 Pillar 2 as a reference ceiling that the model's own health target is set more conservatively than, not as the health target itself.</w:t>
      </w:r>
    </w:p>
    <w:p>
      <w:pPr>
        <w:pStyle w:val="ListParagraph"/>
        <w:numPr>
          <w:ilvl w:val="0"/>
          <w:numId w:val="1"/>
        </w:numPr>
        <w:spacing w:after="80"/>
      </w:pPr>
      <w:r>
        <w:t xml:space="preserve">Median Absolute Deviation (MAD) with the 1.4826 scaling constant — standard robust-statistics convention (Leys et al., 2013), the mathematical foundation for Model 2's non-punitive redesign.</w:t>
      </w:r>
    </w:p>
    <w:p>
      <w:pPr>
        <w:pStyle w:val="Heading2"/>
        <w:spacing w:after="150" w:before="300"/>
      </w:pPr>
      <w:bookmarkStart w:name="bm_5_4_investment_and_insurance_regulation_123" w:id="1"/>
      <w:r>
        <w:t xml:space="preserve">5.4 Investment and Insurance Regulation</w:t>
      </w:r>
      <w:bookmarkEnd w:id="1"/>
    </w:p>
    <w:p>
      <w:pPr>
        <w:pStyle w:val="ListParagraph"/>
        <w:numPr>
          <w:ilvl w:val="0"/>
          <w:numId w:val="1"/>
        </w:numPr>
        <w:spacing w:after="80"/>
      </w:pPr>
      <w:r>
        <w:t xml:space="preserve">SEBI's investment-advice boundary (registered investment adviser requirements) — the reason Model 6 is architected as a deterministic, auditable formula rather than a learned recommendation model, and why every output stays in a “consider/informational” register (Model 11, Section 2.11.5).</w:t>
      </w:r>
    </w:p>
    <w:p>
      <w:pPr>
        <w:pStyle w:val="ListParagraph"/>
        <w:numPr>
          <w:ilvl w:val="0"/>
          <w:numId w:val="1"/>
        </w:numPr>
        <w:spacing w:after="80"/>
      </w:pPr>
      <w:r>
        <w:t xml:space="preserve">IRDAI regulatory ambit over insurance recommendations — governs Model 7's policy-type-optimality flag (Section 2.7.2), which needs its own legal review given how close general educational framing can come to solicitation.</w:t>
      </w:r>
    </w:p>
    <w:p>
      <w:pPr>
        <w:pStyle w:val="ListParagraph"/>
        <w:numPr>
          <w:ilvl w:val="0"/>
          <w:numId w:val="1"/>
        </w:numPr>
        <w:spacing w:after="80"/>
      </w:pPr>
      <w:r>
        <w:t xml:space="preserve">Credit Information Companies (Regulation) Act, 2005 — the boundary Model 2 and Model 12's credit-utilisation monitoring must stay clear of; the Financial Health Score must never be represented as, or silently feed, an actual credit-bureau score.</w:t>
      </w:r>
    </w:p>
    <w:p>
      <w:pPr>
        <w:pStyle w:val="ListParagraph"/>
        <w:numPr>
          <w:ilvl w:val="0"/>
          <w:numId w:val="1"/>
        </w:numPr>
        <w:spacing w:after="80"/>
      </w:pPr>
      <w:r>
        <w:t xml:space="preserve">PFRDA regulations — required for any NPS-specific projection in Model 13 to use PFRDA-published assumptions rather than an arbitrary blended return figure.</w:t>
      </w:r>
    </w:p>
    <w:p>
      <w:pPr>
        <w:pStyle w:val="Heading2"/>
        <w:spacing w:after="150" w:before="300"/>
      </w:pPr>
      <w:bookmarkStart w:name="bm_5_5_tax_law_124" w:id="1"/>
      <w:r>
        <w:t xml:space="preserve">5.5 Tax Law</w:t>
      </w:r>
      <w:bookmarkEnd w:id="1"/>
    </w:p>
    <w:p>
      <w:pPr>
        <w:pStyle w:val="ListParagraph"/>
        <w:numPr>
          <w:ilvl w:val="0"/>
          <w:numId w:val="1"/>
        </w:numPr>
        <w:spacing w:after="80"/>
      </w:pPr>
      <w:r>
        <w:t xml:space="preserve">Income Tax Act, 1961 — governs Tax Year/FY 2025-26 filings, the ones actually being filed in the current July 2026 filing season; still cited by its familiar section numbers (80C, 80D, 87A, 111A, 112A, etc.) for this filing year. (verified via web search, July 2026).</w:t>
      </w:r>
    </w:p>
    <w:p>
      <w:pPr>
        <w:pStyle w:val="ListParagraph"/>
        <w:numPr>
          <w:ilvl w:val="0"/>
          <w:numId w:val="1"/>
        </w:numPr>
        <w:spacing w:after="80"/>
      </w:pPr>
      <w:r>
        <w:t xml:space="preserve">Income Tax Act, 2025 — replaces the 1961 Act with effect from 1 April 2026, governing Tax Year 2026-27 onward with substantially renumbered sections (80C → approximately Section 123, 80D → approximately Section 126, the Section 87A rebate → approximately Section 156/157) under the unified “Tax Year” concept, which replaces the separate Previous Year/Assessment Year terminology. Rates, slabs, and deduction limits are unchanged by the renumbering — this is a structural/drafting reform, not a rate change. Basis for the dual-statute-aware design in Model 8 (Section 2.8.1), a correction that was entirely absent from the prior draft. (verified via web search, July 2026 — final consolidated section-number mapping should be confirmed against the Income-tax Rules, 2026 before production use).</w:t>
      </w:r>
    </w:p>
    <w:p>
      <w:pPr>
        <w:pStyle w:val="ListParagraph"/>
        <w:numPr>
          <w:ilvl w:val="0"/>
          <w:numId w:val="1"/>
        </w:numPr>
        <w:spacing w:after="80"/>
      </w:pPr>
      <w:r>
        <w:t xml:space="preserve">Finance Act, 2024 (23 July 2024 Budget) — source of the current capital gains rates used in Model 8 (Section 2.8.3): equity STCG raised to 20% (Section 111A), equity LTCG raised to 12.5% with the annual exemption raised to ₹1.25 lakh (Section 112A), holding-period boundaries simplified to 12 months for listed securities/equity funds and 24 months for other assets, indexation removed for most assets other than a narrow pre-23-July-2024 property grandfather clause. (verified via web search, July 2026).</w:t>
      </w:r>
    </w:p>
    <w:p>
      <w:pPr>
        <w:pStyle w:val="ListParagraph"/>
        <w:numPr>
          <w:ilvl w:val="0"/>
          <w:numId w:val="1"/>
        </w:numPr>
        <w:spacing w:after="80"/>
      </w:pPr>
      <w:r>
        <w:t xml:space="preserve">Section 50AA (as amended) — basis for taxing debt-oriented mutual fund units acquired on or after 1 April 2023 at slab rate as short-term gains regardless of holding period, a branch added to Model 8 in this revision that did not exist in the prior draft. (verified via web search, July 2026).</w:t>
      </w:r>
    </w:p>
    <w:p>
      <w:pPr>
        <w:pStyle w:val="ListParagraph"/>
        <w:numPr>
          <w:ilvl w:val="0"/>
          <w:numId w:val="1"/>
        </w:numPr>
        <w:spacing w:after="80"/>
      </w:pPr>
      <w:r>
        <w:t xml:space="preserve">Finance Act, 2025 (1 February 2025 Budget) — source of the current new-regime slabs and the enhanced Section 87A rebate used in Model 8 (Section 2.8.2): ₹75,000 standard deduction, rebate up to ₹60,000 zeroing tax for taxable income up to ₹12 lakh, unchanged by the subsequent Union Budget 2026. (verified via web search, July 2026).</w:t>
      </w:r>
    </w:p>
    <w:p>
      <w:pPr>
        <w:pStyle w:val="Heading2"/>
        <w:spacing w:after="150" w:before="300"/>
      </w:pPr>
      <w:bookmarkStart w:name="bm_5_6_cybersecurity_and_incident_response_125" w:id="1"/>
      <w:r>
        <w:t xml:space="preserve">5.6 Cybersecurity and Incident Response</w:t>
      </w:r>
      <w:bookmarkEnd w:id="1"/>
    </w:p>
    <w:p>
      <w:pPr>
        <w:pStyle w:val="ListParagraph"/>
        <w:numPr>
          <w:ilvl w:val="0"/>
          <w:numId w:val="1"/>
        </w:numPr>
        <w:spacing w:after="80"/>
      </w:pPr>
      <w:r>
        <w:t xml:space="preserve">IT Act, 2000 (as amended) and CERT-In directions, 2022 — a distinct, separate breach-notification obligation (6-hour reporting for specified cyber incidents) from DPDP's own timeline, which must be reconciled in one incident-response runbook rather than assumed to satisfy each other automatically.</w:t>
      </w:r>
    </w:p>
    <w:p>
      <w:pPr>
        <w:pStyle w:val="Heading2"/>
        <w:spacing w:after="150" w:before="300"/>
      </w:pPr>
      <w:bookmarkStart w:name="bm_5_7_anti_money_laundering_126" w:id="1"/>
      <w:r>
        <w:t xml:space="preserve">5.7 Anti-Money-Laundering</w:t>
      </w:r>
      <w:bookmarkEnd w:id="1"/>
    </w:p>
    <w:p>
      <w:pPr>
        <w:pStyle w:val="ListParagraph"/>
        <w:numPr>
          <w:ilvl w:val="0"/>
          <w:numId w:val="1"/>
        </w:numPr>
        <w:spacing w:after="80"/>
      </w:pPr>
      <w:r>
        <w:t xml:space="preserve">Prevention of Money Laundering Act (PMLA) and the Prevention of Money-Laundering (Maintenance of Records) Rules, 2005 — the ₹10 lakh Cash Transaction Report (CTR) threshold under Rule 3 applies specifically to cash transactions and their integrally-connected aggregation within a month; it does not apply to bank transfers or UPI payments. Suspicious Transaction Reports for non-cash transactions are suspicion-based, with no fixed statutory monetary threshold. This distinction, verified in this revision, is the basis for reframing Model 1's StructuringFlag (Section 2.1.1) as an internally-calibrated behavioural heuristic rather than an implementation of the CTR figure. (verified via web search, July 2026).</w:t>
      </w:r>
    </w:p>
    <w:p>
      <w:pPr>
        <w:pStyle w:val="ListParagraph"/>
        <w:numPr>
          <w:ilvl w:val="0"/>
          <w:numId w:val="1"/>
        </w:numPr>
        <w:spacing w:after="80"/>
      </w:pPr>
      <w:r>
        <w:t xml:space="preserve">PMLA STR obligations — the reason StructuringFlag and RecipientGNNScore outputs must feed a compliance-reviewable queue, not just the user-facing cooling-off flow; the standard AML transaction-monitoring typologies (funnel accounts, rapid layering, structuring) that Model 5's structural features are grounded in.</w:t>
      </w:r>
    </w:p>
    <w:p>
      <w:pPr>
        <w:pStyle w:val="Heading2"/>
        <w:spacing w:after="150" w:before="300"/>
      </w:pPr>
      <w:bookmarkStart w:name="bm_5_8_consumer_protection_127" w:id="1"/>
      <w:r>
        <w:t xml:space="preserve">5.8 Consumer Protection</w:t>
      </w:r>
      <w:bookmarkEnd w:id="1"/>
    </w:p>
    <w:p>
      <w:pPr>
        <w:pStyle w:val="ListParagraph"/>
        <w:numPr>
          <w:ilvl w:val="0"/>
          <w:numId w:val="1"/>
        </w:numPr>
        <w:spacing w:after="80"/>
      </w:pPr>
      <w:r>
        <w:t xml:space="preserve">Consumer Protection (E-Commerce) Rules, as relevant to BNPL disclosure practices, and RBI's regulatory stance treating BNPL as a form of unsecured credit — governs Model 12's inclusion of BNPL obligations in DTI and the EffectiveAPR disclosure requirement.</w:t>
      </w:r>
    </w:p>
    <w:p>
      <w:pPr>
        <w:pBdr>
          <w:left w:val="single" w:color="943126" w:sz="12" w:space="8"/>
        </w:pBdr>
        <w:spacing w:after="150" w:before="100"/>
        <w:ind w:left="360"/>
      </w:pPr>
      <w:r>
        <w:rPr>
          <w:i/>
          <w:iCs/>
          <w:color w:val="943126"/>
        </w:rPr>
        <w:t xml:space="preserve">As with the prior draft, this list is not a substitute for dedicated legal/compliance review before launch. Two items specifically carry elevated priority for that review given this revision's findings: the finalised text of the RBI (Pre-payment Charges on Loans) Directions, 2025 (Section 5.2) should be re-confirmed rather than relied on as summarised here, and the Income Tax Act 2025's consolidated section-number mapping (Section 5.5) should be confirmed against the Income-tax Rules, 2026 once those are settled — both are recent, substantial changes to areas of law this document depends on directly.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FINIX — Verified Mathematics &amp; Rule-Based Logic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B4F72"/>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20" w:before="250"/>
      <w:outlineLvl w:val="2"/>
    </w:pPr>
    <w:rPr>
      <w:rFonts w:ascii="Calibri" w:cs="Calibri" w:eastAsia="Calibri" w:hAnsi="Calibri"/>
      <w:b/>
      <w:bCs/>
      <w:color w:val="3A6EA5"/>
      <w:sz w:val="23"/>
      <w:szCs w:val="23"/>
    </w:rPr>
  </w:style>
  <w:style w:type="paragraph" w:styleId="Heading4">
    <w:name w:val="Heading 4"/>
    <w:basedOn w:val="Normal"/>
    <w:next w:val="Normal"/>
    <w:qFormat/>
    <w:pPr>
      <w:spacing w:after="100" w:before="200"/>
      <w:outlineLvl w:val="3"/>
    </w:pPr>
    <w:rPr>
      <w:rFonts w:ascii="Calibri" w:cs="Calibri" w:eastAsia="Calibri" w:hAnsi="Calibri"/>
      <w:b/>
      <w:bCs/>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2026-07-25T17:14:05.764Z</dcterms:created>
  <dcterms:modified xsi:type="dcterms:W3CDTF">2026-07-25T17:14:05.783Z</dcterms:modified>
</cp:coreProperties>
</file>

<file path=docProps/custom.xml><?xml version="1.0" encoding="utf-8"?>
<Properties xmlns="http://schemas.openxmlformats.org/officeDocument/2006/custom-properties" xmlns:vt="http://schemas.openxmlformats.org/officeDocument/2006/docPropsVTypes"/>
</file>