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br/>
        <w:br/>
        <w:t>EINDRAPPORT WPL2</w:t>
        <w:br/>
      </w:r>
      <w:r>
        <w:rPr>
          <w:sz w:val="44"/>
        </w:rPr>
        <w:br/>
        <w:t>Hybrid Microsoft 365 Project</w:t>
      </w:r>
    </w:p>
    <w:p>
      <w:pPr>
        <w:jc w:val="center"/>
      </w:pPr>
      <w:r>
        <w:rPr>
          <w:b/>
        </w:rPr>
        <w:br/>
        <w:br/>
        <w:t xml:space="preserve">Student: </w:t>
      </w:r>
      <w:r>
        <w:t>Mehtap Hussaini</w:t>
        <w:br/>
      </w:r>
      <w:r>
        <w:t>Graduaat Systeem- en Netwerkbeheer</w:t>
        <w:br/>
      </w:r>
      <w:r>
        <w:t>Academiejaar: 2025 - 2026</w:t>
      </w:r>
    </w:p>
    <w:p>
      <w:r>
        <w:br w:type="page"/>
      </w:r>
    </w:p>
    <w:p>
      <w:pPr>
        <w:pStyle w:val="Heading1"/>
      </w:pPr>
      <w:r>
        <w:t>Inhoud</w:t>
      </w:r>
    </w:p>
    <w:p>
      <w:r>
        <w:t>1. Inleiding .......................................................... 2</w:t>
      </w:r>
    </w:p>
    <w:p>
      <w:r>
        <w:t>2. Active Directory groepen ........................................... 3</w:t>
      </w:r>
    </w:p>
    <w:p>
      <w:r>
        <w:t>3. Hybrid Entra Join .................................................. 4</w:t>
      </w:r>
    </w:p>
    <w:p>
      <w:r>
        <w:t>4. Licenties via groepen .............................................. 5</w:t>
      </w:r>
    </w:p>
    <w:p>
      <w:r>
        <w:t>5. Microsoft Teams .................................................... 6</w:t>
      </w:r>
    </w:p>
    <w:p>
      <w:r>
        <w:t>6. SharePoint ......................................................... 7</w:t>
      </w:r>
    </w:p>
    <w:p>
      <w:r>
        <w:t>7. Resources in Exchange .............................................. 8</w:t>
      </w:r>
    </w:p>
    <w:p>
      <w:r>
        <w:t>8. OneDrive synchronisatie ............................................ 9</w:t>
      </w:r>
    </w:p>
    <w:p>
      <w:r>
        <w:t>9. Problemen en oplossingen ........................................... 10</w:t>
      </w:r>
    </w:p>
    <w:p>
      <w:r>
        <w:t>10. Conclusie ......................................................... 11</w:t>
      </w:r>
    </w:p>
    <w:p>
      <w:r>
        <w:br w:type="page"/>
      </w:r>
    </w:p>
    <w:p>
      <w:pPr>
        <w:pStyle w:val="Heading1"/>
      </w:pPr>
      <w:r>
        <w:t>1. Inleiding</w:t>
      </w:r>
    </w:p>
    <w:p>
      <w:r>
        <w:t>Tijdens WPL2 werkte ik aan een hybride Microsoft 365 omgeving. Het doel was om een lokale Active Directory te koppelen aan Microsoft Entra ID en verschillende Microsoft 365 diensten te configureren.</w:t>
      </w:r>
    </w:p>
    <w:p>
      <w:r>
        <w:drawing>
          <wp:inline xmlns:a="http://schemas.openxmlformats.org/drawingml/2006/main" xmlns:pic="http://schemas.openxmlformats.org/drawingml/2006/picture">
            <wp:extent cx="5303520" cy="7834948"/>
            <wp:docPr id="1" name="Picture 1"/>
            <wp:cNvGraphicFramePr>
              <a:graphicFrameLocks noChangeAspect="1"/>
            </wp:cNvGraphicFramePr>
            <a:graphic>
              <a:graphicData uri="http://schemas.openxmlformats.org/drawingml/2006/picture">
                <pic:pic>
                  <pic:nvPicPr>
                    <pic:cNvPr id="0" name="245a5f6b-7f33-4cae-a5e8-42d2fb46847b.png"/>
                    <pic:cNvPicPr/>
                  </pic:nvPicPr>
                  <pic:blipFill>
                    <a:blip r:embed="rId9"/>
                    <a:stretch>
                      <a:fillRect/>
                    </a:stretch>
                  </pic:blipFill>
                  <pic:spPr>
                    <a:xfrm>
                      <a:off x="0" y="0"/>
                      <a:ext cx="5303520" cy="7834948"/>
                    </a:xfrm>
                    <a:prstGeom prst="rect"/>
                  </pic:spPr>
                </pic:pic>
              </a:graphicData>
            </a:graphic>
          </wp:inline>
        </w:drawing>
      </w:r>
    </w:p>
    <w:p>
      <w:pPr>
        <w:jc w:val="center"/>
      </w:pPr>
      <w:r>
        <w:t>Figuur 1: 1. Inleiding</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p>
      <w:pPr>
        <w:pStyle w:val="Heading1"/>
      </w:pPr>
      <w:r>
        <w:t>2. Active Directory groepen</w:t>
      </w:r>
    </w:p>
    <w:p>
      <w:r>
        <w:t>Ik maakte verschillende security groups aan voor studenten en leerkrachten. Deze groepen werden gebruikt voor rechtenbeheer en licenties.</w:t>
      </w:r>
    </w:p>
    <w:p>
      <w:r>
        <w:drawing>
          <wp:inline xmlns:a="http://schemas.openxmlformats.org/drawingml/2006/main" xmlns:pic="http://schemas.openxmlformats.org/drawingml/2006/picture">
            <wp:extent cx="5303520" cy="2853768"/>
            <wp:docPr id="2" name="Picture 2"/>
            <wp:cNvGraphicFramePr>
              <a:graphicFrameLocks noChangeAspect="1"/>
            </wp:cNvGraphicFramePr>
            <a:graphic>
              <a:graphicData uri="http://schemas.openxmlformats.org/drawingml/2006/picture">
                <pic:pic>
                  <pic:nvPicPr>
                    <pic:cNvPr id="0" name="1a351bf5-d931-4adb-b848-f0cbb546ccc4.png"/>
                    <pic:cNvPicPr/>
                  </pic:nvPicPr>
                  <pic:blipFill>
                    <a:blip r:embed="rId10"/>
                    <a:stretch>
                      <a:fillRect/>
                    </a:stretch>
                  </pic:blipFill>
                  <pic:spPr>
                    <a:xfrm>
                      <a:off x="0" y="0"/>
                      <a:ext cx="5303520" cy="2853768"/>
                    </a:xfrm>
                    <a:prstGeom prst="rect"/>
                  </pic:spPr>
                </pic:pic>
              </a:graphicData>
            </a:graphic>
          </wp:inline>
        </w:drawing>
      </w:r>
    </w:p>
    <w:p>
      <w:pPr>
        <w:jc w:val="center"/>
      </w:pPr>
      <w:r>
        <w:t>Figuur 2: 2. Active Directory groepen</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p>
      <w:pPr>
        <w:pStyle w:val="Heading1"/>
      </w:pPr>
      <w:r>
        <w:t>3. Hybrid Entra Join</w:t>
      </w:r>
    </w:p>
    <w:p>
      <w:r>
        <w:t>Microsoft Entra Connect werd geconfigureerd zodat gebruikers automatisch gesynchroniseerd werden tussen de lokale Active Directory en Microsoft 365.</w:t>
      </w:r>
    </w:p>
    <w:p>
      <w:r>
        <w:drawing>
          <wp:inline xmlns:a="http://schemas.openxmlformats.org/drawingml/2006/main" xmlns:pic="http://schemas.openxmlformats.org/drawingml/2006/picture">
            <wp:extent cx="5303520" cy="4864068"/>
            <wp:docPr id="3" name="Picture 3"/>
            <wp:cNvGraphicFramePr>
              <a:graphicFrameLocks noChangeAspect="1"/>
            </wp:cNvGraphicFramePr>
            <a:graphic>
              <a:graphicData uri="http://schemas.openxmlformats.org/drawingml/2006/picture">
                <pic:pic>
                  <pic:nvPicPr>
                    <pic:cNvPr id="0" name="dea09c38-54e0-4f57-af09-6cf8587de6d6.png"/>
                    <pic:cNvPicPr/>
                  </pic:nvPicPr>
                  <pic:blipFill>
                    <a:blip r:embed="rId11"/>
                    <a:stretch>
                      <a:fillRect/>
                    </a:stretch>
                  </pic:blipFill>
                  <pic:spPr>
                    <a:xfrm>
                      <a:off x="0" y="0"/>
                      <a:ext cx="5303520" cy="4864068"/>
                    </a:xfrm>
                    <a:prstGeom prst="rect"/>
                  </pic:spPr>
                </pic:pic>
              </a:graphicData>
            </a:graphic>
          </wp:inline>
        </w:drawing>
      </w:r>
    </w:p>
    <w:p>
      <w:pPr>
        <w:jc w:val="center"/>
      </w:pPr>
      <w:r>
        <w:t>Figuur 3: 3. Hybrid Entra Join</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p>
      <w:pPr>
        <w:pStyle w:val="Heading1"/>
      </w:pPr>
      <w:r>
        <w:t>4. Licenties via groepen</w:t>
      </w:r>
    </w:p>
    <w:p>
      <w:r>
        <w:t>Via group-based licensing kregen gebruikers automatisch hun Microsoft 365 licenties toegewezen.</w:t>
      </w:r>
    </w:p>
    <w:p>
      <w:r>
        <w:drawing>
          <wp:inline xmlns:a="http://schemas.openxmlformats.org/drawingml/2006/main" xmlns:pic="http://schemas.openxmlformats.org/drawingml/2006/picture">
            <wp:extent cx="5303520" cy="5178099"/>
            <wp:docPr id="4" name="Picture 4"/>
            <wp:cNvGraphicFramePr>
              <a:graphicFrameLocks noChangeAspect="1"/>
            </wp:cNvGraphicFramePr>
            <a:graphic>
              <a:graphicData uri="http://schemas.openxmlformats.org/drawingml/2006/picture">
                <pic:pic>
                  <pic:nvPicPr>
                    <pic:cNvPr id="0" name="3bf4ab5d-455f-4f36-b42a-ef97df2ca795.png"/>
                    <pic:cNvPicPr/>
                  </pic:nvPicPr>
                  <pic:blipFill>
                    <a:blip r:embed="rId12"/>
                    <a:stretch>
                      <a:fillRect/>
                    </a:stretch>
                  </pic:blipFill>
                  <pic:spPr>
                    <a:xfrm>
                      <a:off x="0" y="0"/>
                      <a:ext cx="5303520" cy="5178099"/>
                    </a:xfrm>
                    <a:prstGeom prst="rect"/>
                  </pic:spPr>
                </pic:pic>
              </a:graphicData>
            </a:graphic>
          </wp:inline>
        </w:drawing>
      </w:r>
    </w:p>
    <w:p>
      <w:pPr>
        <w:jc w:val="center"/>
      </w:pPr>
      <w:r>
        <w:t>Figuur 4: 4. Licenties via groepen</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p>
      <w:pPr>
        <w:pStyle w:val="Heading1"/>
      </w:pPr>
      <w:r>
        <w:t>5. Microsoft Teams</w:t>
      </w:r>
    </w:p>
    <w:p>
      <w:r>
        <w:t>Teams werden aangemaakt voor samenwerking tussen studenten en leerkrachten. Eigenaars en leden kregen correcte rechten.</w:t>
      </w:r>
    </w:p>
    <w:p>
      <w:r>
        <w:drawing>
          <wp:inline xmlns:a="http://schemas.openxmlformats.org/drawingml/2006/main" xmlns:pic="http://schemas.openxmlformats.org/drawingml/2006/picture">
            <wp:extent cx="5303520" cy="4351741"/>
            <wp:docPr id="5" name="Picture 5"/>
            <wp:cNvGraphicFramePr>
              <a:graphicFrameLocks noChangeAspect="1"/>
            </wp:cNvGraphicFramePr>
            <a:graphic>
              <a:graphicData uri="http://schemas.openxmlformats.org/drawingml/2006/picture">
                <pic:pic>
                  <pic:nvPicPr>
                    <pic:cNvPr id="0" name="b7aa595c-ee59-459f-b6e3-420f1e77b61e.png"/>
                    <pic:cNvPicPr/>
                  </pic:nvPicPr>
                  <pic:blipFill>
                    <a:blip r:embed="rId13"/>
                    <a:stretch>
                      <a:fillRect/>
                    </a:stretch>
                  </pic:blipFill>
                  <pic:spPr>
                    <a:xfrm>
                      <a:off x="0" y="0"/>
                      <a:ext cx="5303520" cy="4351741"/>
                    </a:xfrm>
                    <a:prstGeom prst="rect"/>
                  </pic:spPr>
                </pic:pic>
              </a:graphicData>
            </a:graphic>
          </wp:inline>
        </w:drawing>
      </w:r>
    </w:p>
    <w:p>
      <w:pPr>
        <w:jc w:val="center"/>
      </w:pPr>
      <w:r>
        <w:t>Figuur 5: 5. Microsoft Teams</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p>
      <w:pPr>
        <w:pStyle w:val="Heading1"/>
      </w:pPr>
      <w:r>
        <w:t>6. SharePoint</w:t>
      </w:r>
    </w:p>
    <w:p>
      <w:r>
        <w:t>SharePoint werd gebruikt voor documentbeheer. Leerkrachten konden bestanden uploaden terwijl studenten enkel leesrechten kregen.</w:t>
      </w:r>
    </w:p>
    <w:p>
      <w:r>
        <w:drawing>
          <wp:inline xmlns:a="http://schemas.openxmlformats.org/drawingml/2006/main" xmlns:pic="http://schemas.openxmlformats.org/drawingml/2006/picture">
            <wp:extent cx="5303520" cy="4693427"/>
            <wp:docPr id="6" name="Picture 6"/>
            <wp:cNvGraphicFramePr>
              <a:graphicFrameLocks noChangeAspect="1"/>
            </wp:cNvGraphicFramePr>
            <a:graphic>
              <a:graphicData uri="http://schemas.openxmlformats.org/drawingml/2006/picture">
                <pic:pic>
                  <pic:nvPicPr>
                    <pic:cNvPr id="0" name="f96555b9-064e-44b1-8019-6310602c8a86.png"/>
                    <pic:cNvPicPr/>
                  </pic:nvPicPr>
                  <pic:blipFill>
                    <a:blip r:embed="rId14"/>
                    <a:stretch>
                      <a:fillRect/>
                    </a:stretch>
                  </pic:blipFill>
                  <pic:spPr>
                    <a:xfrm>
                      <a:off x="0" y="0"/>
                      <a:ext cx="5303520" cy="4693427"/>
                    </a:xfrm>
                    <a:prstGeom prst="rect"/>
                  </pic:spPr>
                </pic:pic>
              </a:graphicData>
            </a:graphic>
          </wp:inline>
        </w:drawing>
      </w:r>
    </w:p>
    <w:p>
      <w:pPr>
        <w:jc w:val="center"/>
      </w:pPr>
      <w:r>
        <w:t>Figuur 6: 6. SharePoint</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p>
      <w:pPr>
        <w:pStyle w:val="Heading1"/>
      </w:pPr>
      <w:r>
        <w:t>7. Resources in Exchange</w:t>
      </w:r>
    </w:p>
    <w:p>
      <w:r>
        <w:t>In Exchange werden resources zoals vergaderzalen en apparatuur toegevoegd zodat gebruikers deze konden reserveren.</w:t>
      </w:r>
    </w:p>
    <w:p>
      <w:r>
        <w:drawing>
          <wp:inline xmlns:a="http://schemas.openxmlformats.org/drawingml/2006/main" xmlns:pic="http://schemas.openxmlformats.org/drawingml/2006/picture">
            <wp:extent cx="5303520" cy="5345327"/>
            <wp:docPr id="7" name="Picture 7"/>
            <wp:cNvGraphicFramePr>
              <a:graphicFrameLocks noChangeAspect="1"/>
            </wp:cNvGraphicFramePr>
            <a:graphic>
              <a:graphicData uri="http://schemas.openxmlformats.org/drawingml/2006/picture">
                <pic:pic>
                  <pic:nvPicPr>
                    <pic:cNvPr id="0" name="1343be9b-e4b7-42c4-aa50-bf7b45816a26.png"/>
                    <pic:cNvPicPr/>
                  </pic:nvPicPr>
                  <pic:blipFill>
                    <a:blip r:embed="rId15"/>
                    <a:stretch>
                      <a:fillRect/>
                    </a:stretch>
                  </pic:blipFill>
                  <pic:spPr>
                    <a:xfrm>
                      <a:off x="0" y="0"/>
                      <a:ext cx="5303520" cy="5345327"/>
                    </a:xfrm>
                    <a:prstGeom prst="rect"/>
                  </pic:spPr>
                </pic:pic>
              </a:graphicData>
            </a:graphic>
          </wp:inline>
        </w:drawing>
      </w:r>
    </w:p>
    <w:p>
      <w:pPr>
        <w:jc w:val="center"/>
      </w:pPr>
      <w:r>
        <w:t>Figuur 7: 7. Resources in Exchange</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p>
      <w:pPr>
        <w:pStyle w:val="Heading1"/>
      </w:pPr>
      <w:r>
        <w:t>8. OneDrive synchronisatie</w:t>
      </w:r>
    </w:p>
    <w:p>
      <w:r>
        <w:t>OneDrive werd automatisch geconfigureerd via Group Policy zodat gebruikers hun bestanden veilig konden synchroniseren.</w:t>
      </w:r>
    </w:p>
    <w:p>
      <w:r>
        <w:drawing>
          <wp:inline xmlns:a="http://schemas.openxmlformats.org/drawingml/2006/main" xmlns:pic="http://schemas.openxmlformats.org/drawingml/2006/picture">
            <wp:extent cx="5303520" cy="2966928"/>
            <wp:docPr id="8" name="Picture 8"/>
            <wp:cNvGraphicFramePr>
              <a:graphicFrameLocks noChangeAspect="1"/>
            </wp:cNvGraphicFramePr>
            <a:graphic>
              <a:graphicData uri="http://schemas.openxmlformats.org/drawingml/2006/picture">
                <pic:pic>
                  <pic:nvPicPr>
                    <pic:cNvPr id="0" name="512c56b2-35e3-40a4-b2e4-3dbc38072f13.png"/>
                    <pic:cNvPicPr/>
                  </pic:nvPicPr>
                  <pic:blipFill>
                    <a:blip r:embed="rId16"/>
                    <a:stretch>
                      <a:fillRect/>
                    </a:stretch>
                  </pic:blipFill>
                  <pic:spPr>
                    <a:xfrm>
                      <a:off x="0" y="0"/>
                      <a:ext cx="5303520" cy="2966928"/>
                    </a:xfrm>
                    <a:prstGeom prst="rect"/>
                  </pic:spPr>
                </pic:pic>
              </a:graphicData>
            </a:graphic>
          </wp:inline>
        </w:drawing>
      </w:r>
    </w:p>
    <w:p>
      <w:pPr>
        <w:jc w:val="center"/>
      </w:pPr>
      <w:r>
        <w:t>Figuur 8: 8. OneDrive synchronisatie</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p>
      <w:pPr>
        <w:pStyle w:val="Heading1"/>
      </w:pPr>
      <w:r>
        <w:t>9. Problemen en oplossingen</w:t>
      </w:r>
    </w:p>
    <w:p>
      <w:r>
        <w:t>Tijdens het project waren er enkele synchronisatieproblemen en rechtenproblemen. Door troubleshooting en testen werden deze opgelost.</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p>
      <w:pPr>
        <w:pStyle w:val="Heading1"/>
      </w:pPr>
      <w:r>
        <w:t>10. Conclusie</w:t>
      </w:r>
    </w:p>
    <w:p>
      <w:r>
        <w:t>Dit project gaf mij veel praktijkervaring rond Microsoft 365, Active Directory en hybride cloudomgevingen.</w:t>
      </w:r>
    </w:p>
    <w:p>
      <w:r>
        <w:t>Tijdens deze fase van het project voerde ik verschillende testen uit om te controleren of de configuratie correct werkte. Ik controleerde gebruikersrechten, synchronisatie, connectiviteit en toegang tot Microsoft 365 diensten. Hierdoor kreeg ik meer inzicht in professioneel systeembeheer en troubleshooting.</w:t>
      </w:r>
    </w:p>
    <w:sectPr w:rsidR="00FC693F" w:rsidRPr="0006063C" w:rsidSect="00034616">
      <w:footerReference w:type="default" r:id="rId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