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77D8" w14:textId="74F7BA85" w:rsidR="003069D8" w:rsidRPr="0020293E" w:rsidRDefault="003069D8" w:rsidP="0075257A">
      <w:pPr>
        <w:pStyle w:val="Title"/>
        <w:spacing w:line="276" w:lineRule="auto"/>
        <w:rPr>
          <w:sz w:val="28"/>
          <w:szCs w:val="28"/>
        </w:rPr>
      </w:pPr>
      <w:r w:rsidRPr="0020293E">
        <w:rPr>
          <w:sz w:val="28"/>
          <w:szCs w:val="28"/>
        </w:rPr>
        <w:t>Supplementary Material S1</w:t>
      </w:r>
    </w:p>
    <w:p w14:paraId="524CD0BD" w14:textId="60A99D67" w:rsidR="003069D8" w:rsidRPr="0020293E" w:rsidRDefault="003069D8" w:rsidP="0075257A">
      <w:pPr>
        <w:pStyle w:val="Title"/>
        <w:spacing w:line="276" w:lineRule="auto"/>
        <w:rPr>
          <w:sz w:val="24"/>
          <w:szCs w:val="24"/>
        </w:rPr>
      </w:pPr>
      <w:r w:rsidRPr="0020293E">
        <w:rPr>
          <w:sz w:val="24"/>
          <w:szCs w:val="24"/>
        </w:rPr>
        <w:t>A Computational Workflow for Proteome-Wide Analysis of Sulfur-Containing Amino Acid Distribution in Crop Proteomes</w:t>
      </w:r>
    </w:p>
    <w:p w14:paraId="72996717" w14:textId="77777777" w:rsidR="00D15FF5" w:rsidRPr="00D15FF5" w:rsidRDefault="00D15FF5" w:rsidP="0075257A">
      <w:pPr>
        <w:spacing w:line="276" w:lineRule="auto"/>
        <w:rPr>
          <w:sz w:val="22"/>
          <w:szCs w:val="22"/>
        </w:rPr>
      </w:pPr>
      <w:r w:rsidRPr="00D15FF5">
        <w:rPr>
          <w:sz w:val="22"/>
          <w:szCs w:val="22"/>
        </w:rPr>
        <w:t>This document describes the computational workflow used in this study. Species-specific Jupyter Notebooks (Supplementary Materials S2a to S5b) document and reproduce the analyses performed for each crop proteome, while the comparative notebook provides the proteome-level descriptive comparison. The notebooks use the custom Python library saa_proteome, developed for proteome-wide amino-acid composition analysis with particular emphasis on methionine and cysteine.</w:t>
      </w:r>
    </w:p>
    <w:p w14:paraId="0214C06A" w14:textId="2B6CA346" w:rsidR="00D15FF5" w:rsidRPr="00D15FF5" w:rsidRDefault="00622CF6" w:rsidP="00B422A7">
      <w:pPr>
        <w:spacing w:line="276" w:lineRule="auto"/>
        <w:rPr>
          <w:sz w:val="22"/>
          <w:szCs w:val="22"/>
        </w:rPr>
      </w:pPr>
      <w:r w:rsidRPr="00622CF6">
        <w:rPr>
          <w:sz w:val="22"/>
          <w:szCs w:val="22"/>
        </w:rPr>
        <w:t>The workflow begins with validation and parsing of species-specific FASTA files obtained from the UniProt reference proteomes listed in Table S1.</w:t>
      </w:r>
      <w:r>
        <w:rPr>
          <w:sz w:val="22"/>
          <w:szCs w:val="22"/>
        </w:rPr>
        <w:t xml:space="preserve"> </w:t>
      </w:r>
      <w:r w:rsidR="00D15FF5" w:rsidRPr="00D15FF5">
        <w:rPr>
          <w:sz w:val="22"/>
          <w:szCs w:val="22"/>
        </w:rPr>
        <w:t>Protein sequences are normalized before analysis.</w:t>
      </w:r>
      <w:r w:rsidR="00B422A7">
        <w:rPr>
          <w:sz w:val="22"/>
          <w:szCs w:val="22"/>
        </w:rPr>
        <w:t xml:space="preserve"> </w:t>
      </w:r>
      <w:r w:rsidR="00D15FF5" w:rsidRPr="00B422A7">
        <w:rPr>
          <w:sz w:val="22"/>
          <w:szCs w:val="22"/>
        </w:rPr>
        <w:t xml:space="preserve">When </w:t>
      </w:r>
      <w:proofErr w:type="spellStart"/>
      <w:r w:rsidR="00D15FF5" w:rsidRPr="00B422A7">
        <w:rPr>
          <w:sz w:val="22"/>
          <w:szCs w:val="22"/>
        </w:rPr>
        <w:t>remove_start_m</w:t>
      </w:r>
      <w:proofErr w:type="spellEnd"/>
      <w:r w:rsidR="00D15FF5" w:rsidRPr="00B422A7">
        <w:rPr>
          <w:sz w:val="22"/>
          <w:szCs w:val="22"/>
        </w:rPr>
        <w:t>=True, an N-terminal methionine is removed only when it occurs as the first residue of the normalized original sequence; optional canonical-residue filtering is then applied</w:t>
      </w:r>
      <w:r w:rsidR="00D15FF5" w:rsidRPr="00D15FF5">
        <w:rPr>
          <w:sz w:val="22"/>
          <w:szCs w:val="22"/>
        </w:rPr>
        <w:t xml:space="preserve"> to retain the 20 standard amino acids and exclude noncanonical symbols. The initial-methionine-removed condition was evaluated as a sensitivity analysis because actual N-terminal methionine excision depends on biological and sequence context and cannot be inferred from reference-proteome sequences alone. All preprocessing steps are explicitly parameterized and reproducible.</w:t>
      </w:r>
    </w:p>
    <w:p w14:paraId="71265B13" w14:textId="77777777" w:rsidR="00D15FF5" w:rsidRPr="00D15FF5" w:rsidRDefault="00D15FF5" w:rsidP="0075257A">
      <w:pPr>
        <w:spacing w:line="276" w:lineRule="auto"/>
        <w:rPr>
          <w:sz w:val="22"/>
          <w:szCs w:val="22"/>
        </w:rPr>
      </w:pPr>
      <w:r w:rsidRPr="00D15FF5">
        <w:rPr>
          <w:sz w:val="22"/>
          <w:szCs w:val="22"/>
        </w:rPr>
        <w:t>Protein-level outputs include raw, cleaned, and adjusted sequence lengths; preprocessing flags; methionine, cysteine, and combined sulfur-containing amino-acid (S-AA) percentages; and related composition descriptors. Proteins can be ranked by any numerical metric, and defined subsets, including the proteins with the highest total S-AA percentages, can be selected for downstream analysis.</w:t>
      </w:r>
    </w:p>
    <w:p w14:paraId="6780ED6D" w14:textId="77777777" w:rsidR="00D15FF5" w:rsidRPr="00D15FF5" w:rsidRDefault="00D15FF5" w:rsidP="0075257A">
      <w:pPr>
        <w:spacing w:line="276" w:lineRule="auto"/>
        <w:rPr>
          <w:sz w:val="22"/>
          <w:szCs w:val="22"/>
        </w:rPr>
      </w:pPr>
      <w:r w:rsidRPr="00D15FF5">
        <w:rPr>
          <w:sz w:val="22"/>
          <w:szCs w:val="22"/>
        </w:rPr>
        <w:t xml:space="preserve">Localized enrichment is quantified using overlapping sliding windows. For each protein, the workflow calculates the maximum methionine, cysteine, and combined S-AA percentages observed within windows defined by the selected </w:t>
      </w:r>
      <w:proofErr w:type="spellStart"/>
      <w:r w:rsidRPr="00D15FF5">
        <w:rPr>
          <w:sz w:val="22"/>
          <w:szCs w:val="22"/>
        </w:rPr>
        <w:t>window_size</w:t>
      </w:r>
      <w:proofErr w:type="spellEnd"/>
      <w:r w:rsidRPr="00D15FF5">
        <w:rPr>
          <w:sz w:val="22"/>
          <w:szCs w:val="22"/>
        </w:rPr>
        <w:t xml:space="preserve"> and </w:t>
      </w:r>
      <w:proofErr w:type="spellStart"/>
      <w:r w:rsidRPr="00D15FF5">
        <w:rPr>
          <w:sz w:val="22"/>
          <w:szCs w:val="22"/>
        </w:rPr>
        <w:t>window_step</w:t>
      </w:r>
      <w:proofErr w:type="spellEnd"/>
      <w:r w:rsidRPr="00D15FF5">
        <w:rPr>
          <w:sz w:val="22"/>
          <w:szCs w:val="22"/>
        </w:rPr>
        <w:t xml:space="preserve"> parameters. In this study, 100-amino-acid windows with a one-residue step were used for the localized-enrichment analysis.</w:t>
      </w:r>
    </w:p>
    <w:p w14:paraId="58215360" w14:textId="77777777" w:rsidR="00D15FF5" w:rsidRPr="00D15FF5" w:rsidRDefault="00D15FF5" w:rsidP="0075257A">
      <w:pPr>
        <w:spacing w:line="276" w:lineRule="auto"/>
        <w:rPr>
          <w:sz w:val="22"/>
          <w:szCs w:val="22"/>
        </w:rPr>
      </w:pPr>
      <w:r w:rsidRPr="00D15FF5">
        <w:rPr>
          <w:sz w:val="22"/>
          <w:szCs w:val="22"/>
        </w:rPr>
        <w:t xml:space="preserve">Amino-acid composition matrices quantify the relative frequency, from 0 to 1, of each canonical amino acid within each selected protein. Counts and percentages are also supported. The analytical functions return structured numerical outputs, including pandas </w:t>
      </w:r>
      <w:proofErr w:type="spellStart"/>
      <w:r w:rsidRPr="00D15FF5">
        <w:rPr>
          <w:sz w:val="22"/>
          <w:szCs w:val="22"/>
        </w:rPr>
        <w:t>DataFrames</w:t>
      </w:r>
      <w:proofErr w:type="spellEnd"/>
      <w:r w:rsidRPr="00D15FF5">
        <w:rPr>
          <w:sz w:val="22"/>
          <w:szCs w:val="22"/>
        </w:rPr>
        <w:t>, summary statistics, ranking tables, and visualization-ready matrices. Graphical representation is performed at the notebook level using standard visualization libraries, allowing adjustment of color scales, resolution, and figure layout.</w:t>
      </w:r>
    </w:p>
    <w:p w14:paraId="5E88202A" w14:textId="519CAEE5" w:rsidR="001068D9" w:rsidRDefault="00D15FF5" w:rsidP="0075257A">
      <w:pPr>
        <w:spacing w:line="276" w:lineRule="auto"/>
        <w:rPr>
          <w:sz w:val="22"/>
          <w:szCs w:val="22"/>
        </w:rPr>
      </w:pPr>
      <w:r w:rsidRPr="00D15FF5">
        <w:rPr>
          <w:sz w:val="22"/>
          <w:szCs w:val="22"/>
        </w:rPr>
        <w:t xml:space="preserve">Intermediate and final analytical tables are retained as pandas </w:t>
      </w:r>
      <w:proofErr w:type="spellStart"/>
      <w:r w:rsidRPr="00D15FF5">
        <w:rPr>
          <w:sz w:val="22"/>
          <w:szCs w:val="22"/>
        </w:rPr>
        <w:t>DataFrames</w:t>
      </w:r>
      <w:proofErr w:type="spellEnd"/>
      <w:r w:rsidRPr="00D15FF5">
        <w:rPr>
          <w:sz w:val="22"/>
          <w:szCs w:val="22"/>
        </w:rPr>
        <w:t xml:space="preserve"> to facilitate inspection, reuse, and export, while figures are generated and saved separately. Together, the saa_proteome library and the accompanying notebooks provide a transparent and reproducible record of the complete pipeline, from raw proteome sequences to proteome-level summaries, ranked S-AA-rich proteins, localized-enrichment profiles, and associated visual outputs.</w:t>
      </w:r>
    </w:p>
    <w:p w14:paraId="2C2879D7" w14:textId="48F1B1B1" w:rsidR="00EA108A" w:rsidRPr="00B43CEF" w:rsidRDefault="00B43CEF" w:rsidP="00717F90">
      <w:pPr>
        <w:spacing w:line="240" w:lineRule="auto"/>
        <w:rPr>
          <w:sz w:val="22"/>
          <w:szCs w:val="22"/>
        </w:rPr>
      </w:pPr>
      <w:r w:rsidRPr="00B43CEF">
        <w:rPr>
          <w:b/>
          <w:bCs/>
          <w:sz w:val="22"/>
          <w:szCs w:val="22"/>
        </w:rPr>
        <w:t>Table S1</w:t>
      </w:r>
      <w:r w:rsidR="00941138">
        <w:rPr>
          <w:b/>
          <w:bCs/>
          <w:sz w:val="22"/>
          <w:szCs w:val="22"/>
        </w:rPr>
        <w:t>.</w:t>
      </w:r>
      <w:r w:rsidRPr="00B43CEF">
        <w:rPr>
          <w:sz w:val="22"/>
          <w:szCs w:val="22"/>
        </w:rPr>
        <w:t xml:space="preserve"> UniProt reference proteomes and corresponding FASTA files used for the comparative analysis of sulfur-containing amino-acid distribution in four legume species.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0"/>
        <w:gridCol w:w="1721"/>
        <w:gridCol w:w="1960"/>
        <w:gridCol w:w="1809"/>
        <w:gridCol w:w="2610"/>
      </w:tblGrid>
      <w:tr w:rsidR="001068D9" w14:paraId="39E77366" w14:textId="77777777" w:rsidTr="00E83741">
        <w:tc>
          <w:tcPr>
            <w:tcW w:w="1980" w:type="dxa"/>
            <w:vAlign w:val="center"/>
          </w:tcPr>
          <w:p w14:paraId="4B3AE4E7" w14:textId="705D427D" w:rsidR="001068D9" w:rsidRDefault="001068D9" w:rsidP="0075257A">
            <w:pPr>
              <w:spacing w:line="276" w:lineRule="auto"/>
              <w:jc w:val="left"/>
            </w:pPr>
            <w:r w:rsidRPr="00EA108A">
              <w:rPr>
                <w:b/>
                <w:bCs/>
                <w:sz w:val="22"/>
                <w:szCs w:val="22"/>
              </w:rPr>
              <w:t>Species</w:t>
            </w:r>
          </w:p>
        </w:tc>
        <w:tc>
          <w:tcPr>
            <w:tcW w:w="1721" w:type="dxa"/>
            <w:vAlign w:val="center"/>
          </w:tcPr>
          <w:p w14:paraId="2D6C52BA" w14:textId="44CCA7AD" w:rsidR="001068D9" w:rsidRDefault="001068D9" w:rsidP="0075257A">
            <w:pPr>
              <w:spacing w:line="276" w:lineRule="auto"/>
              <w:jc w:val="left"/>
            </w:pPr>
            <w:r w:rsidRPr="00EA108A">
              <w:rPr>
                <w:b/>
                <w:bCs/>
                <w:sz w:val="22"/>
                <w:szCs w:val="22"/>
              </w:rPr>
              <w:t>Common name</w:t>
            </w:r>
          </w:p>
        </w:tc>
        <w:tc>
          <w:tcPr>
            <w:tcW w:w="1960" w:type="dxa"/>
            <w:vAlign w:val="center"/>
          </w:tcPr>
          <w:p w14:paraId="2FAE771F" w14:textId="7A4971D5" w:rsidR="001068D9" w:rsidRDefault="001068D9" w:rsidP="0075257A">
            <w:pPr>
              <w:spacing w:line="276" w:lineRule="auto"/>
              <w:jc w:val="center"/>
            </w:pPr>
            <w:r w:rsidRPr="00EA108A">
              <w:rPr>
                <w:b/>
                <w:bCs/>
                <w:sz w:val="22"/>
                <w:szCs w:val="22"/>
              </w:rPr>
              <w:t>UniProt proteome ID</w:t>
            </w:r>
          </w:p>
        </w:tc>
        <w:tc>
          <w:tcPr>
            <w:tcW w:w="1809" w:type="dxa"/>
            <w:vAlign w:val="center"/>
          </w:tcPr>
          <w:p w14:paraId="531CBA06" w14:textId="3BE00FC5" w:rsidR="001068D9" w:rsidRDefault="001068D9" w:rsidP="0075257A">
            <w:pPr>
              <w:spacing w:line="276" w:lineRule="auto"/>
              <w:jc w:val="center"/>
            </w:pPr>
            <w:r w:rsidRPr="00EA108A">
              <w:rPr>
                <w:b/>
                <w:bCs/>
                <w:sz w:val="22"/>
                <w:szCs w:val="22"/>
              </w:rPr>
              <w:t>NCBI</w:t>
            </w:r>
            <w:r w:rsidR="006D274C">
              <w:rPr>
                <w:b/>
                <w:bCs/>
                <w:sz w:val="22"/>
                <w:szCs w:val="22"/>
              </w:rPr>
              <w:t xml:space="preserve"> </w:t>
            </w:r>
            <w:r w:rsidRPr="00EA108A">
              <w:rPr>
                <w:b/>
                <w:bCs/>
                <w:sz w:val="22"/>
                <w:szCs w:val="22"/>
              </w:rPr>
              <w:t>taxonomy ID</w:t>
            </w:r>
          </w:p>
        </w:tc>
        <w:tc>
          <w:tcPr>
            <w:tcW w:w="2610" w:type="dxa"/>
            <w:vAlign w:val="center"/>
          </w:tcPr>
          <w:p w14:paraId="10196940" w14:textId="314A93D8" w:rsidR="001068D9" w:rsidRDefault="001068D9" w:rsidP="0075257A">
            <w:pPr>
              <w:spacing w:line="276" w:lineRule="auto"/>
              <w:jc w:val="center"/>
            </w:pPr>
            <w:r w:rsidRPr="00EA108A">
              <w:rPr>
                <w:b/>
                <w:bCs/>
                <w:sz w:val="22"/>
                <w:szCs w:val="22"/>
              </w:rPr>
              <w:t>FASTA filename</w:t>
            </w:r>
          </w:p>
        </w:tc>
      </w:tr>
      <w:tr w:rsidR="001068D9" w14:paraId="37677962" w14:textId="77777777" w:rsidTr="00E83741">
        <w:tc>
          <w:tcPr>
            <w:tcW w:w="1980" w:type="dxa"/>
            <w:vAlign w:val="center"/>
          </w:tcPr>
          <w:p w14:paraId="7F42DDE7" w14:textId="15169485" w:rsidR="001068D9" w:rsidRDefault="001068D9" w:rsidP="0075257A">
            <w:pPr>
              <w:spacing w:line="276" w:lineRule="auto"/>
              <w:jc w:val="left"/>
            </w:pPr>
            <w:r w:rsidRPr="00EA108A">
              <w:rPr>
                <w:i/>
                <w:iCs/>
                <w:sz w:val="22"/>
                <w:szCs w:val="22"/>
              </w:rPr>
              <w:t>Glycine max</w:t>
            </w:r>
          </w:p>
        </w:tc>
        <w:tc>
          <w:tcPr>
            <w:tcW w:w="1721" w:type="dxa"/>
            <w:vAlign w:val="center"/>
          </w:tcPr>
          <w:p w14:paraId="4347DC8E" w14:textId="1E4C7DFF" w:rsidR="001068D9" w:rsidRDefault="001068D9" w:rsidP="0075257A">
            <w:pPr>
              <w:spacing w:line="276" w:lineRule="auto"/>
              <w:jc w:val="left"/>
            </w:pPr>
            <w:r w:rsidRPr="00EA108A">
              <w:rPr>
                <w:sz w:val="22"/>
                <w:szCs w:val="22"/>
              </w:rPr>
              <w:t>Soybean</w:t>
            </w:r>
          </w:p>
        </w:tc>
        <w:tc>
          <w:tcPr>
            <w:tcW w:w="1960" w:type="dxa"/>
            <w:vAlign w:val="center"/>
          </w:tcPr>
          <w:p w14:paraId="36E51452" w14:textId="778A64A5" w:rsidR="001068D9" w:rsidRDefault="001068D9" w:rsidP="0075257A">
            <w:pPr>
              <w:spacing w:line="276" w:lineRule="auto"/>
              <w:jc w:val="center"/>
            </w:pPr>
            <w:r w:rsidRPr="00EA108A">
              <w:rPr>
                <w:sz w:val="22"/>
                <w:szCs w:val="22"/>
              </w:rPr>
              <w:t>UP000008827</w:t>
            </w:r>
          </w:p>
        </w:tc>
        <w:tc>
          <w:tcPr>
            <w:tcW w:w="1809" w:type="dxa"/>
            <w:vAlign w:val="center"/>
          </w:tcPr>
          <w:p w14:paraId="0D495460" w14:textId="1343F2F3" w:rsidR="001068D9" w:rsidRDefault="001068D9" w:rsidP="0075257A">
            <w:pPr>
              <w:spacing w:line="276" w:lineRule="auto"/>
              <w:jc w:val="center"/>
            </w:pPr>
            <w:r w:rsidRPr="00EA108A">
              <w:rPr>
                <w:sz w:val="22"/>
                <w:szCs w:val="22"/>
              </w:rPr>
              <w:t>3847</w:t>
            </w:r>
          </w:p>
        </w:tc>
        <w:tc>
          <w:tcPr>
            <w:tcW w:w="2610" w:type="dxa"/>
            <w:vAlign w:val="center"/>
          </w:tcPr>
          <w:p w14:paraId="51369E65" w14:textId="54526100" w:rsidR="001068D9" w:rsidRDefault="001F5833" w:rsidP="0075257A">
            <w:pPr>
              <w:spacing w:line="276" w:lineRule="auto"/>
              <w:jc w:val="center"/>
            </w:pPr>
            <w:hyperlink r:id="rId6" w:history="1">
              <w:r w:rsidR="001068D9" w:rsidRPr="001F5833">
                <w:rPr>
                  <w:rStyle w:val="Hyperlink"/>
                  <w:sz w:val="22"/>
                  <w:szCs w:val="22"/>
                </w:rPr>
                <w:t>UP000008827_3847.fasta</w:t>
              </w:r>
            </w:hyperlink>
          </w:p>
        </w:tc>
      </w:tr>
      <w:tr w:rsidR="001068D9" w14:paraId="495B16A3" w14:textId="77777777" w:rsidTr="00E83741">
        <w:tc>
          <w:tcPr>
            <w:tcW w:w="1980" w:type="dxa"/>
            <w:vAlign w:val="center"/>
          </w:tcPr>
          <w:p w14:paraId="17A885A3" w14:textId="1D77D29E" w:rsidR="001068D9" w:rsidRDefault="001068D9" w:rsidP="0075257A">
            <w:pPr>
              <w:spacing w:line="276" w:lineRule="auto"/>
              <w:jc w:val="left"/>
            </w:pPr>
            <w:r w:rsidRPr="00EA108A">
              <w:rPr>
                <w:i/>
                <w:iCs/>
                <w:sz w:val="22"/>
                <w:szCs w:val="22"/>
              </w:rPr>
              <w:t>Cicer arietinum</w:t>
            </w:r>
          </w:p>
        </w:tc>
        <w:tc>
          <w:tcPr>
            <w:tcW w:w="1721" w:type="dxa"/>
            <w:vAlign w:val="center"/>
          </w:tcPr>
          <w:p w14:paraId="371B7A4F" w14:textId="18D7B0B9" w:rsidR="001068D9" w:rsidRDefault="001068D9" w:rsidP="0075257A">
            <w:pPr>
              <w:spacing w:line="276" w:lineRule="auto"/>
              <w:jc w:val="left"/>
            </w:pPr>
            <w:r w:rsidRPr="00EA108A">
              <w:rPr>
                <w:sz w:val="22"/>
                <w:szCs w:val="22"/>
              </w:rPr>
              <w:t>Chickpea</w:t>
            </w:r>
          </w:p>
        </w:tc>
        <w:tc>
          <w:tcPr>
            <w:tcW w:w="1960" w:type="dxa"/>
            <w:vAlign w:val="center"/>
          </w:tcPr>
          <w:p w14:paraId="342FF61A" w14:textId="25A35AF6" w:rsidR="001068D9" w:rsidRDefault="001068D9" w:rsidP="0075257A">
            <w:pPr>
              <w:spacing w:line="276" w:lineRule="auto"/>
              <w:jc w:val="center"/>
            </w:pPr>
            <w:r w:rsidRPr="00EA108A">
              <w:rPr>
                <w:sz w:val="22"/>
                <w:szCs w:val="22"/>
              </w:rPr>
              <w:t>UP000087171</w:t>
            </w:r>
          </w:p>
        </w:tc>
        <w:tc>
          <w:tcPr>
            <w:tcW w:w="1809" w:type="dxa"/>
            <w:vAlign w:val="center"/>
          </w:tcPr>
          <w:p w14:paraId="2F010F46" w14:textId="06E55A39" w:rsidR="001068D9" w:rsidRDefault="001068D9" w:rsidP="0075257A">
            <w:pPr>
              <w:spacing w:line="276" w:lineRule="auto"/>
              <w:jc w:val="center"/>
            </w:pPr>
            <w:r w:rsidRPr="00EA108A">
              <w:rPr>
                <w:sz w:val="22"/>
                <w:szCs w:val="22"/>
              </w:rPr>
              <w:t>3827</w:t>
            </w:r>
          </w:p>
        </w:tc>
        <w:tc>
          <w:tcPr>
            <w:tcW w:w="2610" w:type="dxa"/>
            <w:vAlign w:val="center"/>
          </w:tcPr>
          <w:p w14:paraId="56B3C360" w14:textId="4CB02FB9" w:rsidR="001068D9" w:rsidRDefault="001F5833" w:rsidP="0075257A">
            <w:pPr>
              <w:spacing w:line="276" w:lineRule="auto"/>
              <w:jc w:val="center"/>
            </w:pPr>
            <w:hyperlink r:id="rId7" w:history="1">
              <w:r w:rsidR="001068D9" w:rsidRPr="001F5833">
                <w:rPr>
                  <w:rStyle w:val="Hyperlink"/>
                  <w:sz w:val="22"/>
                  <w:szCs w:val="22"/>
                </w:rPr>
                <w:t>UP000087171_3827.fasta</w:t>
              </w:r>
            </w:hyperlink>
          </w:p>
        </w:tc>
      </w:tr>
      <w:tr w:rsidR="001068D9" w14:paraId="27F8EB24" w14:textId="77777777" w:rsidTr="00E83741">
        <w:tc>
          <w:tcPr>
            <w:tcW w:w="1980" w:type="dxa"/>
            <w:vAlign w:val="center"/>
          </w:tcPr>
          <w:p w14:paraId="4680401C" w14:textId="7F288E5A" w:rsidR="001068D9" w:rsidRDefault="001068D9" w:rsidP="0075257A">
            <w:pPr>
              <w:spacing w:line="276" w:lineRule="auto"/>
              <w:jc w:val="left"/>
            </w:pPr>
            <w:r w:rsidRPr="00EA108A">
              <w:rPr>
                <w:i/>
                <w:iCs/>
                <w:sz w:val="22"/>
                <w:szCs w:val="22"/>
              </w:rPr>
              <w:t>Lupinus albus</w:t>
            </w:r>
          </w:p>
        </w:tc>
        <w:tc>
          <w:tcPr>
            <w:tcW w:w="1721" w:type="dxa"/>
            <w:vAlign w:val="center"/>
          </w:tcPr>
          <w:p w14:paraId="4128444B" w14:textId="51EA0915" w:rsidR="001068D9" w:rsidRDefault="001068D9" w:rsidP="0075257A">
            <w:pPr>
              <w:spacing w:line="276" w:lineRule="auto"/>
              <w:jc w:val="left"/>
            </w:pPr>
            <w:r w:rsidRPr="00EA108A">
              <w:rPr>
                <w:sz w:val="22"/>
                <w:szCs w:val="22"/>
              </w:rPr>
              <w:t>White lupin</w:t>
            </w:r>
          </w:p>
        </w:tc>
        <w:tc>
          <w:tcPr>
            <w:tcW w:w="1960" w:type="dxa"/>
            <w:vAlign w:val="center"/>
          </w:tcPr>
          <w:p w14:paraId="40D0CE15" w14:textId="1A6B442C" w:rsidR="001068D9" w:rsidRDefault="001068D9" w:rsidP="0075257A">
            <w:pPr>
              <w:spacing w:line="276" w:lineRule="auto"/>
              <w:jc w:val="center"/>
            </w:pPr>
            <w:r w:rsidRPr="00EA108A">
              <w:rPr>
                <w:sz w:val="22"/>
                <w:szCs w:val="22"/>
              </w:rPr>
              <w:t>UP000447434</w:t>
            </w:r>
          </w:p>
        </w:tc>
        <w:tc>
          <w:tcPr>
            <w:tcW w:w="1809" w:type="dxa"/>
            <w:vAlign w:val="center"/>
          </w:tcPr>
          <w:p w14:paraId="257ED77E" w14:textId="202301C9" w:rsidR="001068D9" w:rsidRDefault="001068D9" w:rsidP="0075257A">
            <w:pPr>
              <w:spacing w:line="276" w:lineRule="auto"/>
              <w:jc w:val="center"/>
            </w:pPr>
            <w:r w:rsidRPr="00EA108A">
              <w:rPr>
                <w:sz w:val="22"/>
                <w:szCs w:val="22"/>
              </w:rPr>
              <w:t>3870</w:t>
            </w:r>
          </w:p>
        </w:tc>
        <w:tc>
          <w:tcPr>
            <w:tcW w:w="2610" w:type="dxa"/>
            <w:vAlign w:val="center"/>
          </w:tcPr>
          <w:p w14:paraId="0E1DCAC7" w14:textId="77992140" w:rsidR="001068D9" w:rsidRDefault="00F60379" w:rsidP="0075257A">
            <w:pPr>
              <w:spacing w:line="276" w:lineRule="auto"/>
              <w:jc w:val="center"/>
            </w:pPr>
            <w:hyperlink r:id="rId8" w:history="1">
              <w:r w:rsidR="001068D9" w:rsidRPr="00F60379">
                <w:rPr>
                  <w:rStyle w:val="Hyperlink"/>
                  <w:sz w:val="22"/>
                  <w:szCs w:val="22"/>
                </w:rPr>
                <w:t>UP000447434_3870.fasta</w:t>
              </w:r>
            </w:hyperlink>
          </w:p>
        </w:tc>
      </w:tr>
      <w:tr w:rsidR="001068D9" w14:paraId="5770816F" w14:textId="77777777" w:rsidTr="00E83741">
        <w:tc>
          <w:tcPr>
            <w:tcW w:w="1980" w:type="dxa"/>
            <w:vAlign w:val="center"/>
          </w:tcPr>
          <w:p w14:paraId="13619C6C" w14:textId="297A1122" w:rsidR="001068D9" w:rsidRDefault="001068D9" w:rsidP="0075257A">
            <w:pPr>
              <w:spacing w:line="276" w:lineRule="auto"/>
              <w:jc w:val="left"/>
            </w:pPr>
            <w:r w:rsidRPr="00EA108A">
              <w:rPr>
                <w:i/>
                <w:iCs/>
                <w:sz w:val="22"/>
                <w:szCs w:val="22"/>
              </w:rPr>
              <w:t>Phaseolus vulgaris</w:t>
            </w:r>
          </w:p>
        </w:tc>
        <w:tc>
          <w:tcPr>
            <w:tcW w:w="1721" w:type="dxa"/>
            <w:vAlign w:val="center"/>
          </w:tcPr>
          <w:p w14:paraId="22BA94A2" w14:textId="4AF01F31" w:rsidR="001068D9" w:rsidRDefault="001068D9" w:rsidP="0075257A">
            <w:pPr>
              <w:spacing w:line="276" w:lineRule="auto"/>
              <w:jc w:val="left"/>
            </w:pPr>
            <w:r w:rsidRPr="00EA108A">
              <w:rPr>
                <w:sz w:val="22"/>
                <w:szCs w:val="22"/>
              </w:rPr>
              <w:t>Common bean</w:t>
            </w:r>
          </w:p>
        </w:tc>
        <w:tc>
          <w:tcPr>
            <w:tcW w:w="1960" w:type="dxa"/>
            <w:vAlign w:val="center"/>
          </w:tcPr>
          <w:p w14:paraId="6AE4C392" w14:textId="78E96C78" w:rsidR="001068D9" w:rsidRDefault="001068D9" w:rsidP="0075257A">
            <w:pPr>
              <w:spacing w:line="276" w:lineRule="auto"/>
              <w:jc w:val="center"/>
            </w:pPr>
            <w:r w:rsidRPr="00EA108A">
              <w:rPr>
                <w:sz w:val="22"/>
                <w:szCs w:val="22"/>
              </w:rPr>
              <w:t>UP000000226</w:t>
            </w:r>
          </w:p>
        </w:tc>
        <w:tc>
          <w:tcPr>
            <w:tcW w:w="1809" w:type="dxa"/>
            <w:vAlign w:val="center"/>
          </w:tcPr>
          <w:p w14:paraId="652FA522" w14:textId="2DF33759" w:rsidR="001068D9" w:rsidRDefault="001068D9" w:rsidP="0075257A">
            <w:pPr>
              <w:spacing w:line="276" w:lineRule="auto"/>
              <w:jc w:val="center"/>
            </w:pPr>
            <w:r w:rsidRPr="00EA108A">
              <w:rPr>
                <w:sz w:val="22"/>
                <w:szCs w:val="22"/>
              </w:rPr>
              <w:t>3885</w:t>
            </w:r>
          </w:p>
        </w:tc>
        <w:tc>
          <w:tcPr>
            <w:tcW w:w="2610" w:type="dxa"/>
            <w:vAlign w:val="center"/>
          </w:tcPr>
          <w:p w14:paraId="6FDEF52C" w14:textId="11FC1554" w:rsidR="001068D9" w:rsidRDefault="00F60379" w:rsidP="0075257A">
            <w:pPr>
              <w:spacing w:line="276" w:lineRule="auto"/>
              <w:jc w:val="center"/>
            </w:pPr>
            <w:hyperlink r:id="rId9" w:history="1">
              <w:r w:rsidR="001068D9" w:rsidRPr="00F60379">
                <w:rPr>
                  <w:rStyle w:val="Hyperlink"/>
                  <w:sz w:val="22"/>
                  <w:szCs w:val="22"/>
                </w:rPr>
                <w:t>UP000000226_3885.fasta</w:t>
              </w:r>
            </w:hyperlink>
          </w:p>
        </w:tc>
      </w:tr>
    </w:tbl>
    <w:p w14:paraId="6B74A177" w14:textId="77777777" w:rsidR="00EA108A" w:rsidRPr="00D15FF5" w:rsidRDefault="00EA108A" w:rsidP="0075257A">
      <w:pPr>
        <w:spacing w:line="276" w:lineRule="auto"/>
        <w:rPr>
          <w:sz w:val="22"/>
          <w:szCs w:val="22"/>
        </w:rPr>
      </w:pPr>
    </w:p>
    <w:sectPr w:rsidR="00EA108A" w:rsidRPr="00D15FF5" w:rsidSect="00717F90">
      <w:pgSz w:w="12240" w:h="15840"/>
      <w:pgMar w:top="720" w:right="1134" w:bottom="63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A34EA" w14:textId="77777777" w:rsidR="006B14D8" w:rsidRDefault="006B14D8" w:rsidP="006C1A84">
      <w:pPr>
        <w:spacing w:after="0" w:line="240" w:lineRule="auto"/>
      </w:pPr>
      <w:r>
        <w:separator/>
      </w:r>
    </w:p>
  </w:endnote>
  <w:endnote w:type="continuationSeparator" w:id="0">
    <w:p w14:paraId="76F6ACF6" w14:textId="77777777" w:rsidR="006B14D8" w:rsidRDefault="006B14D8" w:rsidP="006C1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C0A0F" w14:textId="77777777" w:rsidR="006B14D8" w:rsidRDefault="006B14D8" w:rsidP="006C1A84">
      <w:pPr>
        <w:spacing w:after="0" w:line="240" w:lineRule="auto"/>
      </w:pPr>
      <w:r>
        <w:separator/>
      </w:r>
    </w:p>
  </w:footnote>
  <w:footnote w:type="continuationSeparator" w:id="0">
    <w:p w14:paraId="24049864" w14:textId="77777777" w:rsidR="006B14D8" w:rsidRDefault="006B14D8" w:rsidP="006C1A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1D6"/>
    <w:rsid w:val="00093848"/>
    <w:rsid w:val="000B3017"/>
    <w:rsid w:val="000D22CE"/>
    <w:rsid w:val="000F10BA"/>
    <w:rsid w:val="001068D9"/>
    <w:rsid w:val="0011312F"/>
    <w:rsid w:val="0011326B"/>
    <w:rsid w:val="001603DD"/>
    <w:rsid w:val="00161E62"/>
    <w:rsid w:val="001B54B1"/>
    <w:rsid w:val="001F5833"/>
    <w:rsid w:val="0020293E"/>
    <w:rsid w:val="002C7628"/>
    <w:rsid w:val="003069D8"/>
    <w:rsid w:val="0043004A"/>
    <w:rsid w:val="00450CC8"/>
    <w:rsid w:val="004535DE"/>
    <w:rsid w:val="004E6EB2"/>
    <w:rsid w:val="00522B48"/>
    <w:rsid w:val="005E4E2A"/>
    <w:rsid w:val="00622CF6"/>
    <w:rsid w:val="00650AAB"/>
    <w:rsid w:val="0067049D"/>
    <w:rsid w:val="00690461"/>
    <w:rsid w:val="006B14D8"/>
    <w:rsid w:val="006C1A84"/>
    <w:rsid w:val="006C36DF"/>
    <w:rsid w:val="006D274C"/>
    <w:rsid w:val="006F296E"/>
    <w:rsid w:val="00717F90"/>
    <w:rsid w:val="00723994"/>
    <w:rsid w:val="0075257A"/>
    <w:rsid w:val="007B6A47"/>
    <w:rsid w:val="007F3D52"/>
    <w:rsid w:val="00810921"/>
    <w:rsid w:val="00846F48"/>
    <w:rsid w:val="00866A97"/>
    <w:rsid w:val="008C19CD"/>
    <w:rsid w:val="00941138"/>
    <w:rsid w:val="009813AA"/>
    <w:rsid w:val="009B37B5"/>
    <w:rsid w:val="009D0A32"/>
    <w:rsid w:val="00A30641"/>
    <w:rsid w:val="00A42677"/>
    <w:rsid w:val="00A55278"/>
    <w:rsid w:val="00A72956"/>
    <w:rsid w:val="00AA2781"/>
    <w:rsid w:val="00B36EEC"/>
    <w:rsid w:val="00B422A7"/>
    <w:rsid w:val="00B43CEF"/>
    <w:rsid w:val="00BB6270"/>
    <w:rsid w:val="00BC2A64"/>
    <w:rsid w:val="00C50E38"/>
    <w:rsid w:val="00C716F2"/>
    <w:rsid w:val="00C74347"/>
    <w:rsid w:val="00C96E28"/>
    <w:rsid w:val="00CC338C"/>
    <w:rsid w:val="00CD6A7C"/>
    <w:rsid w:val="00CF1B71"/>
    <w:rsid w:val="00D15FF5"/>
    <w:rsid w:val="00D34A0A"/>
    <w:rsid w:val="00E141D6"/>
    <w:rsid w:val="00E514E1"/>
    <w:rsid w:val="00E83741"/>
    <w:rsid w:val="00EA108A"/>
    <w:rsid w:val="00F314B8"/>
    <w:rsid w:val="00F43EFF"/>
    <w:rsid w:val="00F6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54AB"/>
  <w15:chartTrackingRefBased/>
  <w15:docId w15:val="{633C7A63-F9F2-41F0-93F3-28EE5475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Bidi" w:eastAsiaTheme="minorHAnsi" w:hAnsiTheme="majorBidi" w:cstheme="maj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1D6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41D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1D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1D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1D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1D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1D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1D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1D6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1D6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1D6"/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1D6"/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1D6"/>
    <w:rPr>
      <w:rFonts w:asciiTheme="minorHAnsi" w:eastAsiaTheme="majorEastAsia" w:hAnsiTheme="minorHAns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1D6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1D6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1D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1D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1D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1D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5DE"/>
    <w:pPr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535DE"/>
    <w:rPr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1D6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1D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1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6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6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C1A8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6C1A8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C1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A84"/>
  </w:style>
  <w:style w:type="paragraph" w:styleId="Footer">
    <w:name w:val="footer"/>
    <w:basedOn w:val="Normal"/>
    <w:link w:val="FooterChar"/>
    <w:uiPriority w:val="99"/>
    <w:unhideWhenUsed/>
    <w:rsid w:val="006C1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A84"/>
  </w:style>
  <w:style w:type="table" w:styleId="TableGrid">
    <w:name w:val="Table Grid"/>
    <w:basedOn w:val="TableNormal"/>
    <w:uiPriority w:val="39"/>
    <w:rsid w:val="00106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prot.org/proteomes/UP00044743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uniprot.org/proteomes/UP00008717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niprot.org/proteomes/UP000008827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uniprot.org/proteomes/UP0000002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</dc:creator>
  <cp:keywords/>
  <dc:description/>
  <cp:lastModifiedBy>Husam Omari</cp:lastModifiedBy>
  <cp:revision>39</cp:revision>
  <dcterms:created xsi:type="dcterms:W3CDTF">2026-02-08T23:10:00Z</dcterms:created>
  <dcterms:modified xsi:type="dcterms:W3CDTF">2026-07-26T06:46:00Z</dcterms:modified>
</cp:coreProperties>
</file>