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477D8" w14:textId="74F7BA85" w:rsidR="003069D8" w:rsidRPr="0020293E" w:rsidRDefault="003069D8" w:rsidP="004535DE">
      <w:pPr>
        <w:pStyle w:val="Title"/>
        <w:rPr>
          <w:sz w:val="28"/>
          <w:szCs w:val="28"/>
        </w:rPr>
      </w:pPr>
      <w:r w:rsidRPr="0020293E">
        <w:rPr>
          <w:sz w:val="28"/>
          <w:szCs w:val="28"/>
        </w:rPr>
        <w:t>Supplementary Material S1</w:t>
      </w:r>
    </w:p>
    <w:p w14:paraId="524CD0BD" w14:textId="60A99D67" w:rsidR="003069D8" w:rsidRPr="0020293E" w:rsidRDefault="003069D8" w:rsidP="003069D8">
      <w:pPr>
        <w:pStyle w:val="Title"/>
        <w:rPr>
          <w:sz w:val="24"/>
          <w:szCs w:val="24"/>
        </w:rPr>
      </w:pPr>
      <w:r w:rsidRPr="0020293E">
        <w:rPr>
          <w:sz w:val="24"/>
          <w:szCs w:val="24"/>
        </w:rPr>
        <w:t>A Computational Workflow for Proteome-Wide Analysis of Sulfur-Containing Amino Acid Distribution in Crop Proteomes</w:t>
      </w:r>
    </w:p>
    <w:p w14:paraId="72996717" w14:textId="77777777" w:rsidR="00D15FF5" w:rsidRPr="00D15FF5" w:rsidRDefault="00D15FF5" w:rsidP="00D15FF5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This document describes the computational workflow used in this study. Species-specific Jupyter Notebooks (Supplementary Materials S2a to S5b) document and reproduce the analyses performed for each crop proteome, while the comparative notebook provides the proteome-level descriptive comparison. The notebooks use the custom Python library saa_proteome, developed for proteome-wide amino-acid composition analysis with particular emphasis on methionine and cysteine.</w:t>
      </w:r>
    </w:p>
    <w:p w14:paraId="0214C06A" w14:textId="77777777" w:rsidR="00D15FF5" w:rsidRPr="00D15FF5" w:rsidRDefault="00D15FF5" w:rsidP="00D15FF5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 xml:space="preserve">The workflow begins with validation and parsing of FASTA files obtained from UniProt reference proteomes. Protein sequences are normalized before analysis. When </w:t>
      </w:r>
      <w:proofErr w:type="spellStart"/>
      <w:r w:rsidRPr="00D15FF5">
        <w:rPr>
          <w:sz w:val="22"/>
          <w:szCs w:val="22"/>
        </w:rPr>
        <w:t>remove_start_m</w:t>
      </w:r>
      <w:proofErr w:type="spellEnd"/>
      <w:r w:rsidRPr="00D15FF5">
        <w:rPr>
          <w:sz w:val="22"/>
          <w:szCs w:val="22"/>
        </w:rPr>
        <w:t>=True, an N-terminal methionine is removed only when it occurs as the first residue of the normalized original sequence; optional canonical-residue filtering is then applied to retain the 20 standard amino acids and exclude noncanonical symbols. The initial-methionine-removed condition was evaluated as a sensitivity analysis because actual N-terminal methionine excision depends on biological and sequence context and cannot be inferred from reference-proteome sequences alone. All preprocessing steps are explicitly parameterized and reproducible.</w:t>
      </w:r>
    </w:p>
    <w:p w14:paraId="71265B13" w14:textId="77777777" w:rsidR="00D15FF5" w:rsidRPr="00D15FF5" w:rsidRDefault="00D15FF5" w:rsidP="00D15FF5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Protein-level outputs include raw, cleaned, and adjusted sequence lengths; preprocessing flags; methionine, cysteine, and combined sulfur-containing amino-acid (S-AA) percentages; and related composition descriptors. Proteins can be ranked by any numerical metric, and defined subsets, including the proteins with the highest total S-AA percentages, can be selected for downstream analysis.</w:t>
      </w:r>
    </w:p>
    <w:p w14:paraId="6780ED6D" w14:textId="77777777" w:rsidR="00D15FF5" w:rsidRPr="00D15FF5" w:rsidRDefault="00D15FF5" w:rsidP="00D15FF5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 xml:space="preserve">Localized enrichment is quantified using overlapping sliding windows. For each protein, the workflow calculates the maximum methionine, cysteine, and combined S-AA percentages observed within windows defined by the selected </w:t>
      </w:r>
      <w:proofErr w:type="spellStart"/>
      <w:r w:rsidRPr="00D15FF5">
        <w:rPr>
          <w:sz w:val="22"/>
          <w:szCs w:val="22"/>
        </w:rPr>
        <w:t>window_size</w:t>
      </w:r>
      <w:proofErr w:type="spellEnd"/>
      <w:r w:rsidRPr="00D15FF5">
        <w:rPr>
          <w:sz w:val="22"/>
          <w:szCs w:val="22"/>
        </w:rPr>
        <w:t xml:space="preserve"> and </w:t>
      </w:r>
      <w:proofErr w:type="spellStart"/>
      <w:r w:rsidRPr="00D15FF5">
        <w:rPr>
          <w:sz w:val="22"/>
          <w:szCs w:val="22"/>
        </w:rPr>
        <w:t>window_step</w:t>
      </w:r>
      <w:proofErr w:type="spellEnd"/>
      <w:r w:rsidRPr="00D15FF5">
        <w:rPr>
          <w:sz w:val="22"/>
          <w:szCs w:val="22"/>
        </w:rPr>
        <w:t xml:space="preserve"> parameters. In this study, 100-amino-acid windows with a one-residue step were used for the localized-enrichment analysis.</w:t>
      </w:r>
    </w:p>
    <w:p w14:paraId="58215360" w14:textId="77777777" w:rsidR="00D15FF5" w:rsidRPr="00D15FF5" w:rsidRDefault="00D15FF5" w:rsidP="00D15FF5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 xml:space="preserve">Amino-acid composition matrices quantify the relative frequency, from 0 to 1, of each canonical amino acid within each selected protein. Counts and percentages are also supported. The analytical functions return structured numerical outputs, including pandas </w:t>
      </w:r>
      <w:proofErr w:type="spellStart"/>
      <w:r w:rsidRPr="00D15FF5">
        <w:rPr>
          <w:sz w:val="22"/>
          <w:szCs w:val="22"/>
        </w:rPr>
        <w:t>DataFrames</w:t>
      </w:r>
      <w:proofErr w:type="spellEnd"/>
      <w:r w:rsidRPr="00D15FF5">
        <w:rPr>
          <w:sz w:val="22"/>
          <w:szCs w:val="22"/>
        </w:rPr>
        <w:t>, summary statistics, ranking tables, and visualization-ready matrices. Graphical representation is performed at the notebook level using standard visualization libraries, allowing adjustment of color scales, resolution, and figure layout.</w:t>
      </w:r>
    </w:p>
    <w:p w14:paraId="5253A879" w14:textId="11886F7B" w:rsidR="00A30641" w:rsidRPr="00D15FF5" w:rsidRDefault="00D15FF5" w:rsidP="00D15FF5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 xml:space="preserve">Intermediate and final analytical tables are retained as pandas </w:t>
      </w:r>
      <w:proofErr w:type="spellStart"/>
      <w:r w:rsidRPr="00D15FF5">
        <w:rPr>
          <w:sz w:val="22"/>
          <w:szCs w:val="22"/>
        </w:rPr>
        <w:t>DataFrames</w:t>
      </w:r>
      <w:proofErr w:type="spellEnd"/>
      <w:r w:rsidRPr="00D15FF5">
        <w:rPr>
          <w:sz w:val="22"/>
          <w:szCs w:val="22"/>
        </w:rPr>
        <w:t xml:space="preserve"> to facilitate inspection, reuse, and export, while figures are generated and saved separately. Together, the saa_proteome library and the accompanying notebooks provide a transparent and reproducible record of the complete pipeline, from raw proteome sequences to proteome-level summaries, ranked S-AA-rich proteins, localized-enrichment profiles, and associated visual outputs.</w:t>
      </w:r>
    </w:p>
    <w:sectPr w:rsidR="00A30641" w:rsidRPr="00D15FF5" w:rsidSect="006C1A84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6762" w14:textId="77777777" w:rsidR="00A42677" w:rsidRDefault="00A42677" w:rsidP="006C1A84">
      <w:pPr>
        <w:spacing w:after="0" w:line="240" w:lineRule="auto"/>
      </w:pPr>
      <w:r>
        <w:separator/>
      </w:r>
    </w:p>
  </w:endnote>
  <w:endnote w:type="continuationSeparator" w:id="0">
    <w:p w14:paraId="7767F1C4" w14:textId="77777777" w:rsidR="00A42677" w:rsidRDefault="00A42677" w:rsidP="006C1A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558CF" w14:textId="77777777" w:rsidR="00A42677" w:rsidRDefault="00A42677" w:rsidP="006C1A84">
      <w:pPr>
        <w:spacing w:after="0" w:line="240" w:lineRule="auto"/>
      </w:pPr>
      <w:r>
        <w:separator/>
      </w:r>
    </w:p>
  </w:footnote>
  <w:footnote w:type="continuationSeparator" w:id="0">
    <w:p w14:paraId="5F177E01" w14:textId="77777777" w:rsidR="00A42677" w:rsidRDefault="00A42677" w:rsidP="006C1A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41D6"/>
    <w:rsid w:val="00093848"/>
    <w:rsid w:val="000B3017"/>
    <w:rsid w:val="000D22CE"/>
    <w:rsid w:val="000F10BA"/>
    <w:rsid w:val="0011326B"/>
    <w:rsid w:val="00161E62"/>
    <w:rsid w:val="001B54B1"/>
    <w:rsid w:val="0020293E"/>
    <w:rsid w:val="002C7628"/>
    <w:rsid w:val="003069D8"/>
    <w:rsid w:val="0043004A"/>
    <w:rsid w:val="00450CC8"/>
    <w:rsid w:val="004535DE"/>
    <w:rsid w:val="00522B48"/>
    <w:rsid w:val="005E4E2A"/>
    <w:rsid w:val="00650AAB"/>
    <w:rsid w:val="0067049D"/>
    <w:rsid w:val="006C1A84"/>
    <w:rsid w:val="006C36DF"/>
    <w:rsid w:val="006F296E"/>
    <w:rsid w:val="00723994"/>
    <w:rsid w:val="007B6A47"/>
    <w:rsid w:val="00810921"/>
    <w:rsid w:val="00846F48"/>
    <w:rsid w:val="00866A97"/>
    <w:rsid w:val="008C19CD"/>
    <w:rsid w:val="009813AA"/>
    <w:rsid w:val="009B37B5"/>
    <w:rsid w:val="009D0A32"/>
    <w:rsid w:val="00A30641"/>
    <w:rsid w:val="00A42677"/>
    <w:rsid w:val="00A55278"/>
    <w:rsid w:val="00A72956"/>
    <w:rsid w:val="00B36EEC"/>
    <w:rsid w:val="00BB6270"/>
    <w:rsid w:val="00C50E38"/>
    <w:rsid w:val="00C716F2"/>
    <w:rsid w:val="00C74347"/>
    <w:rsid w:val="00C96E28"/>
    <w:rsid w:val="00CC338C"/>
    <w:rsid w:val="00CD6A7C"/>
    <w:rsid w:val="00CF1B71"/>
    <w:rsid w:val="00D15FF5"/>
    <w:rsid w:val="00D34A0A"/>
    <w:rsid w:val="00E141D6"/>
    <w:rsid w:val="00E514E1"/>
    <w:rsid w:val="00F314B8"/>
    <w:rsid w:val="00F43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454AB"/>
  <w15:chartTrackingRefBased/>
  <w15:docId w15:val="{633C7A63-F9F2-41F0-93F3-28EE5475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Theme="minorHAnsi" w:hAnsiTheme="majorBidi" w:cstheme="maj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1D6"/>
    <w:pPr>
      <w:spacing w:line="36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141D6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1D6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1D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1D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1D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1D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1D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1D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1D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1D6"/>
    <w:rPr>
      <w:rFonts w:asciiTheme="majorHAnsi" w:eastAsiaTheme="majorEastAsia" w:hAnsiTheme="majorHAns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1D6"/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1D6"/>
    <w:rPr>
      <w:rFonts w:asciiTheme="minorHAnsi" w:eastAsiaTheme="majorEastAsia" w:hAnsiTheme="minorHAns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1D6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1D6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1D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1D6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1D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1D6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5DE"/>
    <w:pPr>
      <w:jc w:val="center"/>
    </w:pPr>
    <w:rPr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4535DE"/>
    <w:rPr>
      <w:b/>
      <w:bCs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1D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1D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1D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76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62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C1A8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6C1A8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C1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1A84"/>
  </w:style>
  <w:style w:type="paragraph" w:styleId="Footer">
    <w:name w:val="footer"/>
    <w:basedOn w:val="Normal"/>
    <w:link w:val="FooterChar"/>
    <w:uiPriority w:val="99"/>
    <w:unhideWhenUsed/>
    <w:rsid w:val="006C1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A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457</Words>
  <Characters>2606</Characters>
  <Application>Microsoft Office Word</Application>
  <DocSecurity>0</DocSecurity>
  <Lines>21</Lines>
  <Paragraphs>6</Paragraphs>
  <ScaleCrop>false</ScaleCrop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</dc:creator>
  <cp:keywords/>
  <dc:description/>
  <cp:lastModifiedBy>Husam Omari</cp:lastModifiedBy>
  <cp:revision>24</cp:revision>
  <dcterms:created xsi:type="dcterms:W3CDTF">2026-02-08T23:10:00Z</dcterms:created>
  <dcterms:modified xsi:type="dcterms:W3CDTF">2026-07-25T08:01:00Z</dcterms:modified>
</cp:coreProperties>
</file>