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477D8" w14:textId="74F7BA85" w:rsidR="003069D8" w:rsidRPr="0020293E" w:rsidRDefault="003069D8" w:rsidP="0075257A">
      <w:pPr>
        <w:pStyle w:val="Title"/>
        <w:spacing w:line="276" w:lineRule="auto"/>
        <w:rPr>
          <w:sz w:val="28"/>
          <w:szCs w:val="28"/>
        </w:rPr>
      </w:pPr>
      <w:r w:rsidRPr="0020293E">
        <w:rPr>
          <w:sz w:val="28"/>
          <w:szCs w:val="28"/>
        </w:rPr>
        <w:t>Supplementary Material S1</w:t>
      </w:r>
    </w:p>
    <w:p w14:paraId="524CD0BD" w14:textId="60A99D67" w:rsidR="003069D8" w:rsidRPr="0020293E" w:rsidRDefault="003069D8" w:rsidP="0075257A">
      <w:pPr>
        <w:pStyle w:val="Title"/>
        <w:spacing w:line="276" w:lineRule="auto"/>
        <w:rPr>
          <w:sz w:val="24"/>
          <w:szCs w:val="24"/>
        </w:rPr>
      </w:pPr>
      <w:r w:rsidRPr="0020293E">
        <w:rPr>
          <w:sz w:val="24"/>
          <w:szCs w:val="24"/>
        </w:rPr>
        <w:t>A Computational Workflow for Proteome-Wide Analysis of Sulfur-Containing Amino Acid Distribution in Crop Proteomes</w:t>
      </w:r>
    </w:p>
    <w:p w14:paraId="72996717" w14:textId="77777777" w:rsidR="00D15FF5" w:rsidRPr="00D15FF5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This document describes the computational workflow used in this study. Species-specific Jupyter Notebooks (Supplementary Materials S2a to S5b) document and reproduce the analyses performed for each crop proteome, while the comparative notebook provides the proteome-level descriptive comparison. The notebooks use the custom Python library saa_proteome, developed for proteome-wide amino-acid composition analysis with particular emphasis on methionine and cysteine.</w:t>
      </w:r>
    </w:p>
    <w:p w14:paraId="0214C06A" w14:textId="2B6CA346" w:rsidR="00D15FF5" w:rsidRPr="00D15FF5" w:rsidRDefault="00622CF6" w:rsidP="00B422A7">
      <w:pPr>
        <w:spacing w:line="276" w:lineRule="auto"/>
        <w:rPr>
          <w:sz w:val="22"/>
          <w:szCs w:val="22"/>
        </w:rPr>
      </w:pPr>
      <w:r w:rsidRPr="00622CF6">
        <w:rPr>
          <w:sz w:val="22"/>
          <w:szCs w:val="22"/>
        </w:rPr>
        <w:t>The workflow begins with validation and parsing of species-specific FASTA files obtained from the UniProt reference proteomes listed in Table S1.</w:t>
      </w:r>
      <w:r>
        <w:rPr>
          <w:sz w:val="22"/>
          <w:szCs w:val="22"/>
        </w:rPr>
        <w:t xml:space="preserve"> </w:t>
      </w:r>
      <w:r w:rsidR="00D15FF5" w:rsidRPr="00D15FF5">
        <w:rPr>
          <w:sz w:val="22"/>
          <w:szCs w:val="22"/>
        </w:rPr>
        <w:t>Protein sequences are normalized before analysis.</w:t>
      </w:r>
      <w:r w:rsidR="00B422A7">
        <w:rPr>
          <w:sz w:val="22"/>
          <w:szCs w:val="22"/>
        </w:rPr>
        <w:t xml:space="preserve"> </w:t>
      </w:r>
      <w:r w:rsidR="00D15FF5" w:rsidRPr="00B422A7">
        <w:rPr>
          <w:sz w:val="22"/>
          <w:szCs w:val="22"/>
        </w:rPr>
        <w:t>When remove_start_m=True, an N-terminal methionine is removed only when it occurs as the first residue of the normalized original sequence; optional canonical-residue filtering is then applied</w:t>
      </w:r>
      <w:r w:rsidR="00D15FF5" w:rsidRPr="00D15FF5">
        <w:rPr>
          <w:sz w:val="22"/>
          <w:szCs w:val="22"/>
        </w:rPr>
        <w:t xml:space="preserve"> to retain the 20 standard amino acids and exclude noncanonical symbols. The initial-methionine-removed condition was evaluated as a sensitivity analysis because actual N-terminal methionine excision depends on biological and sequence context and cannot be inferred from reference-proteome sequences alone. All preprocessing steps are explicitly parameterized and reproducible.</w:t>
      </w:r>
    </w:p>
    <w:p w14:paraId="71265B13" w14:textId="77777777" w:rsidR="00D15FF5" w:rsidRPr="00D15FF5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Protein-level outputs include raw, cleaned, and adjusted sequence lengths; preprocessing flags; methionine, cysteine, and combined sulfur-containing amino-acid (S-AA) percentages; and related composition descriptors. Proteins can be ranked by any numerical metric, and defined subsets, including the proteins with the highest total S-AA percentages, can be selected for downstream analysis.</w:t>
      </w:r>
    </w:p>
    <w:p w14:paraId="6780ED6D" w14:textId="77777777" w:rsidR="00D15FF5" w:rsidRPr="00D15FF5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Localized enrichment is quantified using overlapping sliding windows. For each protein, the workflow calculates the maximum methionine, cysteine, and combined S-AA percentages observed within windows defined by the selected window_size and window_step parameters. In this study, 100-amino-acid windows with a one-residue step were used for the localized-enrichment analysis.</w:t>
      </w:r>
    </w:p>
    <w:p w14:paraId="58215360" w14:textId="77777777" w:rsidR="00D15FF5" w:rsidRPr="00D15FF5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Amino-acid composition matrices quantify the relative frequency, from 0 to 1, of each canonical amino acid within each selected protein. Counts and percentages are also supported. The analytical functions return structured numerical outputs, including pandas DataFrames, summary statistics, ranking tables, and visualization-ready matrices. Graphical representation is performed at the notebook level using standard visualization libraries, allowing adjustment of color scales, resolution, and figure layout.</w:t>
      </w:r>
    </w:p>
    <w:p w14:paraId="5E88202A" w14:textId="519CAEE5" w:rsidR="001068D9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Intermediate and final analytical tables are retained as pandas DataFrames to facilitate inspection, reuse, and export, while figures are generated and saved separately. Together, the saa_proteome library and the accompanying notebooks provide a transparent and reproducible record of the complete pipeline, from raw proteome sequences to proteome-level summaries, ranked S-AA-rich proteins, localized-enrichment profiles, and associated visual outputs.</w:t>
      </w:r>
    </w:p>
    <w:p w14:paraId="2C2879D7" w14:textId="48F1B1B1" w:rsidR="00EA108A" w:rsidRPr="00B43CEF" w:rsidRDefault="00B43CEF" w:rsidP="00717F90">
      <w:pPr>
        <w:spacing w:line="240" w:lineRule="auto"/>
        <w:rPr>
          <w:sz w:val="22"/>
          <w:szCs w:val="22"/>
        </w:rPr>
      </w:pPr>
      <w:r w:rsidRPr="00B43CEF">
        <w:rPr>
          <w:b/>
          <w:bCs/>
          <w:sz w:val="22"/>
          <w:szCs w:val="22"/>
        </w:rPr>
        <w:t>Table S1</w:t>
      </w:r>
      <w:r w:rsidR="00941138">
        <w:rPr>
          <w:b/>
          <w:bCs/>
          <w:sz w:val="22"/>
          <w:szCs w:val="22"/>
        </w:rPr>
        <w:t>.</w:t>
      </w:r>
      <w:r w:rsidRPr="00B43CEF">
        <w:rPr>
          <w:sz w:val="22"/>
          <w:szCs w:val="22"/>
        </w:rPr>
        <w:t xml:space="preserve"> UniProt reference proteomes and corresponding FASTA files used for the comparative analysis of sulfur-containing amino-acid distribution in four legume species.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0"/>
        <w:gridCol w:w="1721"/>
        <w:gridCol w:w="1960"/>
        <w:gridCol w:w="1809"/>
        <w:gridCol w:w="2610"/>
      </w:tblGrid>
      <w:tr w:rsidR="001068D9" w14:paraId="39E77366" w14:textId="77777777" w:rsidTr="00E83741">
        <w:tc>
          <w:tcPr>
            <w:tcW w:w="1980" w:type="dxa"/>
            <w:vAlign w:val="center"/>
          </w:tcPr>
          <w:p w14:paraId="4B3AE4E7" w14:textId="705D427D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b/>
                <w:bCs/>
                <w:sz w:val="22"/>
                <w:szCs w:val="22"/>
              </w:rPr>
              <w:t>Species</w:t>
            </w:r>
          </w:p>
        </w:tc>
        <w:tc>
          <w:tcPr>
            <w:tcW w:w="1721" w:type="dxa"/>
            <w:vAlign w:val="center"/>
          </w:tcPr>
          <w:p w14:paraId="2D6C52BA" w14:textId="44CCA7AD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b/>
                <w:bCs/>
                <w:sz w:val="22"/>
                <w:szCs w:val="22"/>
              </w:rPr>
              <w:t>Common name</w:t>
            </w:r>
          </w:p>
        </w:tc>
        <w:tc>
          <w:tcPr>
            <w:tcW w:w="1960" w:type="dxa"/>
            <w:vAlign w:val="center"/>
          </w:tcPr>
          <w:p w14:paraId="2FAE771F" w14:textId="7A4971D5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b/>
                <w:bCs/>
                <w:sz w:val="22"/>
                <w:szCs w:val="22"/>
              </w:rPr>
              <w:t>UniProt proteome ID</w:t>
            </w:r>
          </w:p>
        </w:tc>
        <w:tc>
          <w:tcPr>
            <w:tcW w:w="1809" w:type="dxa"/>
            <w:vAlign w:val="center"/>
          </w:tcPr>
          <w:p w14:paraId="531CBA06" w14:textId="3BE00FC5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b/>
                <w:bCs/>
                <w:sz w:val="22"/>
                <w:szCs w:val="22"/>
              </w:rPr>
              <w:t>NCBI</w:t>
            </w:r>
            <w:r w:rsidR="006D274C">
              <w:rPr>
                <w:b/>
                <w:bCs/>
                <w:sz w:val="22"/>
                <w:szCs w:val="22"/>
              </w:rPr>
              <w:t xml:space="preserve"> </w:t>
            </w:r>
            <w:r w:rsidRPr="00EA108A">
              <w:rPr>
                <w:b/>
                <w:bCs/>
                <w:sz w:val="22"/>
                <w:szCs w:val="22"/>
              </w:rPr>
              <w:t>taxonomy ID</w:t>
            </w:r>
          </w:p>
        </w:tc>
        <w:tc>
          <w:tcPr>
            <w:tcW w:w="2610" w:type="dxa"/>
            <w:vAlign w:val="center"/>
          </w:tcPr>
          <w:p w14:paraId="10196940" w14:textId="314A93D8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b/>
                <w:bCs/>
                <w:sz w:val="22"/>
                <w:szCs w:val="22"/>
              </w:rPr>
              <w:t>FASTA filename</w:t>
            </w:r>
          </w:p>
        </w:tc>
      </w:tr>
      <w:tr w:rsidR="001068D9" w14:paraId="37677962" w14:textId="77777777" w:rsidTr="00E83741">
        <w:tc>
          <w:tcPr>
            <w:tcW w:w="1980" w:type="dxa"/>
            <w:vAlign w:val="center"/>
          </w:tcPr>
          <w:p w14:paraId="7F42DDE7" w14:textId="15169485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i/>
                <w:iCs/>
                <w:sz w:val="22"/>
                <w:szCs w:val="22"/>
              </w:rPr>
              <w:t>Glycine max</w:t>
            </w:r>
          </w:p>
        </w:tc>
        <w:tc>
          <w:tcPr>
            <w:tcW w:w="1721" w:type="dxa"/>
            <w:vAlign w:val="center"/>
          </w:tcPr>
          <w:p w14:paraId="4347DC8E" w14:textId="1E4C7DFF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sz w:val="22"/>
                <w:szCs w:val="22"/>
              </w:rPr>
              <w:t>Soybean</w:t>
            </w:r>
          </w:p>
        </w:tc>
        <w:tc>
          <w:tcPr>
            <w:tcW w:w="1960" w:type="dxa"/>
            <w:vAlign w:val="center"/>
          </w:tcPr>
          <w:p w14:paraId="36E51452" w14:textId="778A64A5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UP000008827</w:t>
            </w:r>
          </w:p>
        </w:tc>
        <w:tc>
          <w:tcPr>
            <w:tcW w:w="1809" w:type="dxa"/>
            <w:vAlign w:val="center"/>
          </w:tcPr>
          <w:p w14:paraId="0D495460" w14:textId="1343F2F3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3847</w:t>
            </w:r>
          </w:p>
        </w:tc>
        <w:tc>
          <w:tcPr>
            <w:tcW w:w="2610" w:type="dxa"/>
            <w:vAlign w:val="center"/>
          </w:tcPr>
          <w:p w14:paraId="51369E65" w14:textId="30CC020F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UP000008827_3847.fasta</w:t>
            </w:r>
          </w:p>
        </w:tc>
      </w:tr>
      <w:tr w:rsidR="001068D9" w14:paraId="495B16A3" w14:textId="77777777" w:rsidTr="00E83741">
        <w:tc>
          <w:tcPr>
            <w:tcW w:w="1980" w:type="dxa"/>
            <w:vAlign w:val="center"/>
          </w:tcPr>
          <w:p w14:paraId="17A885A3" w14:textId="1D77D29E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i/>
                <w:iCs/>
                <w:sz w:val="22"/>
                <w:szCs w:val="22"/>
              </w:rPr>
              <w:t>Cicer arietinum</w:t>
            </w:r>
          </w:p>
        </w:tc>
        <w:tc>
          <w:tcPr>
            <w:tcW w:w="1721" w:type="dxa"/>
            <w:vAlign w:val="center"/>
          </w:tcPr>
          <w:p w14:paraId="371B7A4F" w14:textId="18D7B0B9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sz w:val="22"/>
                <w:szCs w:val="22"/>
              </w:rPr>
              <w:t>Chickpea</w:t>
            </w:r>
          </w:p>
        </w:tc>
        <w:tc>
          <w:tcPr>
            <w:tcW w:w="1960" w:type="dxa"/>
            <w:vAlign w:val="center"/>
          </w:tcPr>
          <w:p w14:paraId="342FF61A" w14:textId="25A35AF6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UP000087171</w:t>
            </w:r>
          </w:p>
        </w:tc>
        <w:tc>
          <w:tcPr>
            <w:tcW w:w="1809" w:type="dxa"/>
            <w:vAlign w:val="center"/>
          </w:tcPr>
          <w:p w14:paraId="2F010F46" w14:textId="06E55A39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3827</w:t>
            </w:r>
          </w:p>
        </w:tc>
        <w:tc>
          <w:tcPr>
            <w:tcW w:w="2610" w:type="dxa"/>
            <w:vAlign w:val="center"/>
          </w:tcPr>
          <w:p w14:paraId="56B3C360" w14:textId="27C301CB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UP000087171_3827.fasta</w:t>
            </w:r>
          </w:p>
        </w:tc>
      </w:tr>
      <w:tr w:rsidR="001068D9" w14:paraId="27F8EB24" w14:textId="77777777" w:rsidTr="00E83741">
        <w:tc>
          <w:tcPr>
            <w:tcW w:w="1980" w:type="dxa"/>
            <w:vAlign w:val="center"/>
          </w:tcPr>
          <w:p w14:paraId="4680401C" w14:textId="7F288E5A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i/>
                <w:iCs/>
                <w:sz w:val="22"/>
                <w:szCs w:val="22"/>
              </w:rPr>
              <w:t>Lupinus albus</w:t>
            </w:r>
          </w:p>
        </w:tc>
        <w:tc>
          <w:tcPr>
            <w:tcW w:w="1721" w:type="dxa"/>
            <w:vAlign w:val="center"/>
          </w:tcPr>
          <w:p w14:paraId="4128444B" w14:textId="51EA0915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sz w:val="22"/>
                <w:szCs w:val="22"/>
              </w:rPr>
              <w:t>White lupin</w:t>
            </w:r>
          </w:p>
        </w:tc>
        <w:tc>
          <w:tcPr>
            <w:tcW w:w="1960" w:type="dxa"/>
            <w:vAlign w:val="center"/>
          </w:tcPr>
          <w:p w14:paraId="40D0CE15" w14:textId="1A6B442C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UP000447434</w:t>
            </w:r>
          </w:p>
        </w:tc>
        <w:tc>
          <w:tcPr>
            <w:tcW w:w="1809" w:type="dxa"/>
            <w:vAlign w:val="center"/>
          </w:tcPr>
          <w:p w14:paraId="257ED77E" w14:textId="202301C9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3870</w:t>
            </w:r>
          </w:p>
        </w:tc>
        <w:tc>
          <w:tcPr>
            <w:tcW w:w="2610" w:type="dxa"/>
            <w:vAlign w:val="center"/>
          </w:tcPr>
          <w:p w14:paraId="0E1DCAC7" w14:textId="7A083F87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UP000447434_3870.fasta</w:t>
            </w:r>
          </w:p>
        </w:tc>
      </w:tr>
      <w:tr w:rsidR="001068D9" w14:paraId="5770816F" w14:textId="77777777" w:rsidTr="00E83741">
        <w:tc>
          <w:tcPr>
            <w:tcW w:w="1980" w:type="dxa"/>
            <w:vAlign w:val="center"/>
          </w:tcPr>
          <w:p w14:paraId="13619C6C" w14:textId="297A1122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i/>
                <w:iCs/>
                <w:sz w:val="22"/>
                <w:szCs w:val="22"/>
              </w:rPr>
              <w:t>Phaseolus vulgaris</w:t>
            </w:r>
          </w:p>
        </w:tc>
        <w:tc>
          <w:tcPr>
            <w:tcW w:w="1721" w:type="dxa"/>
            <w:vAlign w:val="center"/>
          </w:tcPr>
          <w:p w14:paraId="22BA94A2" w14:textId="4AF01F31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sz w:val="22"/>
                <w:szCs w:val="22"/>
              </w:rPr>
              <w:t>Common bean</w:t>
            </w:r>
          </w:p>
        </w:tc>
        <w:tc>
          <w:tcPr>
            <w:tcW w:w="1960" w:type="dxa"/>
            <w:vAlign w:val="center"/>
          </w:tcPr>
          <w:p w14:paraId="6AE4C392" w14:textId="78E96C78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UP000000226</w:t>
            </w:r>
          </w:p>
        </w:tc>
        <w:tc>
          <w:tcPr>
            <w:tcW w:w="1809" w:type="dxa"/>
            <w:vAlign w:val="center"/>
          </w:tcPr>
          <w:p w14:paraId="652FA522" w14:textId="2DF33759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3885</w:t>
            </w:r>
          </w:p>
        </w:tc>
        <w:tc>
          <w:tcPr>
            <w:tcW w:w="2610" w:type="dxa"/>
            <w:vAlign w:val="center"/>
          </w:tcPr>
          <w:p w14:paraId="6FDEF52C" w14:textId="669F1FA1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UP000000226_3885.fasta</w:t>
            </w:r>
          </w:p>
        </w:tc>
      </w:tr>
    </w:tbl>
    <w:p w14:paraId="6B74A177" w14:textId="77777777" w:rsidR="00EA108A" w:rsidRPr="00D15FF5" w:rsidRDefault="00EA108A" w:rsidP="0075257A">
      <w:pPr>
        <w:spacing w:line="276" w:lineRule="auto"/>
        <w:rPr>
          <w:sz w:val="22"/>
          <w:szCs w:val="22"/>
        </w:rPr>
      </w:pPr>
    </w:p>
    <w:sectPr w:rsidR="00EA108A" w:rsidRPr="00D15FF5" w:rsidSect="00717F90">
      <w:pgSz w:w="12240" w:h="15840"/>
      <w:pgMar w:top="720" w:right="1134" w:bottom="63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ADC38" w14:textId="77777777" w:rsidR="004E6EB2" w:rsidRDefault="004E6EB2" w:rsidP="006C1A84">
      <w:pPr>
        <w:spacing w:after="0" w:line="240" w:lineRule="auto"/>
      </w:pPr>
      <w:r>
        <w:separator/>
      </w:r>
    </w:p>
  </w:endnote>
  <w:endnote w:type="continuationSeparator" w:id="0">
    <w:p w14:paraId="6D2AA98D" w14:textId="77777777" w:rsidR="004E6EB2" w:rsidRDefault="004E6EB2" w:rsidP="006C1A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F186B" w14:textId="77777777" w:rsidR="004E6EB2" w:rsidRDefault="004E6EB2" w:rsidP="006C1A84">
      <w:pPr>
        <w:spacing w:after="0" w:line="240" w:lineRule="auto"/>
      </w:pPr>
      <w:r>
        <w:separator/>
      </w:r>
    </w:p>
  </w:footnote>
  <w:footnote w:type="continuationSeparator" w:id="0">
    <w:p w14:paraId="78156E5E" w14:textId="77777777" w:rsidR="004E6EB2" w:rsidRDefault="004E6EB2" w:rsidP="006C1A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41D6"/>
    <w:rsid w:val="00093848"/>
    <w:rsid w:val="000B3017"/>
    <w:rsid w:val="000D22CE"/>
    <w:rsid w:val="000F10BA"/>
    <w:rsid w:val="001068D9"/>
    <w:rsid w:val="0011312F"/>
    <w:rsid w:val="0011326B"/>
    <w:rsid w:val="001603DD"/>
    <w:rsid w:val="00161E62"/>
    <w:rsid w:val="001B54B1"/>
    <w:rsid w:val="0020293E"/>
    <w:rsid w:val="002C7628"/>
    <w:rsid w:val="003069D8"/>
    <w:rsid w:val="0043004A"/>
    <w:rsid w:val="00450CC8"/>
    <w:rsid w:val="004535DE"/>
    <w:rsid w:val="004E6EB2"/>
    <w:rsid w:val="00522B48"/>
    <w:rsid w:val="005E4E2A"/>
    <w:rsid w:val="00622CF6"/>
    <w:rsid w:val="00650AAB"/>
    <w:rsid w:val="0067049D"/>
    <w:rsid w:val="006C1A84"/>
    <w:rsid w:val="006C36DF"/>
    <w:rsid w:val="006D274C"/>
    <w:rsid w:val="006F296E"/>
    <w:rsid w:val="00717F90"/>
    <w:rsid w:val="00723994"/>
    <w:rsid w:val="0075257A"/>
    <w:rsid w:val="007B6A47"/>
    <w:rsid w:val="007F3D52"/>
    <w:rsid w:val="00810921"/>
    <w:rsid w:val="00846F48"/>
    <w:rsid w:val="00866A97"/>
    <w:rsid w:val="008C19CD"/>
    <w:rsid w:val="00941138"/>
    <w:rsid w:val="009813AA"/>
    <w:rsid w:val="009B37B5"/>
    <w:rsid w:val="009D0A32"/>
    <w:rsid w:val="00A30641"/>
    <w:rsid w:val="00A42677"/>
    <w:rsid w:val="00A55278"/>
    <w:rsid w:val="00A72956"/>
    <w:rsid w:val="00AA2781"/>
    <w:rsid w:val="00B36EEC"/>
    <w:rsid w:val="00B422A7"/>
    <w:rsid w:val="00B43CEF"/>
    <w:rsid w:val="00BB6270"/>
    <w:rsid w:val="00C50E38"/>
    <w:rsid w:val="00C716F2"/>
    <w:rsid w:val="00C74347"/>
    <w:rsid w:val="00C96E28"/>
    <w:rsid w:val="00CC338C"/>
    <w:rsid w:val="00CD6A7C"/>
    <w:rsid w:val="00CF1B71"/>
    <w:rsid w:val="00D15FF5"/>
    <w:rsid w:val="00D34A0A"/>
    <w:rsid w:val="00E141D6"/>
    <w:rsid w:val="00E514E1"/>
    <w:rsid w:val="00E83741"/>
    <w:rsid w:val="00EA108A"/>
    <w:rsid w:val="00F314B8"/>
    <w:rsid w:val="00F43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454AB"/>
  <w15:chartTrackingRefBased/>
  <w15:docId w15:val="{633C7A63-F9F2-41F0-93F3-28EE5475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Theme="minorHAnsi" w:hAnsiTheme="majorBidi" w:cstheme="maj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1D6"/>
    <w:pPr>
      <w:spacing w:line="36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141D6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1D6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1D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1D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1D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1D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1D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1D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1D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1D6"/>
    <w:rPr>
      <w:rFonts w:asciiTheme="majorHAnsi" w:eastAsiaTheme="majorEastAsia" w:hAnsiTheme="majorHAns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1D6"/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1D6"/>
    <w:rPr>
      <w:rFonts w:asciiTheme="minorHAnsi" w:eastAsiaTheme="majorEastAsia" w:hAnsiTheme="minorHAns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1D6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1D6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1D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1D6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1D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1D6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5DE"/>
    <w:pPr>
      <w:jc w:val="center"/>
    </w:pPr>
    <w:rPr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4535DE"/>
    <w:rPr>
      <w:b/>
      <w:bCs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1D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1D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1D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76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62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C1A8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6C1A8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C1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1A84"/>
  </w:style>
  <w:style w:type="paragraph" w:styleId="Footer">
    <w:name w:val="footer"/>
    <w:basedOn w:val="Normal"/>
    <w:link w:val="FooterChar"/>
    <w:uiPriority w:val="99"/>
    <w:unhideWhenUsed/>
    <w:rsid w:val="006C1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A84"/>
  </w:style>
  <w:style w:type="table" w:styleId="TableGrid">
    <w:name w:val="Table Grid"/>
    <w:basedOn w:val="TableNormal"/>
    <w:uiPriority w:val="39"/>
    <w:rsid w:val="001068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539</Words>
  <Characters>3075</Characters>
  <Application>Microsoft Office Word</Application>
  <DocSecurity>0</DocSecurity>
  <Lines>25</Lines>
  <Paragraphs>7</Paragraphs>
  <ScaleCrop>false</ScaleCrop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</dc:creator>
  <cp:keywords/>
  <dc:description/>
  <cp:lastModifiedBy>Note</cp:lastModifiedBy>
  <cp:revision>36</cp:revision>
  <dcterms:created xsi:type="dcterms:W3CDTF">2026-02-08T23:10:00Z</dcterms:created>
  <dcterms:modified xsi:type="dcterms:W3CDTF">2026-07-25T19:59:00Z</dcterms:modified>
</cp:coreProperties>
</file>