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120"/>
              <w:jc w:val="center"/>
            </w:pPr>
            <w:r>
              <w:rPr>
                <w:rFonts w:ascii="Arial" w:cs="Arial" w:eastAsia="Arial" w:hAnsi="Arial"/>
                <w:b/>
                <w:bCs/>
                <w:color w:val="FFFFFF"/>
                <w:sz w:val="48"/>
                <w:szCs w:val="48"/>
              </w:rPr>
              <w:t xml:space="preserve">PLAN DE PERFORMANCE</w:t>
            </w:r>
          </w:p>
          <w:p>
            <w:pPr>
              <w:spacing w:after="240"/>
              <w:jc w:val="center"/>
            </w:pPr>
            <w:r>
              <w:rPr>
                <w:rFonts w:ascii="Arial" w:cs="Arial" w:eastAsia="Arial" w:hAnsi="Arial"/>
                <w:b/>
                <w:bCs/>
                <w:color w:val="E36C09"/>
                <w:sz w:val="48"/>
                <w:szCs w:val="48"/>
              </w:rPr>
              <w:t xml:space="preserve">COMMERCIALE</w:t>
            </w:r>
          </w:p>
          <w:p>
            <w:pPr>
              <w:jc w:val="center"/>
            </w:pPr>
            <w:r>
              <w:rPr>
                <w:rFonts w:ascii="Arial" w:cs="Arial" w:eastAsia="Arial" w:hAnsi="Arial"/>
                <w:color w:val="AECDE8"/>
                <w:sz w:val="22"/>
                <w:szCs w:val="22"/>
              </w:rPr>
              <w:t xml:space="preserve">Suivi • Organisation • Motivation • Croissance</w:t>
            </w:r>
          </w:p>
        </w:tc>
      </w:tr>
    </w:tbl>
    <w:p>
      <w:pPr>
        <w:spacing w:after="400" w:before="400"/>
      </w:pPr>
      <w:r>
        <w:t xml:space="preserve"/>
      </w:r>
    </w:p>
    <w:p>
      <w:pPr>
        <w:spacing w:after="160" w:before="0"/>
      </w:pPr>
      <w:r>
        <w:rPr>
          <w:rFonts w:ascii="Arial" w:cs="Arial" w:eastAsia="Arial" w:hAnsi="Arial"/>
          <w:b w:val="false"/>
          <w:bCs w:val="false"/>
          <w:color w:val="444444"/>
          <w:sz w:val="22"/>
          <w:szCs w:val="22"/>
        </w:rPr>
        <w:t xml:space="preserve">Ce document organise et structure les initiatives commerciales identifiées pour améliorer les performances de l’équipe terrain, fidéliser les clients et augmenter les revenus individuels des commerciaux.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20"/>
              <w:right w:type="dxa" w:w="240"/>
            </w:tcMar>
          </w:tcPr>
          <w:p>
            <w:r>
              <w:rPr>
                <w:rFonts w:ascii="Arial" w:cs="Arial" w:eastAsia="Arial" w:hAnsi="Arial"/>
                <w:b/>
                <w:bCs/>
                <w:color w:val="FFFFFF"/>
                <w:sz w:val="34"/>
                <w:szCs w:val="34"/>
              </w:rPr>
              <w:t xml:space="preserve">1️⃣  SUIVI &amp; CONTRÔLE DES COMMERCIAUX</w:t>
            </w:r>
          </w:p>
          <w:p>
            <w:r>
              <w:rPr>
                <w:rFonts w:ascii="Arial" w:cs="Arial" w:eastAsia="Arial" w:hAnsi="Arial"/>
                <w:color w:val="AECDE8"/>
                <w:sz w:val="20"/>
                <w:szCs w:val="20"/>
              </w:rPr>
              <w:t xml:space="preserve">Gagner en visibilité sur l’effort terrain quotidien</w:t>
            </w:r>
          </w:p>
        </w:tc>
      </w:tr>
    </w:tbl>
    <w:p>
      <w:pPr>
        <w:spacing w:after="0" w:before="0"/>
      </w:pPr>
      <w:r>
        <w:t xml:space="preserve"/>
      </w:r>
    </w:p>
    <w:p>
      <w:pPr>
        <w:spacing w:after="160" w:before="0"/>
      </w:pPr>
      <w:r>
        <w:rPr>
          <w:rFonts w:ascii="Arial" w:cs="Arial" w:eastAsia="Arial" w:hAnsi="Arial"/>
          <w:b w:val="false"/>
          <w:bCs w:val="false"/>
          <w:color w:val="000000"/>
          <w:sz w:val="22"/>
          <w:szCs w:val="22"/>
        </w:rPr>
        <w:t xml:space="preserve">Actuellement, les commerciaux sortent chaque matin prospecter les quincailleries et rentrent le soir. Aucun système ne permet de suivre et de contrôler leur activité en temps réel. Cette section définit les outils et indicateurs nécessaires.</w:t>
      </w:r>
    </w:p>
    <w:p>
      <w:pPr>
        <w:pStyle w:val="Heading2"/>
        <w:pBdr>
          <w:bottom w:val="single" w:color="2E75B6" w:sz="6" w:space="1"/>
        </w:pBdr>
        <w:spacing w:after="120" w:before="280"/>
      </w:pPr>
      <w:r>
        <w:rPr>
          <w:rFonts w:ascii="Arial" w:cs="Arial" w:eastAsia="Arial" w:hAnsi="Arial"/>
          <w:b/>
          <w:bCs/>
          <w:color w:val="2E75B6"/>
          <w:sz w:val="26"/>
          <w:szCs w:val="26"/>
        </w:rPr>
        <w:t xml:space="preserve">Problème actuel</w:t>
      </w:r>
    </w:p>
    <w:p>
      <w:pPr>
        <w:pStyle w:val="ListParagraph"/>
        <w:numPr>
          <w:ilvl w:val="0"/>
          <w:numId w:val="2"/>
        </w:numPr>
        <w:spacing w:after="60" w:before="60"/>
      </w:pPr>
      <w:r>
        <w:rPr>
          <w:rFonts w:ascii="Arial" w:cs="Arial" w:eastAsia="Arial" w:hAnsi="Arial"/>
          <w:b w:val="false"/>
          <w:bCs w:val="false"/>
          <w:color w:val="000000"/>
          <w:sz w:val="22"/>
          <w:szCs w:val="22"/>
        </w:rPr>
        <w:t xml:space="preserve">Absence de système de suivi des visites et des efforts réalisés</w:t>
      </w:r>
    </w:p>
    <w:p>
      <w:pPr>
        <w:pStyle w:val="ListParagraph"/>
        <w:numPr>
          <w:ilvl w:val="0"/>
          <w:numId w:val="2"/>
        </w:numPr>
        <w:spacing w:after="60" w:before="60"/>
      </w:pPr>
      <w:r>
        <w:rPr>
          <w:rFonts w:ascii="Arial" w:cs="Arial" w:eastAsia="Arial" w:hAnsi="Arial"/>
          <w:b w:val="false"/>
          <w:bCs w:val="false"/>
          <w:color w:val="000000"/>
          <w:sz w:val="22"/>
          <w:szCs w:val="22"/>
        </w:rPr>
        <w:t xml:space="preserve">Difficulté pour les managers d’évaluer objectivement les performances</w:t>
      </w:r>
    </w:p>
    <w:p>
      <w:pPr>
        <w:pStyle w:val="ListParagraph"/>
        <w:numPr>
          <w:ilvl w:val="0"/>
          <w:numId w:val="2"/>
        </w:numPr>
        <w:spacing w:after="60" w:before="60"/>
      </w:pPr>
      <w:r>
        <w:rPr>
          <w:rFonts w:ascii="Arial" w:cs="Arial" w:eastAsia="Arial" w:hAnsi="Arial"/>
          <w:b w:val="false"/>
          <w:bCs w:val="false"/>
          <w:color w:val="000000"/>
          <w:sz w:val="22"/>
          <w:szCs w:val="22"/>
        </w:rPr>
        <w:t xml:space="preserve">Pas de corrélation visible entre l’effort fourni et les résultats obtenus</w:t>
      </w:r>
    </w:p>
    <w:p>
      <w:pPr>
        <w:spacing w:after="0" w:before="0"/>
      </w:pPr>
      <w: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Solutions proposées</w:t>
      </w:r>
    </w:p>
    <w:p>
      <w:pPr>
        <w:pStyle w:val="ListParagraph"/>
        <w:numPr>
          <w:ilvl w:val="0"/>
          <w:numId w:val="2"/>
        </w:numPr>
        <w:spacing w:after="60" w:before="60"/>
      </w:pPr>
      <w:r>
        <w:rPr>
          <w:rFonts w:ascii="Arial" w:cs="Arial" w:eastAsia="Arial" w:hAnsi="Arial"/>
          <w:b w:val="false"/>
          <w:bCs w:val="false"/>
          <w:color w:val="000000"/>
          <w:sz w:val="22"/>
          <w:szCs w:val="22"/>
        </w:rPr>
        <w:t xml:space="preserve">Mettre en place un rapport journalier simple (papier ou app) : nombre de visites, nom du client, résultat (commande / relance / refus)</w:t>
      </w:r>
    </w:p>
    <w:p>
      <w:pPr>
        <w:pStyle w:val="ListParagraph"/>
        <w:numPr>
          <w:ilvl w:val="0"/>
          <w:numId w:val="2"/>
        </w:numPr>
        <w:spacing w:after="60" w:before="60"/>
      </w:pPr>
      <w:r>
        <w:rPr>
          <w:rFonts w:ascii="Arial" w:cs="Arial" w:eastAsia="Arial" w:hAnsi="Arial"/>
          <w:b w:val="false"/>
          <w:bCs w:val="false"/>
          <w:color w:val="000000"/>
          <w:sz w:val="22"/>
          <w:szCs w:val="22"/>
        </w:rPr>
        <w:t xml:space="preserve">Créer un tableau de bord hebdomadaire par commercial visible du manager</w:t>
      </w:r>
    </w:p>
    <w:p>
      <w:pPr>
        <w:pStyle w:val="ListParagraph"/>
        <w:numPr>
          <w:ilvl w:val="0"/>
          <w:numId w:val="2"/>
        </w:numPr>
        <w:spacing w:after="60" w:before="60"/>
      </w:pPr>
      <w:r>
        <w:rPr>
          <w:rFonts w:ascii="Arial" w:cs="Arial" w:eastAsia="Arial" w:hAnsi="Arial"/>
          <w:b w:val="false"/>
          <w:bCs w:val="false"/>
          <w:color w:val="000000"/>
          <w:sz w:val="22"/>
          <w:szCs w:val="22"/>
        </w:rPr>
        <w:t xml:space="preserve">Utiliser un système de géolocalisation ou check-in client pour valider les visites</w:t>
      </w:r>
    </w:p>
    <w:p>
      <w:pPr>
        <w:pStyle w:val="ListParagraph"/>
        <w:numPr>
          <w:ilvl w:val="0"/>
          <w:numId w:val="2"/>
        </w:numPr>
        <w:spacing w:after="60" w:before="60"/>
      </w:pPr>
      <w:r>
        <w:rPr>
          <w:rFonts w:ascii="Arial" w:cs="Arial" w:eastAsia="Arial" w:hAnsi="Arial"/>
          <w:b w:val="false"/>
          <w:bCs w:val="false"/>
          <w:color w:val="000000"/>
          <w:sz w:val="22"/>
          <w:szCs w:val="22"/>
        </w:rPr>
        <w:t xml:space="preserve">Instaurer un bref briefing matinal (10 min) et un débriefing soirée pour identifier les blocages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4"/>
              <w:left w:val="single" w:color="2E75B6" w:sz="4"/>
              <w:bottom w:val="single" w:color="2E75B6" w:sz="4"/>
              <w:right w:val="single" w:color="2E75B6" w:sz="4"/>
            </w:tcBorders>
            <w:shd w:fill="D5E8F6" w:val="clear"/>
            <w:tcMar>
              <w:top w:type="dxa" w:w="120"/>
              <w:left w:type="dxa" w:w="160"/>
              <w:bottom w:type="dxa" w:w="120"/>
              <w:right w:type="dxa" w:w="160"/>
            </w:tcMar>
            <w:vAlign w:val="center"/>
          </w:tcPr>
          <w:p>
            <w:pPr>
              <w:jc w:val="center"/>
            </w:pPr>
            <w:r>
              <w:rPr>
                <w:rFonts w:ascii="Arial" w:cs="Arial" w:eastAsia="Arial" w:hAnsi="Arial"/>
                <w:b/>
                <w:bCs/>
                <w:color w:val="1B3A6B"/>
                <w:sz w:val="28"/>
                <w:szCs w:val="28"/>
              </w:rPr>
              <w:t xml:space="preserve">Visites/j</w:t>
            </w:r>
          </w:p>
          <w:p>
            <w:pPr>
              <w:jc w:val="center"/>
            </w:pPr>
            <w:r>
              <w:rPr>
                <w:rFonts w:ascii="Arial" w:cs="Arial" w:eastAsia="Arial" w:hAnsi="Arial"/>
                <w:b/>
                <w:bCs/>
                <w:color w:val="2E75B6"/>
                <w:sz w:val="18"/>
                <w:szCs w:val="18"/>
              </w:rPr>
              <w:t xml:space="preserve">Objectif</w:t>
            </w:r>
          </w:p>
          <w:p>
            <w:pPr>
              <w:jc w:val="center"/>
            </w:pPr>
            <w:r>
              <w:rPr>
                <w:rFonts w:ascii="Arial" w:cs="Arial" w:eastAsia="Arial" w:hAnsi="Arial"/>
                <w:color w:val="333333"/>
                <w:sz w:val="20"/>
                <w:szCs w:val="20"/>
              </w:rPr>
              <w:t xml:space="preserve">≥ 8 quincailleries/jour</w:t>
            </w:r>
          </w:p>
        </w:tc>
        <w:tc>
          <w:tcPr>
            <w:tcW w:type="dxa" w:w="3120"/>
            <w:tcBorders>
              <w:top w:val="single" w:color="2E75B6" w:sz="4"/>
              <w:left w:val="single" w:color="2E75B6" w:sz="4"/>
              <w:bottom w:val="single" w:color="2E75B6" w:sz="4"/>
              <w:right w:val="single" w:color="2E75B6" w:sz="4"/>
            </w:tcBorders>
            <w:shd w:fill="D5E8F6" w:val="clear"/>
            <w:tcMar>
              <w:top w:type="dxa" w:w="120"/>
              <w:left w:type="dxa" w:w="160"/>
              <w:bottom w:type="dxa" w:w="120"/>
              <w:right w:type="dxa" w:w="160"/>
            </w:tcMar>
            <w:vAlign w:val="center"/>
          </w:tcPr>
          <w:p>
            <w:pPr>
              <w:jc w:val="center"/>
            </w:pPr>
            <w:r>
              <w:rPr>
                <w:rFonts w:ascii="Arial" w:cs="Arial" w:eastAsia="Arial" w:hAnsi="Arial"/>
                <w:b/>
                <w:bCs/>
                <w:color w:val="1B3A6B"/>
                <w:sz w:val="28"/>
                <w:szCs w:val="28"/>
              </w:rPr>
              <w:t xml:space="preserve">Rapport</w:t>
            </w:r>
          </w:p>
          <w:p>
            <w:pPr>
              <w:jc w:val="center"/>
            </w:pPr>
            <w:r>
              <w:rPr>
                <w:rFonts w:ascii="Arial" w:cs="Arial" w:eastAsia="Arial" w:hAnsi="Arial"/>
                <w:b/>
                <w:bCs/>
                <w:color w:val="2E75B6"/>
                <w:sz w:val="18"/>
                <w:szCs w:val="18"/>
              </w:rPr>
              <w:t xml:space="preserve">Fréquence</w:t>
            </w:r>
          </w:p>
          <w:p>
            <w:pPr>
              <w:jc w:val="center"/>
            </w:pPr>
            <w:r>
              <w:rPr>
                <w:rFonts w:ascii="Arial" w:cs="Arial" w:eastAsia="Arial" w:hAnsi="Arial"/>
                <w:color w:val="333333"/>
                <w:sz w:val="20"/>
                <w:szCs w:val="20"/>
              </w:rPr>
              <w:t xml:space="preserve">Quotidien</w:t>
            </w:r>
          </w:p>
        </w:tc>
        <w:tc>
          <w:tcPr>
            <w:tcW w:type="dxa" w:w="3120"/>
            <w:tcBorders>
              <w:top w:val="single" w:color="2E75B6" w:sz="4"/>
              <w:left w:val="single" w:color="2E75B6" w:sz="4"/>
              <w:bottom w:val="single" w:color="2E75B6" w:sz="4"/>
              <w:right w:val="single" w:color="2E75B6" w:sz="4"/>
            </w:tcBorders>
            <w:shd w:fill="D5E8F6" w:val="clear"/>
            <w:tcMar>
              <w:top w:type="dxa" w:w="120"/>
              <w:left w:type="dxa" w:w="160"/>
              <w:bottom w:type="dxa" w:w="120"/>
              <w:right w:type="dxa" w:w="160"/>
            </w:tcMar>
            <w:vAlign w:val="center"/>
          </w:tcPr>
          <w:p>
            <w:pPr>
              <w:jc w:val="center"/>
            </w:pPr>
            <w:r>
              <w:rPr>
                <w:rFonts w:ascii="Arial" w:cs="Arial" w:eastAsia="Arial" w:hAnsi="Arial"/>
                <w:b/>
                <w:bCs/>
                <w:color w:val="1B3A6B"/>
                <w:sz w:val="28"/>
                <w:szCs w:val="28"/>
              </w:rPr>
              <w:t xml:space="preserve">Réunion</w:t>
            </w:r>
          </w:p>
          <w:p>
            <w:pPr>
              <w:jc w:val="center"/>
            </w:pPr>
            <w:r>
              <w:rPr>
                <w:rFonts w:ascii="Arial" w:cs="Arial" w:eastAsia="Arial" w:hAnsi="Arial"/>
                <w:b/>
                <w:bCs/>
                <w:color w:val="2E75B6"/>
                <w:sz w:val="18"/>
                <w:szCs w:val="18"/>
              </w:rPr>
              <w:t xml:space="preserve">Synthèse</w:t>
            </w:r>
          </w:p>
          <w:p>
            <w:pPr>
              <w:jc w:val="center"/>
            </w:pPr>
            <w:r>
              <w:rPr>
                <w:rFonts w:ascii="Arial" w:cs="Arial" w:eastAsia="Arial" w:hAnsi="Arial"/>
                <w:color w:val="333333"/>
                <w:sz w:val="20"/>
                <w:szCs w:val="20"/>
              </w:rPr>
              <w:t xml:space="preserve">Vendredi matin</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20"/>
              <w:right w:type="dxa" w:w="240"/>
            </w:tcMar>
          </w:tcPr>
          <w:p>
            <w:r>
              <w:rPr>
                <w:rFonts w:ascii="Arial" w:cs="Arial" w:eastAsia="Arial" w:hAnsi="Arial"/>
                <w:b/>
                <w:bCs/>
                <w:color w:val="FFFFFF"/>
                <w:sz w:val="34"/>
                <w:szCs w:val="34"/>
              </w:rPr>
              <w:t xml:space="preserve">2️⃣  ORGANISATION HEBDOMADAIRE DES ACTIVITÉS</w:t>
            </w:r>
          </w:p>
          <w:p>
            <w:r>
              <w:rPr>
                <w:rFonts w:ascii="Arial" w:cs="Arial" w:eastAsia="Arial" w:hAnsi="Arial"/>
                <w:color w:val="AECDE8"/>
                <w:sz w:val="20"/>
                <w:szCs w:val="20"/>
              </w:rPr>
              <w:t xml:space="preserve">Structurer la semaine pour maximiser l’impact</w:t>
            </w:r>
          </w:p>
        </w:tc>
      </w:tr>
    </w:tbl>
    <w:p>
      <w:pPr>
        <w:spacing w:after="0" w:before="0"/>
      </w:pPr>
      <w:r>
        <w:t xml:space="preserve"/>
      </w:r>
    </w:p>
    <w:p>
      <w:pPr>
        <w:spacing w:after="160" w:before="0"/>
      </w:pPr>
      <w:r>
        <w:rPr>
          <w:rFonts w:ascii="Arial" w:cs="Arial" w:eastAsia="Arial" w:hAnsi="Arial"/>
          <w:b w:val="false"/>
          <w:bCs w:val="false"/>
          <w:color w:val="000000"/>
          <w:sz w:val="22"/>
          <w:szCs w:val="22"/>
        </w:rPr>
        <w:t xml:space="preserve">Chaque jour de la semaine est dédié à un type d’action commerciale spécifique. Cette organisation permet de couvrir tous les leviers de croissance sans dispersion.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Jour</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Thème</w:t>
            </w:r>
          </w:p>
        </w:tc>
        <w:tc>
          <w:tcPr>
            <w:tcW w:type="dxa" w:w="5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Objectif &amp; Actions</w:t>
            </w:r>
          </w:p>
        </w:tc>
      </w:tr>
      <w:tr>
        <w:tc>
          <w:tcPr>
            <w:tcW w:type="dxa" w:w="18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vAlign w:val="center"/>
          </w:tcPr>
          <w:p>
            <w:r>
              <w:rPr>
                <w:rFonts w:ascii="Arial" w:cs="Arial" w:eastAsia="Arial" w:hAnsi="Arial"/>
                <w:b/>
                <w:bCs/>
                <w:color w:val="1B3A6B"/>
                <w:sz w:val="22"/>
                <w:szCs w:val="22"/>
              </w:rPr>
              <w:t xml:space="preserve">Lundi</w:t>
            </w:r>
          </w:p>
        </w:tc>
        <w:tc>
          <w:tcPr>
            <w:tcW w:type="dxa" w:w="24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vAlign w:val="center"/>
          </w:tcPr>
          <w:p>
            <w:r>
              <w:rPr>
                <w:rFonts w:ascii="Arial" w:cs="Arial" w:eastAsia="Arial" w:hAnsi="Arial"/>
                <w:b/>
                <w:bCs/>
                <w:color w:val="E36C09"/>
                <w:sz w:val="22"/>
                <w:szCs w:val="22"/>
              </w:rPr>
              <w:t xml:space="preserve">Grossissement</w:t>
            </w:r>
          </w:p>
        </w:tc>
        <w:tc>
          <w:tcPr>
            <w:tcW w:type="dxa" w:w="516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color w:val="333333"/>
                <w:sz w:val="22"/>
                <w:szCs w:val="22"/>
              </w:rPr>
              <w:t xml:space="preserve">Augmenter le panier moyen des clients existants — upsell, nouvelles références, volumes plus importants</w:t>
            </w:r>
          </w:p>
        </w:tc>
      </w:tr>
      <w:tr>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r>
              <w:rPr>
                <w:rFonts w:ascii="Arial" w:cs="Arial" w:eastAsia="Arial" w:hAnsi="Arial"/>
                <w:b/>
                <w:bCs/>
                <w:color w:val="1B3A6B"/>
                <w:sz w:val="22"/>
                <w:szCs w:val="22"/>
              </w:rPr>
              <w:t xml:space="preserve">Mardi</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r>
              <w:rPr>
                <w:rFonts w:ascii="Arial" w:cs="Arial" w:eastAsia="Arial" w:hAnsi="Arial"/>
                <w:b/>
                <w:bCs/>
                <w:color w:val="E36C09"/>
                <w:sz w:val="22"/>
                <w:szCs w:val="22"/>
              </w:rPr>
              <w:t xml:space="preserve">Conquête</w:t>
            </w:r>
          </w:p>
        </w:tc>
        <w:tc>
          <w:tcPr>
            <w:tcW w:type="dxa" w:w="5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333333"/>
                <w:sz w:val="22"/>
                <w:szCs w:val="22"/>
              </w:rPr>
              <w:t xml:space="preserve">Prospecter de nouveaux clients (quincailleries non encore servies) — missions de découverte et 1er contact</w:t>
            </w:r>
          </w:p>
        </w:tc>
      </w:tr>
      <w:tr>
        <w:tc>
          <w:tcPr>
            <w:tcW w:type="dxa" w:w="18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vAlign w:val="center"/>
          </w:tcPr>
          <w:p>
            <w:r>
              <w:rPr>
                <w:rFonts w:ascii="Arial" w:cs="Arial" w:eastAsia="Arial" w:hAnsi="Arial"/>
                <w:b/>
                <w:bCs/>
                <w:color w:val="1B3A6B"/>
                <w:sz w:val="22"/>
                <w:szCs w:val="22"/>
              </w:rPr>
              <w:t xml:space="preserve">Mercredi</w:t>
            </w:r>
          </w:p>
        </w:tc>
        <w:tc>
          <w:tcPr>
            <w:tcW w:type="dxa" w:w="24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vAlign w:val="center"/>
          </w:tcPr>
          <w:p>
            <w:r>
              <w:rPr>
                <w:rFonts w:ascii="Arial" w:cs="Arial" w:eastAsia="Arial" w:hAnsi="Arial"/>
                <w:b/>
                <w:bCs/>
                <w:color w:val="E36C09"/>
                <w:sz w:val="22"/>
                <w:szCs w:val="22"/>
              </w:rPr>
              <w:t xml:space="preserve">Relance Anciens Clients</w:t>
            </w:r>
          </w:p>
        </w:tc>
        <w:tc>
          <w:tcPr>
            <w:tcW w:type="dxa" w:w="516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color w:val="333333"/>
                <w:sz w:val="22"/>
                <w:szCs w:val="22"/>
              </w:rPr>
              <w:t xml:space="preserve">Recontacter les clients inactifs, comprendre les freins et leur proposer une offre de retour attractive</w:t>
            </w:r>
          </w:p>
        </w:tc>
      </w:tr>
      <w:tr>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r>
              <w:rPr>
                <w:rFonts w:ascii="Arial" w:cs="Arial" w:eastAsia="Arial" w:hAnsi="Arial"/>
                <w:b/>
                <w:bCs/>
                <w:color w:val="1B3A6B"/>
                <w:sz w:val="22"/>
                <w:szCs w:val="22"/>
              </w:rPr>
              <w:t xml:space="preserve">Jeudi</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r>
              <w:rPr>
                <w:rFonts w:ascii="Arial" w:cs="Arial" w:eastAsia="Arial" w:hAnsi="Arial"/>
                <w:b/>
                <w:bCs/>
                <w:color w:val="E36C09"/>
                <w:sz w:val="22"/>
                <w:szCs w:val="22"/>
              </w:rPr>
              <w:t xml:space="preserve">Fidélisation</w:t>
            </w:r>
          </w:p>
        </w:tc>
        <w:tc>
          <w:tcPr>
            <w:tcW w:type="dxa" w:w="5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333333"/>
                <w:sz w:val="22"/>
                <w:szCs w:val="22"/>
              </w:rPr>
              <w:t xml:space="preserve">Visiter les clients réguliers pour renforcer la relation, collecter du feedback, présenter les nouveautés</w:t>
            </w:r>
          </w:p>
        </w:tc>
      </w:tr>
      <w:tr>
        <w:tc>
          <w:tcPr>
            <w:tcW w:type="dxa" w:w="18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vAlign w:val="center"/>
          </w:tcPr>
          <w:p>
            <w:r>
              <w:rPr>
                <w:rFonts w:ascii="Arial" w:cs="Arial" w:eastAsia="Arial" w:hAnsi="Arial"/>
                <w:b/>
                <w:bCs/>
                <w:color w:val="1B3A6B"/>
                <w:sz w:val="22"/>
                <w:szCs w:val="22"/>
              </w:rPr>
              <w:t xml:space="preserve">Vendredi</w:t>
            </w:r>
          </w:p>
        </w:tc>
        <w:tc>
          <w:tcPr>
            <w:tcW w:type="dxa" w:w="24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vAlign w:val="center"/>
          </w:tcPr>
          <w:p>
            <w:r>
              <w:rPr>
                <w:rFonts w:ascii="Arial" w:cs="Arial" w:eastAsia="Arial" w:hAnsi="Arial"/>
                <w:b/>
                <w:bCs/>
                <w:color w:val="E36C09"/>
                <w:sz w:val="22"/>
                <w:szCs w:val="22"/>
              </w:rPr>
              <w:t xml:space="preserve">Bilan &amp; Préparation</w:t>
            </w:r>
          </w:p>
        </w:tc>
        <w:tc>
          <w:tcPr>
            <w:tcW w:type="dxa" w:w="516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color w:val="333333"/>
                <w:sz w:val="22"/>
                <w:szCs w:val="22"/>
              </w:rPr>
              <w:t xml:space="preserve">Compiler les résultats de la semaine, identifier les opportunités ouvertes, planifier la semaine suivante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4"/>
              <w:left w:val="single" w:color="E36C09" w:sz="4"/>
              <w:bottom w:val="single" w:color="E36C09" w:sz="4"/>
              <w:right w:val="single" w:color="E36C09" w:sz="4"/>
            </w:tcBorders>
            <w:shd w:fill="FCE4D6" w:val="clear"/>
            <w:tcMar>
              <w:top w:type="dxa" w:w="120"/>
              <w:left w:type="dxa" w:w="200"/>
              <w:bottom w:type="dxa" w:w="120"/>
              <w:right w:type="dxa" w:w="200"/>
            </w:tcMar>
          </w:tcPr>
          <w:p>
            <w:r>
              <w:rPr>
                <w:rFonts w:ascii="Arial" w:cs="Arial" w:eastAsia="Arial" w:hAnsi="Arial"/>
                <w:b/>
                <w:bCs/>
                <w:color w:val="000000"/>
                <w:sz w:val="22"/>
                <w:szCs w:val="22"/>
              </w:rPr>
              <w:t xml:space="preserve">💡 Action clé hebdomadaire</w:t>
            </w:r>
          </w:p>
          <w:p>
            <w:r>
              <w:rPr>
                <w:rFonts w:ascii="Arial" w:cs="Arial" w:eastAsia="Arial" w:hAnsi="Arial"/>
                <w:b w:val="false"/>
                <w:bCs w:val="false"/>
                <w:color w:val="000000"/>
                <w:sz w:val="22"/>
                <w:szCs w:val="22"/>
              </w:rPr>
              <w:t xml:space="preserve">Chaque semaine, assurer au minimum une livraison gratuite à un client potentiel identifié — même s’il n’a pas atteint le seuil minimum de commande. C’est un investissement résultat sur l’acquisition.</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20"/>
              <w:right w:type="dxa" w:w="240"/>
            </w:tcMar>
          </w:tcPr>
          <w:p>
            <w:r>
              <w:rPr>
                <w:rFonts w:ascii="Arial" w:cs="Arial" w:eastAsia="Arial" w:hAnsi="Arial"/>
                <w:b/>
                <w:bCs/>
                <w:color w:val="FFFFFF"/>
                <w:sz w:val="34"/>
                <w:szCs w:val="34"/>
              </w:rPr>
              <w:t xml:space="preserve">3️⃣  MOTIVATION &amp; RÉMUNÉRATION DES COMMERCIAUX</w:t>
            </w:r>
          </w:p>
          <w:p>
            <w:r>
              <w:rPr>
                <w:rFonts w:ascii="Arial" w:cs="Arial" w:eastAsia="Arial" w:hAnsi="Arial"/>
                <w:color w:val="AECDE8"/>
                <w:sz w:val="20"/>
                <w:szCs w:val="20"/>
              </w:rPr>
              <w:t xml:space="preserve">Faire gagner plus ceux qui travaillent plus</w:t>
            </w:r>
          </w:p>
        </w:tc>
      </w:tr>
    </w:tbl>
    <w:p>
      <w:pPr>
        <w:spacing w:after="0" w:before="0"/>
      </w:pPr>
      <w: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Changer de logique : du Métrage aux Commissions</w:t>
      </w:r>
    </w:p>
    <w:p>
      <w:pPr>
        <w:spacing w:after="80" w:before="0"/>
      </w:pPr>
      <w:r>
        <w:rPr>
          <w:rFonts w:ascii="Arial" w:cs="Arial" w:eastAsia="Arial" w:hAnsi="Arial"/>
          <w:b w:val="false"/>
          <w:bCs w:val="false"/>
          <w:color w:val="000000"/>
          <w:sz w:val="22"/>
          <w:szCs w:val="22"/>
        </w:rPr>
        <w:t xml:space="preserve">Plutôt que de se focaliser sur « comment atteindre nos objectifs de métrage », la question centrale doit devenir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4"/>
              <w:left w:val="single" w:color="E36C09" w:sz="4"/>
              <w:bottom w:val="single" w:color="E36C09" w:sz="4"/>
              <w:right w:val="single" w:color="E36C09" w:sz="4"/>
            </w:tcBorders>
            <w:shd w:fill="D5E8F6" w:val="clear"/>
            <w:tcMar>
              <w:top w:type="dxa" w:w="120"/>
              <w:left w:type="dxa" w:w="200"/>
              <w:bottom w:type="dxa" w:w="120"/>
              <w:right w:type="dxa" w:w="200"/>
            </w:tcMar>
          </w:tcPr>
          <w:p>
            <w:r>
              <w:rPr>
                <w:rFonts w:ascii="Arial" w:cs="Arial" w:eastAsia="Arial" w:hAnsi="Arial"/>
                <w:b/>
                <w:bCs/>
                <w:color w:val="1B3A6B"/>
                <w:sz w:val="22"/>
                <w:szCs w:val="22"/>
              </w:rPr>
              <w:t xml:space="preserve">“ Comment est-ce que je fais pour gagner PLUS grâce aux commissions qui ont été fixées pour moi ? ”</w:t>
            </w:r>
          </w:p>
        </w:tc>
      </w:tr>
    </w:tbl>
    <w:p>
      <w:pPr>
        <w:spacing w:after="0" w:before="0"/>
      </w:pPr>
      <w:r>
        <w:t xml:space="preserve"/>
      </w:r>
    </w:p>
    <w:p>
      <w:pPr>
        <w:spacing w:after="160" w:before="80"/>
      </w:pPr>
      <w:r>
        <w:rPr>
          <w:rFonts w:ascii="Arial" w:cs="Arial" w:eastAsia="Arial" w:hAnsi="Arial"/>
          <w:b w:val="false"/>
          <w:bCs w:val="false"/>
          <w:color w:val="000000"/>
          <w:sz w:val="22"/>
          <w:szCs w:val="22"/>
        </w:rPr>
        <w:t xml:space="preserve">Ce changement de perspective transforme chaque commercial en acteur de sa propre rémunération. Il ne subit plus un objectif — il pilote ses revenus.</w:t>
      </w:r>
    </w:p>
    <w:p>
      <w:pPr>
        <w:pStyle w:val="Heading2"/>
        <w:pBdr>
          <w:bottom w:val="single" w:color="2E75B6" w:sz="6" w:space="1"/>
        </w:pBdr>
        <w:spacing w:after="120" w:before="280"/>
      </w:pPr>
      <w:r>
        <w:rPr>
          <w:rFonts w:ascii="Arial" w:cs="Arial" w:eastAsia="Arial" w:hAnsi="Arial"/>
          <w:b/>
          <w:bCs/>
          <w:color w:val="2E75B6"/>
          <w:sz w:val="26"/>
          <w:szCs w:val="26"/>
        </w:rPr>
        <w:t xml:space="preserve">Transparence des Gains Quotidiens</w:t>
      </w:r>
    </w:p>
    <w:p>
      <w:pPr>
        <w:pStyle w:val="ListParagraph"/>
        <w:numPr>
          <w:ilvl w:val="0"/>
          <w:numId w:val="2"/>
        </w:numPr>
        <w:spacing w:after="60" w:before="60"/>
      </w:pPr>
      <w:r>
        <w:rPr>
          <w:rFonts w:ascii="Arial" w:cs="Arial" w:eastAsia="Arial" w:hAnsi="Arial"/>
          <w:b w:val="false"/>
          <w:bCs w:val="false"/>
          <w:color w:val="000000"/>
          <w:sz w:val="22"/>
          <w:szCs w:val="22"/>
        </w:rPr>
        <w:t xml:space="preserve">Chaque commercial doit connaître, en fin de journée, le montant exact qu’il a généré en commission ce jour-là</w:t>
      </w:r>
    </w:p>
    <w:p>
      <w:pPr>
        <w:pStyle w:val="ListParagraph"/>
        <w:numPr>
          <w:ilvl w:val="0"/>
          <w:numId w:val="2"/>
        </w:numPr>
        <w:spacing w:after="60" w:before="60"/>
      </w:pPr>
      <w:r>
        <w:rPr>
          <w:rFonts w:ascii="Arial" w:cs="Arial" w:eastAsia="Arial" w:hAnsi="Arial"/>
          <w:b w:val="false"/>
          <w:bCs w:val="false"/>
          <w:color w:val="000000"/>
          <w:sz w:val="22"/>
          <w:szCs w:val="22"/>
        </w:rPr>
        <w:t xml:space="preserve">Mettre en place un tableau de bord individuel simple (Google Sheets, SMS automatique ou app) affichant : commissions du jour / cumul semaine / cumul mois</w:t>
      </w:r>
    </w:p>
    <w:p>
      <w:pPr>
        <w:pStyle w:val="ListParagraph"/>
        <w:numPr>
          <w:ilvl w:val="0"/>
          <w:numId w:val="2"/>
        </w:numPr>
        <w:spacing w:after="60" w:before="60"/>
      </w:pPr>
      <w:r>
        <w:rPr>
          <w:rFonts w:ascii="Arial" w:cs="Arial" w:eastAsia="Arial" w:hAnsi="Arial"/>
          <w:b w:val="false"/>
          <w:bCs w:val="false"/>
          <w:color w:val="000000"/>
          <w:sz w:val="22"/>
          <w:szCs w:val="22"/>
        </w:rPr>
        <w:t xml:space="preserve">La visibilité quotidienne est le moteur le plus puissant de la motivation commerciale</w:t>
      </w:r>
    </w:p>
    <w:p>
      <w:pPr>
        <w:spacing w:after="0" w:before="0"/>
      </w:pPr>
      <w: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Conditions de Succès</w:t>
      </w:r>
    </w:p>
    <w:p>
      <w:pPr>
        <w:pStyle w:val="ListParagraph"/>
        <w:numPr>
          <w:ilvl w:val="0"/>
          <w:numId w:val="2"/>
        </w:numPr>
        <w:spacing w:after="60" w:before="60"/>
      </w:pPr>
      <w:r>
        <w:rPr>
          <w:rFonts w:ascii="Arial" w:cs="Arial" w:eastAsia="Arial" w:hAnsi="Arial"/>
          <w:b w:val="false"/>
          <w:bCs w:val="false"/>
          <w:color w:val="000000"/>
          <w:sz w:val="22"/>
          <w:szCs w:val="22"/>
        </w:rPr>
        <w:t xml:space="preserve">Grille de commissions claire et communiquée à tous</w:t>
      </w:r>
    </w:p>
    <w:p>
      <w:pPr>
        <w:pStyle w:val="ListParagraph"/>
        <w:numPr>
          <w:ilvl w:val="0"/>
          <w:numId w:val="2"/>
        </w:numPr>
        <w:spacing w:after="60" w:before="60"/>
      </w:pPr>
      <w:r>
        <w:rPr>
          <w:rFonts w:ascii="Arial" w:cs="Arial" w:eastAsia="Arial" w:hAnsi="Arial"/>
          <w:b w:val="false"/>
          <w:bCs w:val="false"/>
          <w:color w:val="000000"/>
          <w:sz w:val="22"/>
          <w:szCs w:val="22"/>
        </w:rPr>
        <w:t xml:space="preserve">Mise à jour en temps réel ou au plus tard chaque soir</w:t>
      </w:r>
    </w:p>
    <w:p>
      <w:pPr>
        <w:pStyle w:val="ListParagraph"/>
        <w:numPr>
          <w:ilvl w:val="0"/>
          <w:numId w:val="2"/>
        </w:numPr>
        <w:spacing w:after="60" w:before="60"/>
      </w:pPr>
      <w:r>
        <w:rPr>
          <w:rFonts w:ascii="Arial" w:cs="Arial" w:eastAsia="Arial" w:hAnsi="Arial"/>
          <w:b w:val="false"/>
          <w:bCs w:val="false"/>
          <w:color w:val="000000"/>
          <w:sz w:val="22"/>
          <w:szCs w:val="22"/>
        </w:rPr>
        <w:t xml:space="preserve">Récompenses ponctuelles pour les meilleures performances hebdomadaires (bonus, reconnaissance publique, avantage)</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20"/>
              <w:right w:type="dxa" w:w="240"/>
            </w:tcMar>
          </w:tcPr>
          <w:p>
            <w:r>
              <w:rPr>
                <w:rFonts w:ascii="Arial" w:cs="Arial" w:eastAsia="Arial" w:hAnsi="Arial"/>
                <w:b/>
                <w:bCs/>
                <w:color w:val="FFFFFF"/>
                <w:sz w:val="34"/>
                <w:szCs w:val="34"/>
              </w:rPr>
              <w:t xml:space="preserve">4️⃣  AVANTAGES CLIENTS &amp; POLITIQUE DE RISTOURNE</w:t>
            </w:r>
          </w:p>
          <w:p>
            <w:r>
              <w:rPr>
                <w:rFonts w:ascii="Arial" w:cs="Arial" w:eastAsia="Arial" w:hAnsi="Arial"/>
                <w:color w:val="AECDE8"/>
                <w:sz w:val="20"/>
                <w:szCs w:val="20"/>
              </w:rPr>
              <w:t xml:space="preserve">Motiver les clients à vendre plus pour gagner plus</w:t>
            </w:r>
          </w:p>
        </w:tc>
      </w:tr>
    </w:tbl>
    <w:p>
      <w:pPr>
        <w:spacing w:after="0" w:before="0"/>
      </w:pPr>
      <w: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Avantages financiers pour les clients qui travaillent avec 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Avantage</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Détail</w:t>
            </w:r>
          </w:p>
        </w:tc>
      </w:tr>
      <w:tr>
        <w:tc>
          <w:tcPr>
            <w:tcW w:type="dxa" w:w="32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bCs/>
                <w:color w:val="1B3A6B"/>
                <w:sz w:val="22"/>
                <w:szCs w:val="22"/>
              </w:rPr>
              <w:t xml:space="preserve">Ristourne progressive</w:t>
            </w:r>
          </w:p>
        </w:tc>
        <w:tc>
          <w:tcPr>
            <w:tcW w:type="dxa" w:w="616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color w:val="333333"/>
                <w:sz w:val="22"/>
                <w:szCs w:val="22"/>
              </w:rPr>
              <w:t xml:space="preserve">Plus le client commande, plus son taux de remise augmente automatiquement — il est récompensé de sa fidélité</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Livraison gratuite</w:t>
            </w:r>
          </w:p>
        </w:tc>
        <w:tc>
          <w:tcPr>
            <w:tcW w:type="dxa" w:w="6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333333"/>
                <w:sz w:val="22"/>
                <w:szCs w:val="22"/>
              </w:rPr>
              <w:t xml:space="preserve">Dès l’atteinte d’un seuil de commande défini — économie directe sur les frais de transport</w:t>
            </w:r>
          </w:p>
        </w:tc>
      </w:tr>
      <w:tr>
        <w:tc>
          <w:tcPr>
            <w:tcW w:type="dxa" w:w="32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bCs/>
                <w:color w:val="1B3A6B"/>
                <w:sz w:val="22"/>
                <w:szCs w:val="22"/>
              </w:rPr>
              <w:t xml:space="preserve">Délai de paiement</w:t>
            </w:r>
          </w:p>
        </w:tc>
        <w:tc>
          <w:tcPr>
            <w:tcW w:type="dxa" w:w="616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color w:val="333333"/>
                <w:sz w:val="22"/>
                <w:szCs w:val="22"/>
              </w:rPr>
              <w:t xml:space="preserve">Conditions de crédit négociées pour les clients partenaires solides</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Support commercial</w:t>
            </w:r>
          </w:p>
        </w:tc>
        <w:tc>
          <w:tcPr>
            <w:tcW w:type="dxa" w:w="6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333333"/>
                <w:sz w:val="22"/>
                <w:szCs w:val="22"/>
              </w:rPr>
              <w:t xml:space="preserve">Un commercial dédié disponible pour aider le client à vendre nos produits</w:t>
            </w:r>
          </w:p>
        </w:tc>
      </w:tr>
      <w:tr>
        <w:tc>
          <w:tcPr>
            <w:tcW w:type="dxa" w:w="32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b/>
                <w:bCs/>
                <w:color w:val="1B3A6B"/>
                <w:sz w:val="22"/>
                <w:szCs w:val="22"/>
              </w:rPr>
              <w:t xml:space="preserve">Contenus éducatifs</w:t>
            </w:r>
          </w:p>
        </w:tc>
        <w:tc>
          <w:tcPr>
            <w:tcW w:type="dxa" w:w="616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tcPr>
          <w:p>
            <w:r>
              <w:rPr>
                <w:rFonts w:ascii="Arial" w:cs="Arial" w:eastAsia="Arial" w:hAnsi="Arial"/>
                <w:color w:val="333333"/>
                <w:sz w:val="22"/>
                <w:szCs w:val="22"/>
              </w:rPr>
              <w:t xml:space="preserve">Vidéos d’installation de tôles et autres produits envoyées gratuitement pour former leurs équipes et rassurer leurs acheteurs</w:t>
            </w:r>
          </w:p>
        </w:tc>
      </w:tr>
    </w:tbl>
    <w:p>
      <w:pPr>
        <w:spacing w:after="0" w:before="0"/>
      </w:pPr>
      <w: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Reformuler la Ristourne pour Motiver à Vendre</w:t>
      </w:r>
    </w:p>
    <w:p>
      <w:pPr>
        <w:spacing w:after="120" w:before="0"/>
      </w:pPr>
      <w:r>
        <w:rPr>
          <w:rFonts w:ascii="Arial" w:cs="Arial" w:eastAsia="Arial" w:hAnsi="Arial"/>
          <w:b w:val="false"/>
          <w:bCs w:val="false"/>
          <w:color w:val="000000"/>
          <w:sz w:val="22"/>
          <w:szCs w:val="22"/>
        </w:rPr>
        <w:t xml:space="preserve">La ristourne ne doit plus être perçue comme une simple remise passiv — elle doit être positionnée comme une commission gagnée par le client pour avoir activement aidé à vendre nos produits.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4"/>
              <w:left w:val="single" w:color="E36C09" w:sz="4"/>
              <w:bottom w:val="single" w:color="E36C09" w:sz="4"/>
              <w:right w:val="single" w:color="E36C09" w:sz="4"/>
            </w:tcBorders>
            <w:shd w:fill="FCE4D6" w:val="clear"/>
            <w:tcMar>
              <w:top w:type="dxa" w:w="120"/>
              <w:left w:type="dxa" w:w="200"/>
              <w:bottom w:type="dxa" w:w="120"/>
              <w:right w:type="dxa" w:w="200"/>
            </w:tcMar>
          </w:tcPr>
          <w:p>
            <w:r>
              <w:rPr>
                <w:rFonts w:ascii="Arial" w:cs="Arial" w:eastAsia="Arial" w:hAnsi="Arial"/>
                <w:b/>
                <w:bCs/>
                <w:color w:val="000000"/>
                <w:sz w:val="22"/>
                <w:szCs w:val="22"/>
              </w:rPr>
              <w:t xml:space="preserve">Proposition : Programme « Partenaire Actif »</w:t>
            </w:r>
          </w:p>
          <w:p>
            <w:r>
              <w:rPr>
                <w:rFonts w:ascii="Arial" w:cs="Arial" w:eastAsia="Arial" w:hAnsi="Arial"/>
                <w:b w:val="false"/>
                <w:bCs w:val="false"/>
                <w:color w:val="000000"/>
                <w:sz w:val="22"/>
                <w:szCs w:val="22"/>
              </w:rPr>
              <w:t xml:space="preserve">Créer des paliers de ristourne liés à la performance de vente du client :</w:t>
            </w:r>
          </w:p>
          <w:p>
            <w:r>
              <w:rPr>
                <w:rFonts w:ascii="Arial" w:cs="Arial" w:eastAsia="Arial" w:hAnsi="Arial"/>
                <w:b w:val="false"/>
                <w:bCs w:val="false"/>
                <w:color w:val="000000"/>
                <w:sz w:val="22"/>
                <w:szCs w:val="22"/>
              </w:rPr>
              <w:t xml:space="preserve">  •  Bronze (volume de base)  →  remise standard</w:t>
            </w:r>
          </w:p>
          <w:p>
            <w:r>
              <w:rPr>
                <w:rFonts w:ascii="Arial" w:cs="Arial" w:eastAsia="Arial" w:hAnsi="Arial"/>
                <w:b w:val="false"/>
                <w:bCs w:val="false"/>
                <w:color w:val="000000"/>
                <w:sz w:val="22"/>
                <w:szCs w:val="22"/>
              </w:rPr>
              <w:t xml:space="preserve">  •  Argent (+20% volume)      →  remise bonifiée + livraison prioritaire</w:t>
            </w:r>
          </w:p>
          <w:p>
            <w:r>
              <w:rPr>
                <w:rFonts w:ascii="Arial" w:cs="Arial" w:eastAsia="Arial" w:hAnsi="Arial"/>
                <w:b w:val="false"/>
                <w:bCs w:val="false"/>
                <w:color w:val="000000"/>
                <w:sz w:val="22"/>
                <w:szCs w:val="22"/>
              </w:rPr>
              <w:t xml:space="preserve">  •  Or (+40% volume)         →  remise maximale + support dédié + accès aux offres exclusives</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20"/>
              <w:right w:type="dxa" w:w="240"/>
            </w:tcMar>
          </w:tcPr>
          <w:p>
            <w:r>
              <w:rPr>
                <w:rFonts w:ascii="Arial" w:cs="Arial" w:eastAsia="Arial" w:hAnsi="Arial"/>
                <w:b/>
                <w:bCs/>
                <w:color w:val="FFFFFF"/>
                <w:sz w:val="34"/>
                <w:szCs w:val="34"/>
              </w:rPr>
              <w:t xml:space="preserve">5️⃣  ACTIONS TERRAIN SPÉCIALES</w:t>
            </w:r>
          </w:p>
          <w:p>
            <w:r>
              <w:rPr>
                <w:rFonts w:ascii="Arial" w:cs="Arial" w:eastAsia="Arial" w:hAnsi="Arial"/>
                <w:color w:val="AECDE8"/>
                <w:sz w:val="20"/>
                <w:szCs w:val="20"/>
              </w:rPr>
              <w:t xml:space="preserve">Initiatives concrètes à déployer immédiatement</w:t>
            </w:r>
          </w:p>
        </w:tc>
      </w:tr>
    </w:tbl>
    <w:p>
      <w:pPr>
        <w:spacing w:after="0" w:before="0"/>
      </w:pPr>
      <w: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Contenus Éducatifs à Partager avec les Clients</w:t>
      </w:r>
    </w:p>
    <w:p>
      <w:pPr>
        <w:spacing w:after="80" w:before="0"/>
      </w:pPr>
      <w:r>
        <w:rPr>
          <w:rFonts w:ascii="Arial" w:cs="Arial" w:eastAsia="Arial" w:hAnsi="Arial"/>
          <w:b w:val="false"/>
          <w:bCs w:val="false"/>
          <w:color w:val="000000"/>
          <w:sz w:val="22"/>
          <w:szCs w:val="22"/>
        </w:rPr>
        <w:t xml:space="preserve">Identifier et envoyer régulièrement des vidéos pratiques sur :</w:t>
      </w:r>
    </w:p>
    <w:p>
      <w:pPr>
        <w:pStyle w:val="ListParagraph"/>
        <w:numPr>
          <w:ilvl w:val="0"/>
          <w:numId w:val="2"/>
        </w:numPr>
        <w:spacing w:after="60" w:before="60"/>
      </w:pPr>
      <w:r>
        <w:rPr>
          <w:rFonts w:ascii="Arial" w:cs="Arial" w:eastAsia="Arial" w:hAnsi="Arial"/>
          <w:b w:val="false"/>
          <w:bCs w:val="false"/>
          <w:color w:val="000000"/>
          <w:sz w:val="22"/>
          <w:szCs w:val="22"/>
        </w:rPr>
        <w:t xml:space="preserve">L’installation correcte des tôles (différentes épaisseurs)</w:t>
      </w:r>
    </w:p>
    <w:p>
      <w:pPr>
        <w:pStyle w:val="ListParagraph"/>
        <w:numPr>
          <w:ilvl w:val="0"/>
          <w:numId w:val="2"/>
        </w:numPr>
        <w:spacing w:after="60" w:before="60"/>
      </w:pPr>
      <w:r>
        <w:rPr>
          <w:rFonts w:ascii="Arial" w:cs="Arial" w:eastAsia="Arial" w:hAnsi="Arial"/>
          <w:b w:val="false"/>
          <w:bCs w:val="false"/>
          <w:color w:val="000000"/>
          <w:sz w:val="22"/>
          <w:szCs w:val="22"/>
        </w:rPr>
        <w:t xml:space="preserve">La pose et l’étanchement des accessoires</w:t>
      </w:r>
    </w:p>
    <w:p>
      <w:pPr>
        <w:pStyle w:val="ListParagraph"/>
        <w:numPr>
          <w:ilvl w:val="0"/>
          <w:numId w:val="2"/>
        </w:numPr>
        <w:spacing w:after="60" w:before="60"/>
      </w:pPr>
      <w:r>
        <w:rPr>
          <w:rFonts w:ascii="Arial" w:cs="Arial" w:eastAsia="Arial" w:hAnsi="Arial"/>
          <w:b w:val="false"/>
          <w:bCs w:val="false"/>
          <w:color w:val="000000"/>
          <w:sz w:val="22"/>
          <w:szCs w:val="22"/>
        </w:rPr>
        <w:t xml:space="preserve">Les erreurs fréquentes à éviter sur chantier</w:t>
      </w:r>
    </w:p>
    <w:p>
      <w:pPr>
        <w:pStyle w:val="ListParagraph"/>
        <w:numPr>
          <w:ilvl w:val="0"/>
          <w:numId w:val="2"/>
        </w:numPr>
        <w:spacing w:after="60" w:before="60"/>
      </w:pPr>
      <w:r>
        <w:rPr>
          <w:rFonts w:ascii="Arial" w:cs="Arial" w:eastAsia="Arial" w:hAnsi="Arial"/>
          <w:b w:val="false"/>
          <w:bCs w:val="false"/>
          <w:color w:val="000000"/>
          <w:sz w:val="22"/>
          <w:szCs w:val="22"/>
        </w:rPr>
        <w:t xml:space="preserve">Les avantages des produits selon l’usage (habitat, entrepôt, industrie…)</w:t>
      </w:r>
    </w:p>
    <w:p>
      <w:pPr>
        <w:spacing w:after="0" w:before="0"/>
      </w:pPr>
      <w:r>
        <w:t xml:space="preserve"/>
      </w:r>
    </w:p>
    <w:p>
      <w:pPr>
        <w:spacing w:after="80" w:before="80"/>
      </w:pPr>
      <w:r>
        <w:rPr>
          <w:rFonts w:ascii="Arial" w:cs="Arial" w:eastAsia="Arial" w:hAnsi="Arial"/>
          <w:b w:val="false"/>
          <w:bCs w:val="false"/>
          <w:color w:val="555555"/>
          <w:sz w:val="22"/>
          <w:szCs w:val="22"/>
        </w:rPr>
        <w:t xml:space="preserve">Ces contenus renforcent la confiance des clients dans nos produits, les aident à mieux vendre à leurs propres acheteurs, et réduisent les réclamations liées à une mauvaise installation.</w:t>
      </w:r>
    </w:p>
    <w:p>
      <w:pPr>
        <w:spacing w:after="0" w:before="0"/>
      </w:pPr>
      <w:r>
        <w:t xml:space="preserve"/>
      </w:r>
    </w:p>
    <w:p>
      <w:pPr>
        <w:pStyle w:val="Heading2"/>
        <w:pBdr>
          <w:bottom w:val="single" w:color="2E75B6" w:sz="6" w:space="1"/>
        </w:pBdr>
        <w:spacing w:after="120" w:before="280"/>
      </w:pPr>
      <w:r>
        <w:rPr>
          <w:rFonts w:ascii="Arial" w:cs="Arial" w:eastAsia="Arial" w:hAnsi="Arial"/>
          <w:b/>
          <w:bCs/>
          <w:color w:val="2E75B6"/>
          <w:sz w:val="26"/>
          <w:szCs w:val="26"/>
        </w:rPr>
        <w:t xml:space="preserve">Optimisation des Dépôts-Ventes — Tôles Minces</w:t>
      </w:r>
    </w:p>
    <w:p>
      <w:pPr>
        <w:spacing w:after="80" w:before="0"/>
      </w:pPr>
      <w:r>
        <w:rPr>
          <w:rFonts w:ascii="Arial" w:cs="Arial" w:eastAsia="Arial" w:hAnsi="Arial"/>
          <w:b w:val="false"/>
          <w:bCs w:val="false"/>
          <w:color w:val="000000"/>
          <w:sz w:val="22"/>
          <w:szCs w:val="22"/>
        </w:rPr>
        <w:t xml:space="preserve">Réaliser une analyse approfondie des dépôts-ventes, en particulier pour les tôles de faible épaisseur, afin d’écouler le stock :</w:t>
      </w:r>
    </w:p>
    <w:p>
      <w:pPr>
        <w:pStyle w:val="ListParagraph"/>
        <w:numPr>
          <w:ilvl w:val="0"/>
          <w:numId w:val="2"/>
        </w:numPr>
        <w:spacing w:after="60" w:before="60"/>
      </w:pPr>
      <w:r>
        <w:rPr>
          <w:rFonts w:ascii="Arial" w:cs="Arial" w:eastAsia="Arial" w:hAnsi="Arial"/>
          <w:b w:val="false"/>
          <w:bCs w:val="false"/>
          <w:color w:val="000000"/>
          <w:sz w:val="22"/>
          <w:szCs w:val="22"/>
        </w:rPr>
        <w:t xml:space="preserve">Identifier les points de dépôt avec le stock le plus ancien</w:t>
      </w:r>
    </w:p>
    <w:p>
      <w:pPr>
        <w:pStyle w:val="ListParagraph"/>
        <w:numPr>
          <w:ilvl w:val="0"/>
          <w:numId w:val="2"/>
        </w:numPr>
        <w:spacing w:after="60" w:before="60"/>
      </w:pPr>
      <w:r>
        <w:rPr>
          <w:rFonts w:ascii="Arial" w:cs="Arial" w:eastAsia="Arial" w:hAnsi="Arial"/>
          <w:b w:val="false"/>
          <w:bCs w:val="false"/>
          <w:color w:val="000000"/>
          <w:sz w:val="22"/>
          <w:szCs w:val="22"/>
        </w:rPr>
        <w:t xml:space="preserve">Créer une offre promotionnelle ciblée sur les tôles minces</w:t>
      </w:r>
    </w:p>
    <w:p>
      <w:pPr>
        <w:pStyle w:val="ListParagraph"/>
        <w:numPr>
          <w:ilvl w:val="0"/>
          <w:numId w:val="2"/>
        </w:numPr>
        <w:spacing w:after="60" w:before="60"/>
      </w:pPr>
      <w:r>
        <w:rPr>
          <w:rFonts w:ascii="Arial" w:cs="Arial" w:eastAsia="Arial" w:hAnsi="Arial"/>
          <w:b w:val="false"/>
          <w:bCs w:val="false"/>
          <w:color w:val="000000"/>
          <w:sz w:val="22"/>
          <w:szCs w:val="22"/>
        </w:rPr>
        <w:t xml:space="preserve">Former les commerciaux à argumenter sur les cas d’usage spécifiques des tôles minces (ombrières, clôtures, petits abris)</w:t>
      </w:r>
    </w:p>
    <w:p>
      <w:pPr>
        <w:pStyle w:val="ListParagraph"/>
        <w:numPr>
          <w:ilvl w:val="0"/>
          <w:numId w:val="2"/>
        </w:numPr>
        <w:spacing w:after="60" w:before="60"/>
      </w:pPr>
      <w:r>
        <w:rPr>
          <w:rFonts w:ascii="Arial" w:cs="Arial" w:eastAsia="Arial" w:hAnsi="Arial"/>
          <w:b w:val="false"/>
          <w:bCs w:val="false"/>
          <w:color w:val="000000"/>
          <w:sz w:val="22"/>
          <w:szCs w:val="22"/>
        </w:rPr>
        <w:t xml:space="preserve">Envisager des offres groupies (lot tôles minces + accessoires)</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6" w:val="clear"/>
            <w:tcMar>
              <w:top w:type="dxa" w:w="200"/>
              <w:left w:type="dxa" w:w="240"/>
              <w:bottom w:type="dxa" w:w="200"/>
              <w:right w:type="dxa" w:w="240"/>
            </w:tcMar>
          </w:tcPr>
          <w:p>
            <w:pPr>
              <w:spacing w:after="160"/>
              <w:jc w:val="center"/>
            </w:pPr>
            <w:r>
              <w:rPr>
                <w:rFonts w:ascii="Arial" w:cs="Arial" w:eastAsia="Arial" w:hAnsi="Arial"/>
                <w:b/>
                <w:bCs/>
                <w:color w:val="1B3A6B"/>
                <w:sz w:val="26"/>
                <w:szCs w:val="26"/>
              </w:rPr>
              <w:t xml:space="preserve">🎯 RÉCAPITULATIF DES PRIORITÉS</w:t>
            </w:r>
          </w:p>
          <w:p>
            <w:pPr>
              <w:spacing w:after="60" w:before="60"/>
            </w:pPr>
            <w:r>
              <w:rPr>
                <w:rFonts w:ascii="Arial" w:cs="Arial" w:eastAsia="Arial" w:hAnsi="Arial"/>
                <w:color w:val="222222"/>
                <w:sz w:val="22"/>
                <w:szCs w:val="22"/>
              </w:rPr>
              <w:t xml:space="preserve">✅  Mettre en place un système de suivi journalier des visites</w:t>
            </w:r>
          </w:p>
          <w:p>
            <w:pPr>
              <w:spacing w:after="60" w:before="60"/>
            </w:pPr>
            <w:r>
              <w:rPr>
                <w:rFonts w:ascii="Arial" w:cs="Arial" w:eastAsia="Arial" w:hAnsi="Arial"/>
                <w:color w:val="222222"/>
                <w:sz w:val="22"/>
                <w:szCs w:val="22"/>
              </w:rPr>
              <w:t xml:space="preserve">✅  Lancer l’agenda hebdomadaire thématique dès la semaine prochaine</w:t>
            </w:r>
          </w:p>
          <w:p>
            <w:pPr>
              <w:spacing w:after="60" w:before="60"/>
            </w:pPr>
            <w:r>
              <w:rPr>
                <w:rFonts w:ascii="Arial" w:cs="Arial" w:eastAsia="Arial" w:hAnsi="Arial"/>
                <w:color w:val="222222"/>
                <w:sz w:val="22"/>
                <w:szCs w:val="22"/>
              </w:rPr>
              <w:t xml:space="preserve">✅  Communiquer la grille de commissions et activer le tableau de bord quotidien</w:t>
            </w:r>
          </w:p>
          <w:p>
            <w:pPr>
              <w:spacing w:after="60" w:before="60"/>
            </w:pPr>
            <w:r>
              <w:rPr>
                <w:rFonts w:ascii="Arial" w:cs="Arial" w:eastAsia="Arial" w:hAnsi="Arial"/>
                <w:color w:val="222222"/>
                <w:sz w:val="22"/>
                <w:szCs w:val="22"/>
              </w:rPr>
              <w:t xml:space="preserve">✅  Reformuler le programme de ristourne en « Partenaire Actif »</w:t>
            </w:r>
          </w:p>
          <w:p>
            <w:pPr>
              <w:spacing w:after="60" w:before="60"/>
            </w:pPr>
            <w:r>
              <w:rPr>
                <w:rFonts w:ascii="Arial" w:cs="Arial" w:eastAsia="Arial" w:hAnsi="Arial"/>
                <w:color w:val="222222"/>
                <w:sz w:val="22"/>
                <w:szCs w:val="22"/>
              </w:rPr>
              <w:t xml:space="preserve">✅  Programmer une livraison gratuite par semaine pour un prospect stratégique</w:t>
            </w:r>
          </w:p>
          <w:p>
            <w:pPr>
              <w:spacing w:after="60" w:before="60"/>
            </w:pPr>
            <w:r>
              <w:rPr>
                <w:rFonts w:ascii="Arial" w:cs="Arial" w:eastAsia="Arial" w:hAnsi="Arial"/>
                <w:color w:val="222222"/>
                <w:sz w:val="22"/>
                <w:szCs w:val="22"/>
              </w:rPr>
              <w:t xml:space="preserve">✅  Créer une sélection de vidéos éducatives à envoyer aux clients</w:t>
            </w:r>
          </w:p>
          <w:p>
            <w:pPr>
              <w:spacing w:after="60" w:before="60"/>
            </w:pPr>
            <w:r>
              <w:rPr>
                <w:rFonts w:ascii="Arial" w:cs="Arial" w:eastAsia="Arial" w:hAnsi="Arial"/>
                <w:color w:val="222222"/>
                <w:sz w:val="22"/>
                <w:szCs w:val="22"/>
              </w:rPr>
              <w:t xml:space="preserve">✅  Lancer la campagne d’écoulement des tôles minces en dépôt-vente</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706"/>
      </w:tabs>
      <w:spacing w:after="0"/>
    </w:pPr>
    <w:r>
      <w:rPr>
        <w:rFonts w:ascii="Arial" w:cs="Arial" w:eastAsia="Arial" w:hAnsi="Arial"/>
        <w:b/>
        <w:bCs/>
        <w:color w:val="2E75B6"/>
        <w:sz w:val="18"/>
        <w:szCs w:val="18"/>
      </w:rPr>
      <w:t xml:space="preserve">PLAN DE PERFORMANCE COMMERCIALE</w:t>
    </w:r>
    <w:r>
      <w:rPr>
        <w:rFonts w:ascii="Arial" w:cs="Arial" w:eastAsia="Arial" w:hAnsi="Arial"/>
        <w:color w:val="888888"/>
        <w:sz w:val="18"/>
        <w:szCs w:val="18"/>
      </w:rPr>
      <w:t xml:space="preserve">	—  Document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2026-03-25T14:50:53.797Z</dcterms:created>
  <dcterms:modified xsi:type="dcterms:W3CDTF">2026-03-25T14:50:53.797Z</dcterms:modified>
</cp:coreProperties>
</file>

<file path=docProps/custom.xml><?xml version="1.0" encoding="utf-8"?>
<Properties xmlns="http://schemas.openxmlformats.org/officeDocument/2006/custom-properties" xmlns:vt="http://schemas.openxmlformats.org/officeDocument/2006/docPropsVTypes"/>
</file>