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PrivacyGuard: Comprehensive Privacy–Utility Analysis with Multi-Attack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Team: Kumi A., Oluwamayowa O, Soundarya Lakshmi Rajendran, Hussein Ghosn, Alistair Clarke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Course: CIS 545 — Data Security &amp; Privacy · University of Michigan–Dearborn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27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Scope</w:t>
      </w:r>
    </w:p>
    <w:p w:rsidR="00000000" w:rsidDel="00000000" w:rsidP="00000000" w:rsidRDefault="00000000" w:rsidRPr="00000000" w14:paraId="00000005">
      <w:pPr>
        <w:spacing w:after="200" w:lineRule="auto"/>
        <w:ind w:lef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extends standard </w:t>
      </w: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 dataset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DP analysis by implementing four membership inference attacks for thorough privacy testing and performing a multi-dimensional privacy–utility analysis that incorporates fairness metrics, demographic effects, and trade-off visualization. The goal is to rigorously assess how DP mechanisms withstand attacks and how privacy impacts utility and fairness across demographic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27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Core Objectives</w:t>
      </w:r>
    </w:p>
    <w:p w:rsidR="00000000" w:rsidDel="00000000" w:rsidP="00000000" w:rsidRDefault="00000000" w:rsidRPr="00000000" w14:paraId="00000007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four membership inference attacks, evaluate DP-SGD and PATE, analyze multi-objective privacy–utility and fairness trade-offs, build an interactive dashboard, and produce an attack-resistance matrix across race, gender, and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27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commentRangeStart w:id="2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Attack Suite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confidence-based (Shokri et al., 2017) and label-only (Choquette-Choo et al., 2021) attacks, metric-based loss analysis (Song &amp; Shmatikov), and adaptive thresholding across privacy budgets and class imbalance. Research Question: Which attacks are most effectively mitigated by DP-SGD, and which remain resilient under strict ε-privacy?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Dataset &amp; Preprocessing: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 Income dataset (48k records) split by race (5), sex (2), and age (4). Sensitive-attribute tagging enables fairness and subgroup analysis, member/non-member partitioning preserves demographic ratios, and sensitivity estimates guide DP noise calibration.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0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Defense Mechanisms: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DP-SGD with Gaussian and Laplace noise (</w:t>
      </w:r>
      <w:commentRangeStart w:id="4"/>
      <w:commentRangeStart w:id="5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ε ∈ {0.1, 0.5, 1, 2, 5}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 PATE (Private Aggregation of Teacher Ensembles) for cross-comparison; and adaptive clipping for dynamic gradient control to improve the accuracy–privacy tradeoff.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27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Evaluation &amp; Analysis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Multi-Dimensional Utility: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Per-class accuracy, rare-class sensitivity, calibration reliability, confidence distribution, feature importance under DP noise, and visual decision-boundary comparison.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Fairness Assessment: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Demographic parity, equalized odds, equal opportunity, and per-group vulnerability to membership attacks, examining whether DP disproportionately impacts minority-group utility.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Privacy–Utility Optimization: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Pareto-front analysis of accuracy vs. ε, “knee-point” selection for optimal balance, and privacy budget scheduling with early-stopping evaluation.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27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Attack-Resistance Matrix</w:t>
      </w:r>
    </w:p>
    <w:tbl>
      <w:tblPr>
        <w:tblStyle w:val="Table1"/>
        <w:tblW w:w="7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70"/>
        <w:gridCol w:w="1470"/>
        <w:gridCol w:w="1035"/>
        <w:gridCol w:w="1020"/>
        <w:gridCol w:w="1155"/>
        <w:tblGridChange w:id="0">
          <w:tblGrid>
            <w:gridCol w:w="1470"/>
            <w:gridCol w:w="1470"/>
            <w:gridCol w:w="1470"/>
            <w:gridCol w:w="1035"/>
            <w:gridCol w:w="1020"/>
            <w:gridCol w:w="1155"/>
          </w:tblGrid>
        </w:tblGridChange>
      </w:tblGrid>
      <w:tr>
        <w:trPr>
          <w:cantSplit w:val="0"/>
          <w:trHeight w:val="512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ε=5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ε=1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ε=0.5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Label-Only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Adaptive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0.53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Avg AUC: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Baseline 0.70 → DP/PATE ≈ 0.53 → Effective privacy strengthening.</w:t>
        <w:tab/>
        <w:tab/>
        <w:tab/>
        <w:tab/>
        <w:tab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Fairness Findings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10"/>
        <w:gridCol w:w="1470"/>
        <w:gridCol w:w="1440"/>
        <w:gridCol w:w="1440"/>
        <w:gridCol w:w="1440"/>
        <w:gridCol w:w="1110"/>
        <w:tblGridChange w:id="0">
          <w:tblGrid>
            <w:gridCol w:w="1440"/>
            <w:gridCol w:w="1410"/>
            <w:gridCol w:w="1470"/>
            <w:gridCol w:w="1440"/>
            <w:gridCol w:w="1440"/>
            <w:gridCol w:w="144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Overall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DP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85.2 %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86.1 %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83.4 %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86.3 %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81.9 %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ε=1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77.8 %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79.1 %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75.8 %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79.4 %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73.2 %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ε=0.5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73.2 %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74.8 %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70.9 %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75.1 %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68.5 %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0.066</w:t>
            </w:r>
          </w:p>
        </w:tc>
      </w:tr>
    </w:tbl>
    <w:p w:rsidR="00000000" w:rsidDel="00000000" w:rsidP="00000000" w:rsidRDefault="00000000" w:rsidRPr="00000000" w14:paraId="0000005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Differential privacy narrows attack success but widens demographic performance gaps—critical for ethical deployment.</w:t>
        <w:tab/>
        <w:tab/>
        <w:tab/>
        <w:tab/>
        <w:tab/>
        <w:tab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27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52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commentRangeStart w:id="6"/>
      <w:commentRangeStart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conduct 24 privacy-attack experiment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with statistical validation, produce a fairness analysis showing demographic impacts, and build an interactive Streamlit/Plotly dashboard for ε-tuning and “what-if” exploration. The final outputs include a publication-ready attack-resistance matrix and practical guidelines for selecting ε values that balance privacy, accuracy, and fairness.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27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Members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Hussein Ghosn: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pipeline and Fairness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Soundarya L. Rajendran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Experiments and Analysis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Alistair Clarke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Attack Implementation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Oluwamayowa 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Privacy tracking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Kumi Acheampong: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implementation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27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Timeline 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770"/>
        <w:gridCol w:w="7050"/>
        <w:tblGridChange w:id="0">
          <w:tblGrid>
            <w:gridCol w:w="1980"/>
            <w:gridCol w:w="1770"/>
            <w:gridCol w:w="7050"/>
          </w:tblGrid>
        </w:tblGridChange>
      </w:tblGrid>
      <w:tr>
        <w:trPr>
          <w:cantSplit w:val="0"/>
          <w:trHeight w:val="264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Key Tasks</w:t>
            </w:r>
          </w:p>
        </w:tc>
      </w:tr>
      <w:tr>
        <w:trPr>
          <w:cantSplit w:val="0"/>
          <w:trHeight w:val="354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(Nov 4-10)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DP-SGD + PATE, four attacks, fairness metrics, orchestration setup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(Nov 11-17)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Experiments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 runs, fairness metric collection, matrix generation</w:t>
            </w:r>
          </w:p>
        </w:tc>
      </w:tr>
      <w:tr>
        <w:trPr>
          <w:cantSplit w:val="0"/>
          <w:trHeight w:val="354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(Nov 18-Dec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Pareto &amp; fairness deep dive, dashboard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 (Dec 2-8)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 polish, report, presentation rehearsal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 10 — Demo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Live dashboard and final report submission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MVP: ≥ 2 attacks + DP-SGD (3 ε) + fairness metrics +6page report + presentation.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Target: All attacks + PATE + interactive dashboard + statistical testing.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Stretch: Adaptive clipping, second dataset, extended fairness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2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Impact &amp;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Establishes an empirical benchmark of DP mechanisms across diverse attacks, integrates multiple defenses with fairness and visual analytics, and provides practical ε-selection guidance through an interactive dashboard for private ML deployment.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Differential Privacy (Enhanced)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Abadi et al., CCS 2016 · Shokri et al., S&amp;P 2017 · Choquette-Choo et al., NeurIPS 2021 · Song &amp; Shmatikov</w:t>
      </w:r>
    </w:p>
    <w:sectPr>
      <w:footerReference r:id="rId7" w:type="default"/>
      <w:pgSz w:h="15840" w:w="12240" w:orient="portrait"/>
      <w:pgMar w:bottom="0" w:top="360" w:left="810" w:right="63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istair Clarke" w:id="0" w:date="2025-11-02T20:21:10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@Kwaleon@umich.edu Is this the dataset which we will be leveraging: https://www.kaggle.com/datasets/uciml/adult-census-income? Or is it a different one?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Kwaleon@umich.edu_</w:t>
      </w:r>
    </w:p>
  </w:comment>
  <w:comment w:author="Leon Ney" w:id="1" w:date="2025-11-02T20:42:45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@acclarke@umich.edu yes that's the dataset</w:t>
      </w:r>
    </w:p>
  </w:comment>
  <w:comment w:author="Alistair Clarke" w:id="4" w:date="2025-11-02T20:33:26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@Kwaleon@umich.edu Should we explicitly call out this in the proposal? Or should we just indicate that we will explore DP-SGD using gaussian and laplace?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Kwaleon@umich.edu_</w:t>
      </w:r>
    </w:p>
  </w:comment>
  <w:comment w:author="Leon Ney" w:id="5" w:date="2025-11-02T20:49:42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@acclarke@umich.edu yes to communicate experimental clarity, and alignment with the standard DP bechmarks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_Reassigned to akalisz@cisco.com_</w:t>
      </w:r>
    </w:p>
  </w:comment>
  <w:comment w:author="Alistair Clarke" w:id="6" w:date="2025-11-02T20:46:48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@Kwaleon@umich.edu Forgive me misunderstanding. How is the 24 experiments being calculated?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Kwaleon@umich.edu_</w:t>
      </w:r>
    </w:p>
  </w:comment>
  <w:comment w:author="Leon Ney" w:id="7" w:date="2025-11-02T21:03:16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@acclarke@umich.edu so the MVP require DP-SGD (3 ε values) and the plan 4 MIA and to compare 2 model configuration. so we start with 4 attacks the multiply by the number of each DP run 3 which is 12. then we multiply that result by the number of model configurations being 2 to get 24.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_Reassigned to acclarke@umich.edu_</w:t>
      </w:r>
    </w:p>
  </w:comment>
  <w:comment w:author="Alistair Clarke" w:id="2" w:date="2025-11-02T20:28:47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@Kwaleon@umich.edu Do you see any concerns given the timeline with performing all 4 attacks? Or should we say 2 and add as a stretch goal the another 2? I just want to ensure that we aren't overcommitting? Would rather undercommit and over deliver than vice versa.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Kwaleon@umich.edu_</w:t>
      </w:r>
    </w:p>
  </w:comment>
  <w:comment w:author="Leon Ney" w:id="3" w:date="2025-11-02T20:45:50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@acclarke@umich.edu Nope I don't, but if you guys see any concern about it we can make it 2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7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