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120"/>
        <w:jc w:val="center"/>
        <w:rPr/>
      </w:pPr>
      <w:r>
        <w:rPr>
          <w:rFonts w:eastAsia="Arial" w:cs="Arial"/>
          <w:b/>
          <w:bCs/>
          <w:color w:val="1E3A5F"/>
          <w:sz w:val="52"/>
          <w:szCs w:val="52"/>
        </w:rPr>
        <w:t>NexusMart Retail</w:t>
      </w:r>
    </w:p>
    <w:p>
      <w:pPr>
        <w:pStyle w:val="Normal"/>
        <w:spacing w:before="0" w:after="120"/>
        <w:jc w:val="center"/>
        <w:rPr/>
      </w:pPr>
      <w:r>
        <w:rPr>
          <w:rFonts w:eastAsia="Arial" w:cs="Arial"/>
          <w:color w:val="374151"/>
          <w:sz w:val="40"/>
          <w:szCs w:val="40"/>
        </w:rPr>
        <w:t>Dashboard Insights Report</w:t>
      </w:r>
    </w:p>
    <w:p>
      <w:pPr>
        <w:pStyle w:val="Normal"/>
        <w:spacing w:before="0" w:after="2880"/>
        <w:jc w:val="center"/>
        <w:rPr/>
      </w:pPr>
      <w:r>
        <w:rPr>
          <w:rFonts w:eastAsia="Arial" w:cs="Arial"/>
          <w:color w:val="6B7280"/>
          <w:sz w:val="24"/>
          <w:szCs w:val="24"/>
        </w:rPr>
        <w:t>Fiscal Years 1997 – 1998</w:t>
      </w:r>
    </w:p>
    <w:p>
      <w:pPr>
        <w:pStyle w:val="Normal"/>
        <w:spacing w:before="0" w:after="0"/>
        <w:rPr/>
      </w:pPr>
      <w:r>
        <w:rPr/>
      </w:r>
      <w:r>
        <w:br w:type="page"/>
      </w:r>
    </w:p>
    <w:p>
      <w:pPr>
        <w:pStyle w:val="Heading1"/>
        <w:pBdr>
          <w:bottom w:val="single" w:sz="6" w:space="1" w:color="1E3A5F"/>
        </w:pBdr>
        <w:spacing w:before="0" w:after="160"/>
        <w:rPr/>
      </w:pPr>
      <w:r>
        <w:rPr>
          <w:rFonts w:eastAsia="Arial" w:cs="Arial" w:ascii="Arial" w:hAnsi="Arial"/>
          <w:b/>
          <w:bCs/>
          <w:sz w:val="32"/>
          <w:szCs w:val="32"/>
        </w:rPr>
        <w:t>Main Questions</w:t>
      </w:r>
    </w:p>
    <w:p>
      <w:pPr>
        <w:pStyle w:val="Heading2"/>
        <w:spacing w:before="280" w:after="100"/>
        <w:rPr/>
      </w:pPr>
      <w:r>
        <w:rPr>
          <w:rFonts w:eastAsia="Arial" w:cs="Arial" w:ascii="Arial" w:hAnsi="Arial"/>
          <w:b/>
          <w:bCs/>
          <w:color w:val="1E3A5F"/>
          <w:sz w:val="26"/>
          <w:szCs w:val="26"/>
        </w:rPr>
        <w:t>1. What drives sales growth?</w:t>
      </w:r>
    </w:p>
    <w:p>
      <w:pPr>
        <w:pStyle w:val="Normal"/>
        <w:spacing w:before="60" w:after="60"/>
        <w:rPr>
          <w:rFonts w:ascii="Arial" w:hAnsi="Arial" w:eastAsia="Arial" w:cs="Arial"/>
          <w:sz w:val="22"/>
          <w:szCs w:val="22"/>
        </w:rPr>
      </w:pPr>
      <w:r>
        <w:rPr>
          <w:rFonts w:eastAsia="Arial" w:cs="Arial"/>
          <w:sz w:val="22"/>
          <w:szCs w:val="22"/>
        </w:rPr>
        <w:t>Total revenue reached $1.76M over the two-year period, with YoY growth of 212.18% from 1997 to</w:t>
      </w:r>
    </w:p>
    <w:p>
      <w:pPr>
        <w:pStyle w:val="Normal"/>
        <w:spacing w:before="60" w:after="60"/>
        <w:rPr>
          <w:rFonts w:ascii="Arial" w:hAnsi="Arial" w:eastAsia="Arial" w:cs="Arial"/>
          <w:sz w:val="22"/>
          <w:szCs w:val="22"/>
        </w:rPr>
      </w:pPr>
      <w:r>
        <w:rPr>
          <w:rFonts w:eastAsia="Arial" w:cs="Arial"/>
          <w:sz w:val="22"/>
          <w:szCs w:val="22"/>
        </w:rPr>
        <w:t xml:space="preserve"> </w:t>
      </w:r>
      <w:r>
        <w:rPr>
          <w:rFonts w:eastAsia="Arial" w:cs="Arial"/>
          <w:sz w:val="22"/>
          <w:szCs w:val="22"/>
        </w:rPr>
        <w:t>1998 and a positive MoM growth trend ending at 5.54%. Key drivers identified from the data:</w:t>
      </w:r>
    </w:p>
    <w:p>
      <w:pPr>
        <w:pStyle w:val="Normal"/>
        <w:spacing w:before="60" w:after="60"/>
        <w:rPr>
          <w:rFonts w:ascii="Arial" w:hAnsi="Arial" w:eastAsia="Arial" w:cs="Arial"/>
          <w:sz w:val="22"/>
          <w:szCs w:val="22"/>
        </w:rPr>
      </w:pPr>
      <w:r>
        <w:rPr>
          <w:rFonts w:eastAsia="Arial" w:cs="Arial"/>
          <w:sz w:val="22"/>
          <w:szCs w:val="22"/>
        </w:rPr>
      </w:r>
    </w:p>
    <w:p>
      <w:pPr>
        <w:pStyle w:val="ListParagraph"/>
        <w:numPr>
          <w:ilvl w:val="0"/>
          <w:numId w:val="3"/>
        </w:numPr>
        <w:spacing w:before="40" w:after="40"/>
        <w:rPr>
          <w:rFonts w:ascii="Arial" w:hAnsi="Arial" w:eastAsia="Arial" w:cs="Arial"/>
          <w:sz w:val="22"/>
          <w:szCs w:val="22"/>
        </w:rPr>
      </w:pPr>
      <w:r>
        <w:rPr>
          <w:rFonts w:eastAsia="Arial" w:cs="Arial"/>
          <w:sz w:val="22"/>
          <w:szCs w:val="22"/>
        </w:rPr>
        <w:t>Brand concentration: Hermanos ($57K) leads all brands, followed by Tell Tale ($52K), Ebony ($50K), Tri-State ($49K), and High Top ($47K). The top 5 brands collectively account for a disproportionate share of total brand revenue.</w:t>
      </w:r>
    </w:p>
    <w:p>
      <w:pPr>
        <w:pStyle w:val="ListParagraph"/>
        <w:numPr>
          <w:ilvl w:val="0"/>
          <w:numId w:val="0"/>
        </w:numPr>
        <w:spacing w:before="40" w:after="40"/>
        <w:ind w:hanging="0" w:start="720"/>
        <w:rPr>
          <w:rFonts w:ascii="Arial" w:hAnsi="Arial" w:eastAsia="Arial" w:cs="Arial"/>
          <w:sz w:val="22"/>
          <w:szCs w:val="22"/>
        </w:rPr>
      </w:pPr>
      <w:r>
        <w:rPr>
          <w:rFonts w:eastAsia="Arial" w:cs="Arial"/>
          <w:sz w:val="22"/>
          <w:szCs w:val="22"/>
        </w:rPr>
      </w:r>
    </w:p>
    <w:p>
      <w:pPr>
        <w:pStyle w:val="ListParagraph"/>
        <w:numPr>
          <w:ilvl w:val="0"/>
          <w:numId w:val="1"/>
        </w:numPr>
        <w:spacing w:before="40" w:after="40"/>
        <w:rPr>
          <w:rFonts w:ascii="Arial" w:hAnsi="Arial" w:eastAsia="Arial" w:cs="Arial"/>
          <w:sz w:val="22"/>
          <w:szCs w:val="22"/>
        </w:rPr>
      </w:pPr>
      <w:r>
        <w:rPr>
          <w:rFonts w:eastAsia="Arial" w:cs="Arial"/>
          <w:sz w:val="22"/>
          <w:szCs w:val="22"/>
        </w:rPr>
        <w:t>Product performance: The top revenue-generating product is Hermanos Green Pepper (2,490 units sold), followed by Hilltop Mint Mouthwash (2,447) and Carlson Head Cheese (2,418). High-volume, low-unit-price grocery staples are the primary revenue engine.</w:t>
      </w:r>
    </w:p>
    <w:p>
      <w:pPr>
        <w:pStyle w:val="ListParagraph"/>
        <w:numPr>
          <w:ilvl w:val="0"/>
          <w:numId w:val="0"/>
        </w:numPr>
        <w:spacing w:before="40" w:after="40"/>
        <w:ind w:hanging="0" w:start="720"/>
        <w:rPr>
          <w:rFonts w:ascii="Arial" w:hAnsi="Arial" w:eastAsia="Arial" w:cs="Arial"/>
          <w:sz w:val="22"/>
          <w:szCs w:val="22"/>
        </w:rPr>
      </w:pPr>
      <w:r>
        <w:rPr>
          <w:rFonts w:eastAsia="Arial" w:cs="Arial"/>
          <w:sz w:val="22"/>
          <w:szCs w:val="22"/>
        </w:rPr>
      </w:r>
    </w:p>
    <w:p>
      <w:pPr>
        <w:pStyle w:val="ListParagraph"/>
        <w:numPr>
          <w:ilvl w:val="0"/>
          <w:numId w:val="1"/>
        </w:numPr>
        <w:spacing w:before="40" w:after="40"/>
        <w:rPr>
          <w:rFonts w:ascii="Arial" w:hAnsi="Arial" w:eastAsia="Arial" w:cs="Arial"/>
          <w:sz w:val="22"/>
          <w:szCs w:val="22"/>
        </w:rPr>
      </w:pPr>
      <w:r>
        <w:rPr>
          <w:rFonts w:eastAsia="Arial" w:cs="Arial"/>
          <w:sz w:val="22"/>
          <w:szCs w:val="22"/>
        </w:rPr>
        <w:t>Customer segment: Professional-occupation customers generate the highest revenue ($574K), nearly 21% more than the second segment (Skilled Manual at $476K). This segment represents the most commercially valuable customer group.</w:t>
      </w:r>
    </w:p>
    <w:p>
      <w:pPr>
        <w:pStyle w:val="ListParagraph"/>
        <w:numPr>
          <w:ilvl w:val="0"/>
          <w:numId w:val="0"/>
        </w:numPr>
        <w:spacing w:before="40" w:after="40"/>
        <w:ind w:hanging="0" w:start="720"/>
        <w:rPr>
          <w:rFonts w:ascii="Arial" w:hAnsi="Arial" w:eastAsia="Arial" w:cs="Arial"/>
          <w:sz w:val="22"/>
          <w:szCs w:val="22"/>
        </w:rPr>
      </w:pPr>
      <w:r>
        <w:rPr>
          <w:rFonts w:eastAsia="Arial" w:cs="Arial"/>
          <w:sz w:val="22"/>
          <w:szCs w:val="22"/>
        </w:rPr>
      </w:r>
    </w:p>
    <w:p>
      <w:pPr>
        <w:pStyle w:val="ListParagraph"/>
        <w:numPr>
          <w:ilvl w:val="0"/>
          <w:numId w:val="1"/>
        </w:numPr>
        <w:spacing w:before="40" w:after="40"/>
        <w:rPr>
          <w:rFonts w:ascii="Arial" w:hAnsi="Arial" w:eastAsia="Arial" w:cs="Arial"/>
          <w:sz w:val="22"/>
          <w:szCs w:val="22"/>
        </w:rPr>
      </w:pPr>
      <w:r>
        <w:rPr>
          <w:rFonts w:eastAsia="Arial" w:cs="Arial"/>
          <w:sz w:val="22"/>
          <w:szCs w:val="22"/>
        </w:rPr>
        <w:t>Store type: Supermarkets drive the largest revenue ($790K), more than double Deluxe Supermarkets ($670K), indicating that high-footfall formats outperform specialty formats in total volume.</w:t>
      </w:r>
    </w:p>
    <w:p>
      <w:pPr>
        <w:pStyle w:val="ListParagraph"/>
        <w:numPr>
          <w:ilvl w:val="0"/>
          <w:numId w:val="0"/>
        </w:numPr>
        <w:spacing w:before="40" w:after="40"/>
        <w:ind w:hanging="0" w:start="720"/>
        <w:rPr>
          <w:rFonts w:ascii="Arial" w:hAnsi="Arial" w:eastAsia="Arial" w:cs="Arial"/>
          <w:sz w:val="22"/>
          <w:szCs w:val="22"/>
        </w:rPr>
      </w:pPr>
      <w:r>
        <w:rPr>
          <w:rFonts w:eastAsia="Arial" w:cs="Arial"/>
          <w:sz w:val="22"/>
          <w:szCs w:val="22"/>
        </w:rPr>
      </w:r>
    </w:p>
    <w:p>
      <w:pPr>
        <w:pStyle w:val="ListParagraph"/>
        <w:numPr>
          <w:ilvl w:val="0"/>
          <w:numId w:val="1"/>
        </w:numPr>
        <w:spacing w:before="40" w:after="40"/>
        <w:rPr>
          <w:rFonts w:ascii="Arial" w:hAnsi="Arial" w:eastAsia="Arial" w:cs="Arial"/>
          <w:sz w:val="22"/>
          <w:szCs w:val="22"/>
        </w:rPr>
      </w:pPr>
      <w:r>
        <w:rPr>
          <w:rFonts w:eastAsia="Arial" w:cs="Arial"/>
          <w:sz w:val="22"/>
          <w:szCs w:val="22"/>
        </w:rPr>
        <w:t>Geography: The USA leads with $1,178K — more than double Mexico ($479K) and 10x Canada ($108K). The North West region alone contributes $0.85M, making it the single most productive sales region.</w:t>
      </w:r>
    </w:p>
    <w:p>
      <w:pPr>
        <w:pStyle w:val="ListParagraph"/>
        <w:numPr>
          <w:ilvl w:val="0"/>
          <w:numId w:val="0"/>
        </w:numPr>
        <w:spacing w:before="40" w:after="40"/>
        <w:ind w:hanging="0" w:start="720"/>
        <w:rPr>
          <w:rFonts w:ascii="Arial" w:hAnsi="Arial" w:eastAsia="Arial" w:cs="Arial"/>
          <w:sz w:val="22"/>
          <w:szCs w:val="22"/>
        </w:rPr>
      </w:pPr>
      <w:r>
        <w:rPr>
          <w:rFonts w:eastAsia="Arial" w:cs="Arial"/>
          <w:sz w:val="22"/>
          <w:szCs w:val="22"/>
        </w:rPr>
      </w:r>
    </w:p>
    <w:p>
      <w:pPr>
        <w:pStyle w:val="ListParagraph"/>
        <w:numPr>
          <w:ilvl w:val="0"/>
          <w:numId w:val="1"/>
        </w:numPr>
        <w:spacing w:before="40" w:after="40"/>
        <w:rPr/>
      </w:pPr>
      <w:r>
        <w:rPr>
          <w:rFonts w:eastAsia="Arial" w:cs="Arial"/>
          <w:sz w:val="22"/>
          <w:szCs w:val="22"/>
        </w:rPr>
        <w:t>AOV growth: Average Order Value rose from $6.51 in 1997 to $6.56 in 1998, a small but consistent upward trend suggesting slight basket-size improvement over time.</w:t>
      </w:r>
    </w:p>
    <w:p>
      <w:pPr>
        <w:pStyle w:val="Normal"/>
        <w:spacing w:before="80" w:after="80"/>
        <w:rPr/>
      </w:pPr>
      <w:r>
        <w:rPr/>
      </w:r>
    </w:p>
    <w:p>
      <w:pPr>
        <w:pStyle w:val="Heading2"/>
        <w:spacing w:before="280" w:after="100"/>
        <w:rPr/>
      </w:pPr>
      <w:r>
        <w:rPr>
          <w:rFonts w:eastAsia="Arial" w:cs="Arial" w:ascii="Arial" w:hAnsi="Arial"/>
          <w:b/>
          <w:bCs/>
          <w:color w:val="1E3A5F"/>
          <w:sz w:val="26"/>
          <w:szCs w:val="26"/>
        </w:rPr>
        <w:t>2. Which products or regions underperform?</w:t>
      </w:r>
    </w:p>
    <w:p>
      <w:pPr>
        <w:pStyle w:val="Normal"/>
        <w:spacing w:before="60" w:after="60"/>
        <w:rPr/>
      </w:pPr>
      <w:r>
        <w:rPr>
          <w:rFonts w:eastAsia="Arial" w:cs="Arial"/>
          <w:sz w:val="22"/>
          <w:szCs w:val="22"/>
        </w:rPr>
        <w:t>Multiple indicators point to concentrated underperformance in specific products and regions:</w:t>
      </w:r>
    </w:p>
    <w:p>
      <w:pPr>
        <w:pStyle w:val="Normal"/>
        <w:spacing w:before="200" w:after="80"/>
        <w:rPr/>
      </w:pPr>
      <w:r>
        <w:rPr>
          <w:rFonts w:eastAsia="Arial" w:cs="Arial"/>
          <w:b/>
          <w:bCs/>
          <w:color w:val="374151"/>
          <w:sz w:val="22"/>
          <w:szCs w:val="22"/>
        </w:rPr>
        <w:t>Underperforming Products</w:t>
      </w:r>
    </w:p>
    <w:p>
      <w:pPr>
        <w:pStyle w:val="Normal"/>
        <w:spacing w:before="60" w:after="60"/>
        <w:rPr/>
      </w:pPr>
      <w:r>
        <w:rPr>
          <w:rFonts w:eastAsia="Arial" w:cs="Arial"/>
          <w:sz w:val="22"/>
          <w:szCs w:val="22"/>
        </w:rPr>
        <w:t>The five products with the lowest total revenue are:</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Product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Denny Glass Cleaner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$210 (estimated)</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Choice Bubble Gum</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$210</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Bird Call Silky Smooth...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$227</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Top Measure Chardo...</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$240</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Super Column Coffee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$245</w:t>
            </w:r>
          </w:p>
        </w:tc>
      </w:tr>
    </w:tbl>
    <w:p>
      <w:pPr>
        <w:pStyle w:val="Normal"/>
        <w:spacing w:before="80" w:after="80"/>
        <w:rPr/>
      </w:pPr>
      <w:r>
        <w:rPr/>
      </w:r>
    </w:p>
    <w:p>
      <w:pPr>
        <w:pStyle w:val="Normal"/>
        <w:spacing w:before="60" w:after="60"/>
        <w:rPr/>
      </w:pPr>
      <w:r>
        <w:rPr>
          <w:rFonts w:eastAsia="Arial" w:cs="Arial"/>
          <w:sz w:val="22"/>
          <w:szCs w:val="22"/>
        </w:rPr>
        <w:t>These products show fewer than 253 units sold in aggregate, and their revenue contribution is negligible relative to top performers such as Hermanos Green Pepper (2,490 units).</w:t>
      </w:r>
    </w:p>
    <w:p>
      <w:pPr>
        <w:pStyle w:val="Normal"/>
        <w:spacing w:before="200" w:after="80"/>
        <w:rPr/>
      </w:pPr>
      <w:r>
        <w:rPr>
          <w:rFonts w:eastAsia="Arial" w:cs="Arial"/>
          <w:b/>
          <w:bCs/>
          <w:color w:val="374151"/>
          <w:sz w:val="22"/>
          <w:szCs w:val="22"/>
        </w:rPr>
        <w:t>Underperforming Regions</w:t>
      </w:r>
    </w:p>
    <w:p>
      <w:pPr>
        <w:pStyle w:val="Normal"/>
        <w:spacing w:before="60" w:after="60"/>
        <w:rPr/>
      </w:pPr>
      <w:r>
        <w:rPr>
          <w:rFonts w:eastAsia="Arial" w:cs="Arial"/>
          <w:sz w:val="22"/>
          <w:szCs w:val="22"/>
        </w:rPr>
        <w:t>Bottom 5 sales regions by Net Profit:</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Region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 Profit</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Central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Mexico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$61K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Mexico South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Canada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$108K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South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$321K</w:t>
            </w:r>
          </w:p>
        </w:tc>
      </w:tr>
    </w:tbl>
    <w:p>
      <w:pPr>
        <w:pStyle w:val="Normal"/>
        <w:spacing w:before="80" w:after="80"/>
        <w:rPr/>
      </w:pPr>
      <w:r>
        <w:rPr/>
      </w:r>
    </w:p>
    <w:p>
      <w:pPr>
        <w:pStyle w:val="Normal"/>
        <w:spacing w:before="60" w:after="60"/>
        <w:rPr/>
      </w:pPr>
      <w:r>
        <w:rPr>
          <w:rFonts w:eastAsia="Arial" w:cs="Arial"/>
          <w:sz w:val="22"/>
          <w:szCs w:val="22"/>
        </w:rPr>
        <w:t>Central West is the most critically underperforming region with only $9K net profit — roughly 1% of the North West region's output. Mexico West and Mexico South also show structurally low returns despite being operational markets.</w:t>
      </w:r>
    </w:p>
    <w:p>
      <w:pPr>
        <w:pStyle w:val="Normal"/>
        <w:spacing w:before="80" w:after="80"/>
        <w:rPr/>
      </w:pPr>
      <w:r>
        <w:rPr/>
      </w:r>
    </w:p>
    <w:p>
      <w:pPr>
        <w:pStyle w:val="Heading2"/>
        <w:spacing w:before="280" w:after="100"/>
        <w:rPr/>
      </w:pPr>
      <w:r>
        <w:rPr>
          <w:rFonts w:eastAsia="Arial" w:cs="Arial" w:ascii="Arial" w:hAnsi="Arial"/>
          <w:b/>
          <w:bCs/>
          <w:color w:val="1E3A5F"/>
          <w:sz w:val="26"/>
          <w:szCs w:val="26"/>
        </w:rPr>
        <w:t>3. What is the impact of returns?</w:t>
      </w:r>
    </w:p>
    <w:p>
      <w:pPr>
        <w:pStyle w:val="Normal"/>
        <w:spacing w:before="60" w:after="60"/>
        <w:rPr/>
      </w:pPr>
      <w:r>
        <w:rPr>
          <w:rFonts w:eastAsia="Arial" w:cs="Arial"/>
          <w:sz w:val="22"/>
          <w:szCs w:val="22"/>
        </w:rPr>
        <w:t>Returns represent a quantifiable drag on revenue and operational efficiency:</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Total Returned Units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8,289</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Overall Return Rate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0.99%</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1997 Return Volume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~50.21% of total returns</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1998 Return Volume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~49.79% of total returns</w:t>
            </w:r>
          </w:p>
        </w:tc>
      </w:tr>
    </w:tbl>
    <w:p>
      <w:pPr>
        <w:pStyle w:val="Normal"/>
        <w:spacing w:before="80" w:after="80"/>
        <w:rPr>
          <w:rFonts w:ascii="Arial" w:hAnsi="Arial" w:eastAsia="Arial" w:cs="Arial"/>
          <w:sz w:val="22"/>
          <w:szCs w:val="22"/>
        </w:rPr>
      </w:pPr>
      <w:r>
        <w:rPr>
          <w:rFonts w:eastAsia="Arial" w:cs="Arial"/>
          <w:sz w:val="22"/>
          <w:szCs w:val="22"/>
        </w:rPr>
      </w:r>
    </w:p>
    <w:p>
      <w:pPr>
        <w:pStyle w:val="Normal"/>
        <w:spacing w:before="80" w:after="80"/>
        <w:rPr>
          <w:rFonts w:ascii="Arial" w:hAnsi="Arial" w:eastAsia="Arial" w:cs="Arial"/>
          <w:sz w:val="22"/>
          <w:szCs w:val="22"/>
        </w:rPr>
      </w:pPr>
      <w:r>
        <w:rPr>
          <w:rFonts w:eastAsia="Arial" w:cs="Arial"/>
          <w:sz w:val="22"/>
          <w:szCs w:val="22"/>
        </w:rPr>
      </w:r>
    </w:p>
    <w:p>
      <w:pPr>
        <w:pStyle w:val="Normal"/>
        <w:spacing w:before="60" w:after="60"/>
        <w:rPr>
          <w:rFonts w:ascii="Arial" w:hAnsi="Arial" w:eastAsia="Arial" w:cs="Arial"/>
          <w:sz w:val="22"/>
          <w:szCs w:val="22"/>
        </w:rPr>
      </w:pPr>
      <w:r>
        <w:rPr>
          <w:rFonts w:eastAsia="Arial" w:cs="Arial"/>
          <w:sz w:val="22"/>
          <w:szCs w:val="22"/>
        </w:rPr>
      </w:r>
    </w:p>
    <w:p>
      <w:pPr>
        <w:pStyle w:val="ListParagraph"/>
        <w:spacing w:before="40" w:after="40"/>
        <w:rPr>
          <w:rFonts w:ascii="Arial" w:hAnsi="Arial" w:eastAsia="Arial" w:cs="Arial"/>
          <w:color w:val="000000"/>
          <w:sz w:val="22"/>
          <w:szCs w:val="22"/>
        </w:rPr>
      </w:pPr>
      <w:r>
        <w:rPr>
          <w:rFonts w:eastAsia="Arial" w:cs="Arial"/>
          <w:color w:val="000000"/>
          <w:sz w:val="22"/>
          <w:szCs w:val="22"/>
        </w:rPr>
        <w:t>With a 0.99% return rate, returns are minimal and well-controlled. The top 3 brands in return volume (Hermanos, Horatio, Tri-State) align with top-selling brands, indicating proportional rather than quality issues. Total returned revenue is $54,210 (~3.1% of total revenue), with stable volume across 1997-1998.</w:t>
      </w:r>
    </w:p>
    <w:p>
      <w:pPr>
        <w:pStyle w:val="ListParagraph"/>
        <w:spacing w:before="40" w:after="40"/>
        <w:rPr>
          <w:rFonts w:ascii="Arial" w:hAnsi="Arial" w:eastAsia="Arial" w:cs="Arial"/>
          <w:color w:val="000000"/>
          <w:sz w:val="22"/>
          <w:szCs w:val="22"/>
        </w:rPr>
      </w:pPr>
      <w:r>
        <w:rPr>
          <w:rFonts w:eastAsia="Arial" w:cs="Arial"/>
          <w:color w:val="000000"/>
          <w:sz w:val="22"/>
          <w:szCs w:val="22"/>
        </w:rPr>
      </w:r>
    </w:p>
    <w:p>
      <w:pPr>
        <w:pStyle w:val="ListParagraph"/>
        <w:spacing w:before="40" w:after="40"/>
        <w:rPr>
          <w:rFonts w:ascii="Arial" w:hAnsi="Arial" w:eastAsia="Arial" w:cs="Arial"/>
          <w:color w:val="000000"/>
          <w:sz w:val="22"/>
          <w:szCs w:val="22"/>
        </w:rPr>
      </w:pPr>
      <w:r>
        <w:rPr>
          <w:rFonts w:eastAsia="Arial" w:cs="Arial"/>
          <w:color w:val="000000"/>
          <w:sz w:val="22"/>
          <w:szCs w:val="22"/>
        </w:rPr>
      </w:r>
    </w:p>
    <w:p>
      <w:pPr>
        <w:pStyle w:val="ListParagraph"/>
        <w:spacing w:before="40" w:after="40"/>
        <w:rPr>
          <w:rFonts w:ascii="Arial" w:hAnsi="Arial" w:eastAsia="Arial" w:cs="Arial"/>
          <w:color w:val="000000"/>
          <w:sz w:val="22"/>
          <w:szCs w:val="22"/>
        </w:rPr>
      </w:pPr>
      <w:r>
        <w:rPr>
          <w:rFonts w:eastAsia="Arial" w:cs="Arial"/>
          <w:color w:val="000000"/>
          <w:sz w:val="22"/>
          <w:szCs w:val="22"/>
        </w:rPr>
      </w:r>
    </w:p>
    <w:p>
      <w:pPr>
        <w:pStyle w:val="ListParagraph"/>
        <w:spacing w:before="40" w:after="40"/>
        <w:rPr>
          <w:rFonts w:ascii="Arial" w:hAnsi="Arial" w:eastAsia="Arial" w:cs="Arial"/>
          <w:color w:val="000000"/>
          <w:sz w:val="22"/>
          <w:szCs w:val="22"/>
        </w:rPr>
      </w:pPr>
      <w:r>
        <w:rPr>
          <w:rFonts w:eastAsia="Arial" w:cs="Arial"/>
          <w:color w:val="000000"/>
          <w:sz w:val="22"/>
          <w:szCs w:val="22"/>
        </w:rPr>
      </w:r>
    </w:p>
    <w:p>
      <w:pPr>
        <w:pStyle w:val="Normal"/>
        <w:spacing w:before="80" w:after="80"/>
        <w:rPr>
          <w:color w:val="000000"/>
        </w:rPr>
      </w:pPr>
      <w:r>
        <w:rPr>
          <w:color w:val="000000"/>
        </w:rPr>
      </w:r>
    </w:p>
    <w:p>
      <w:pPr>
        <w:pStyle w:val="Heading2"/>
        <w:spacing w:before="280" w:after="100"/>
        <w:rPr/>
      </w:pPr>
      <w:r>
        <w:rPr>
          <w:rFonts w:eastAsia="Arial" w:cs="Arial" w:ascii="Arial" w:hAnsi="Arial"/>
          <w:b/>
          <w:bCs/>
          <w:color w:val="1E3A5F"/>
          <w:sz w:val="26"/>
          <w:szCs w:val="26"/>
        </w:rPr>
        <w:t>4. Where should management focus next quarter?</w:t>
      </w:r>
    </w:p>
    <w:p>
      <w:pPr>
        <w:pStyle w:val="Normal"/>
        <w:spacing w:before="60" w:after="60"/>
        <w:rPr/>
      </w:pPr>
      <w:r>
        <w:rPr>
          <w:rFonts w:eastAsia="Arial" w:cs="Arial"/>
          <w:sz w:val="22"/>
          <w:szCs w:val="22"/>
        </w:rPr>
        <w:t>Based on all dashboard data, the following four focus areas are recommended:</w:t>
      </w:r>
    </w:p>
    <w:p>
      <w:pPr>
        <w:pStyle w:val="Normal"/>
        <w:spacing w:before="200" w:after="80"/>
        <w:rPr/>
      </w:pPr>
      <w:r>
        <w:rPr>
          <w:rFonts w:eastAsia="Arial" w:cs="Arial"/>
          <w:b/>
          <w:bCs/>
          <w:color w:val="374151"/>
          <w:sz w:val="22"/>
          <w:szCs w:val="22"/>
        </w:rPr>
        <w:t>A. Invest in North West and USA Markets</w:t>
      </w:r>
    </w:p>
    <w:p>
      <w:pPr>
        <w:pStyle w:val="Normal"/>
        <w:spacing w:before="60" w:after="60"/>
        <w:rPr/>
      </w:pPr>
      <w:r>
        <w:rPr>
          <w:rFonts w:eastAsia="Arial" w:cs="Arial"/>
          <w:sz w:val="22"/>
          <w:szCs w:val="22"/>
        </w:rPr>
        <w:t>North West generates $0.85M in revenue and leads all regions in both revenue and net profit. USA contributes $1,178K vs Mexico's $479K. Management should prioritize store expansion, promotional spend, and inventory allocation in these markets — particularly cities such as Salem ($170K) and Tacoma ($158K) which lead all city-level rankings.</w:t>
      </w:r>
    </w:p>
    <w:p>
      <w:pPr>
        <w:pStyle w:val="Normal"/>
        <w:spacing w:before="200" w:after="80"/>
        <w:rPr/>
      </w:pPr>
      <w:r>
        <w:rPr>
          <w:rFonts w:eastAsia="Arial" w:cs="Arial"/>
          <w:b/>
          <w:bCs/>
          <w:color w:val="374151"/>
          <w:sz w:val="22"/>
          <w:szCs w:val="22"/>
        </w:rPr>
        <w:t>B. Address Central West and Mexico West Underperformance</w:t>
      </w:r>
    </w:p>
    <w:p>
      <w:pPr>
        <w:pStyle w:val="Normal"/>
        <w:spacing w:before="60" w:after="60"/>
        <w:rPr/>
      </w:pPr>
      <w:r>
        <w:rPr>
          <w:rFonts w:eastAsia="Arial" w:cs="Arial"/>
          <w:sz w:val="22"/>
          <w:szCs w:val="22"/>
        </w:rPr>
        <w:t>Central West net profit is only $9K. Mexico West ($61K) and Mexico South ($87K) are also significantly below par. These regions require operational review — whether low store count, poor product-market fit, or pricing issues — before further investment is made.</w:t>
      </w:r>
    </w:p>
    <w:p>
      <w:pPr>
        <w:pStyle w:val="Normal"/>
        <w:spacing w:before="200" w:after="80"/>
        <w:rPr/>
      </w:pPr>
      <w:r>
        <w:rPr>
          <w:rFonts w:eastAsia="Arial" w:cs="Arial"/>
          <w:b/>
          <w:bCs/>
          <w:color w:val="374151"/>
          <w:sz w:val="22"/>
          <w:szCs w:val="22"/>
        </w:rPr>
        <w:t>C. Review and Rationalize Low-Revenue Products</w:t>
      </w:r>
    </w:p>
    <w:p>
      <w:pPr>
        <w:pStyle w:val="Normal"/>
        <w:spacing w:before="60" w:after="60"/>
        <w:rPr/>
      </w:pPr>
      <w:r>
        <w:rPr>
          <w:rFonts w:eastAsia="Arial" w:cs="Arial"/>
          <w:sz w:val="22"/>
          <w:szCs w:val="22"/>
        </w:rPr>
        <w:t>The bottom 5 products (revenues between $210–$253) contribute almost nothing to the overall portfolio. A product rationalization review — considering discontinuation or repositioning — would free shelf space and inventory budget for higher-performing SKUs.</w:t>
      </w:r>
    </w:p>
    <w:p>
      <w:pPr>
        <w:pStyle w:val="Normal"/>
        <w:spacing w:before="200" w:after="80"/>
        <w:rPr/>
      </w:pPr>
      <w:r>
        <w:rPr>
          <w:rFonts w:eastAsia="Arial" w:cs="Arial"/>
          <w:b/>
          <w:bCs/>
          <w:color w:val="374151"/>
          <w:sz w:val="22"/>
          <w:szCs w:val="22"/>
        </w:rPr>
        <w:t>D. Leverage the Professional Customer Segment</w:t>
      </w:r>
    </w:p>
    <w:p>
      <w:pPr>
        <w:pStyle w:val="Normal"/>
        <w:spacing w:before="60" w:after="60"/>
        <w:rPr/>
      </w:pPr>
      <w:r>
        <w:rPr>
          <w:rFonts w:eastAsia="Arial" w:cs="Arial"/>
          <w:sz w:val="22"/>
          <w:szCs w:val="22"/>
        </w:rPr>
        <w:t>Professional-occupation customers generate $574K in revenue, well ahead of all other segments. Customer analysis also shows that homeowners (Y) spend $1,067K vs $697K for non-homeowners, and the $30K–$50K income bracket generates the highest revenue ($581K) — nearly 52% more than the next bracket. Marketing campaigns and loyalty programs should be specifically targeted at this professional, homeowner demographic.</w:t>
      </w:r>
    </w:p>
    <w:p>
      <w:pPr>
        <w:pStyle w:val="Normal"/>
        <w:spacing w:before="0" w:after="0"/>
        <w:rPr/>
      </w:pPr>
      <w:r>
        <w:rPr/>
      </w:r>
      <w:r>
        <w:br w:type="page"/>
      </w:r>
    </w:p>
    <w:p>
      <w:pPr>
        <w:pStyle w:val="Heading1"/>
        <w:pBdr>
          <w:bottom w:val="single" w:sz="6" w:space="1" w:color="1E3A5F"/>
        </w:pBdr>
        <w:spacing w:before="0" w:after="160"/>
        <w:rPr/>
      </w:pPr>
      <w:r>
        <w:rPr>
          <w:rFonts w:eastAsia="Arial" w:cs="Arial" w:ascii="Arial" w:hAnsi="Arial"/>
          <w:b/>
          <w:bCs/>
          <w:sz w:val="32"/>
          <w:szCs w:val="32"/>
        </w:rPr>
        <w:t>Executive Overview</w:t>
      </w:r>
    </w:p>
    <w:p>
      <w:pPr>
        <w:pStyle w:val="Normal"/>
        <w:spacing w:before="60" w:after="60"/>
        <w:rPr/>
      </w:pPr>
      <w:r>
        <w:rPr>
          <w:rFonts w:eastAsia="Arial" w:cs="Arial"/>
          <w:sz w:val="22"/>
          <w:szCs w:val="22"/>
        </w:rPr>
        <w:t>This page provides a high-level summary of business performance across the two-year period. Key KPIs from the dashboard:</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YoY Growth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212.18%</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MoM Growth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5.54%</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Total Net Profit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$1.05M</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Total Revenue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$1.76M</w:t>
            </w:r>
          </w:p>
        </w:tc>
      </w:tr>
    </w:tbl>
    <w:p>
      <w:pPr>
        <w:pStyle w:val="Normal"/>
        <w:spacing w:before="80" w:after="80"/>
        <w:rPr/>
      </w:pPr>
      <w:r>
        <w:rPr/>
      </w:r>
    </w:p>
    <w:p>
      <w:pPr>
        <w:pStyle w:val="Heading2"/>
        <w:spacing w:before="280" w:after="100"/>
        <w:rPr/>
      </w:pPr>
      <w:r>
        <w:rPr>
          <w:rFonts w:eastAsia="Arial" w:cs="Arial" w:ascii="Arial" w:hAnsi="Arial"/>
          <w:b/>
          <w:bCs/>
          <w:color w:val="1E3A5F"/>
          <w:sz w:val="26"/>
          <w:szCs w:val="26"/>
        </w:rPr>
        <w:t>Q1 — Bottom Underperforming Products (by Revenue)</w:t>
      </w:r>
    </w:p>
    <w:p>
      <w:pPr>
        <w:pStyle w:val="Normal"/>
        <w:spacing w:before="60" w:after="60"/>
        <w:rPr/>
      </w:pPr>
      <w:r>
        <w:rPr>
          <w:rFonts w:eastAsia="Arial" w:cs="Arial"/>
          <w:sz w:val="22"/>
          <w:szCs w:val="22"/>
        </w:rPr>
        <w:t>The chart displays the five products with the lowest total revenue. Values represent total unit sales per product:</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Product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Units Sold</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Denny Glass Cleaner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253</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Fast Buttered Popcorn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252</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Super Column Coffee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245</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Top Measure Chardonnay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240</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Bird Call Silky Smooth...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227</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Choice Bubble Gum</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210</w:t>
            </w:r>
          </w:p>
        </w:tc>
      </w:tr>
    </w:tbl>
    <w:p>
      <w:pPr>
        <w:pStyle w:val="Normal"/>
        <w:spacing w:before="80" w:after="80"/>
        <w:rPr/>
      </w:pPr>
      <w:r>
        <w:rPr/>
      </w:r>
    </w:p>
    <w:p>
      <w:pPr>
        <w:pStyle w:val="Normal"/>
        <w:spacing w:before="60" w:after="60"/>
        <w:rPr/>
      </w:pPr>
      <w:r>
        <w:rPr>
          <w:rFonts w:eastAsia="Arial" w:cs="Arial"/>
          <w:sz w:val="22"/>
          <w:szCs w:val="22"/>
        </w:rPr>
        <w:t>These six products are the weakest performers in the portfolio. Choice Bubble Gum records the fewest units (210), and none of the five exceed 253 units across the full two-year period. Their contribution to total revenue is minimal and warrants product portfolio review.</w:t>
      </w:r>
    </w:p>
    <w:p>
      <w:pPr>
        <w:pStyle w:val="Normal"/>
        <w:spacing w:before="80" w:after="80"/>
        <w:rPr/>
      </w:pPr>
      <w:r>
        <w:rPr/>
      </w:r>
    </w:p>
    <w:p>
      <w:pPr>
        <w:pStyle w:val="Heading2"/>
        <w:spacing w:before="280" w:after="100"/>
        <w:rPr/>
      </w:pPr>
      <w:r>
        <w:rPr>
          <w:rFonts w:eastAsia="Arial" w:cs="Arial" w:ascii="Arial" w:hAnsi="Arial"/>
          <w:b/>
          <w:bCs/>
          <w:color w:val="1E3A5F"/>
          <w:sz w:val="26"/>
          <w:szCs w:val="26"/>
        </w:rPr>
        <w:t>Q2 — Revenue by Product Brand (Top Performers)</w:t>
      </w:r>
    </w:p>
    <w:p>
      <w:pPr>
        <w:pStyle w:val="Normal"/>
        <w:spacing w:before="60" w:after="60"/>
        <w:rPr/>
      </w:pPr>
      <w:r>
        <w:rPr>
          <w:rFonts w:eastAsia="Arial" w:cs="Arial"/>
          <w:sz w:val="22"/>
          <w:szCs w:val="22"/>
        </w:rPr>
        <w:t>The bar chart ranks brands by total revenue generated. The top 10 brands are:</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Brand</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Hermanos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Tell Tale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$52K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Ebony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Tri-State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$49K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High Top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Nationeel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$45K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Horatio</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$44K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Best Choice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$43K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Fast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$41K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Fort West / High Quality / Red Wing</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$40K each</w:t>
            </w:r>
          </w:p>
        </w:tc>
      </w:tr>
    </w:tbl>
    <w:p>
      <w:pPr>
        <w:pStyle w:val="Normal"/>
        <w:spacing w:before="80" w:after="80"/>
        <w:rPr/>
      </w:pPr>
      <w:r>
        <w:rPr/>
      </w:r>
    </w:p>
    <w:p>
      <w:pPr>
        <w:pStyle w:val="Normal"/>
        <w:spacing w:before="60" w:after="60"/>
        <w:rPr/>
      </w:pPr>
      <w:r>
        <w:rPr>
          <w:rFonts w:eastAsia="Arial" w:cs="Arial"/>
          <w:sz w:val="22"/>
          <w:szCs w:val="22"/>
        </w:rPr>
        <w:t>Hermanos is the clear revenue leader at $57K, approximately 10% ahead of second-place Tell Tale. The top 5 brands show relatively close performance, spanning only $10K from top to fifth place, indicating competitive brand dynamics at the upper tier. Brands from CDR downward (at $31K) show a significant drop-off from the leaders.</w:t>
      </w:r>
    </w:p>
    <w:p>
      <w:pPr>
        <w:pStyle w:val="Normal"/>
        <w:spacing w:before="80" w:after="80"/>
        <w:rPr/>
      </w:pPr>
      <w:r>
        <w:rPr/>
      </w:r>
    </w:p>
    <w:p>
      <w:pPr>
        <w:pStyle w:val="Heading2"/>
        <w:spacing w:before="280" w:after="100"/>
        <w:rPr/>
      </w:pPr>
      <w:r>
        <w:rPr>
          <w:rFonts w:eastAsia="Arial" w:cs="Arial" w:ascii="Arial" w:hAnsi="Arial"/>
          <w:b/>
          <w:bCs/>
          <w:color w:val="1E3A5F"/>
          <w:sz w:val="26"/>
          <w:szCs w:val="26"/>
        </w:rPr>
        <w:t>Q3 — Bottom Underperforming Sales Regions (by Net Profit)</w:t>
      </w:r>
    </w:p>
    <w:p>
      <w:pPr>
        <w:pStyle w:val="Normal"/>
        <w:spacing w:before="60" w:after="60"/>
        <w:rPr/>
      </w:pPr>
      <w:r>
        <w:rPr>
          <w:rFonts w:eastAsia="Arial" w:cs="Arial"/>
          <w:sz w:val="22"/>
          <w:szCs w:val="22"/>
        </w:rPr>
        <w:t>The chart highlights the five regions with lowest net profit performance:</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Region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 Profit</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South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$321K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Canada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$108K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Mexico South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Mexico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$61K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Central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$9K</w:t>
            </w:r>
          </w:p>
        </w:tc>
      </w:tr>
    </w:tbl>
    <w:p>
      <w:pPr>
        <w:pStyle w:val="Normal"/>
        <w:spacing w:before="80" w:after="80"/>
        <w:rPr/>
      </w:pPr>
      <w:r>
        <w:rPr/>
      </w:r>
    </w:p>
    <w:p>
      <w:pPr>
        <w:pStyle w:val="Normal"/>
        <w:spacing w:before="60" w:after="60"/>
        <w:rPr/>
      </w:pPr>
      <w:r>
        <w:rPr>
          <w:rFonts w:eastAsia="Arial" w:cs="Arial"/>
          <w:sz w:val="22"/>
          <w:szCs w:val="22"/>
        </w:rPr>
        <w:t>Central West is the critical outlier with only $9K net profit, a figure that is 35x lower than South West. Despite South West appearing at the top of this 'bottom 5' list, its $321K is still meaningful — the list reflects the worst performers relative to the full regional set, with North West generating $0.85M for comparison.</w:t>
      </w:r>
    </w:p>
    <w:p>
      <w:pPr>
        <w:pStyle w:val="Normal"/>
        <w:spacing w:before="80" w:after="80"/>
        <w:rPr/>
      </w:pPr>
      <w:r>
        <w:rPr/>
      </w:r>
    </w:p>
    <w:p>
      <w:pPr>
        <w:pStyle w:val="Heading2"/>
        <w:spacing w:before="280" w:after="100"/>
        <w:rPr/>
      </w:pPr>
      <w:r>
        <w:rPr>
          <w:rFonts w:eastAsia="Arial" w:cs="Arial" w:ascii="Arial" w:hAnsi="Arial"/>
          <w:b/>
          <w:bCs/>
          <w:color w:val="1E3A5F"/>
          <w:sz w:val="26"/>
          <w:szCs w:val="26"/>
        </w:rPr>
        <w:t>Q4 — Return Rate by Year</w:t>
      </w:r>
    </w:p>
    <w:p>
      <w:pPr>
        <w:pStyle w:val="Normal"/>
        <w:spacing w:before="60" w:after="60"/>
        <w:rPr/>
      </w:pPr>
      <w:r>
        <w:rPr>
          <w:rFonts w:eastAsia="Arial" w:cs="Arial"/>
          <w:sz w:val="22"/>
          <w:szCs w:val="22"/>
        </w:rPr>
        <w:t>The donut chart shows how returns are distributed across the two years: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Year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Share of Total Returns</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1997</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50.21% (1.00% return rate)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1998</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49.79% (0.99% return rate)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Overall Return Rate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0.99%</w:t>
            </w:r>
          </w:p>
        </w:tc>
      </w:tr>
    </w:tbl>
    <w:p>
      <w:pPr>
        <w:pStyle w:val="Normal"/>
        <w:spacing w:before="80" w:after="80"/>
        <w:rPr/>
      </w:pPr>
      <w:r>
        <w:rPr/>
      </w:r>
    </w:p>
    <w:p>
      <w:pPr>
        <w:pStyle w:val="Normal"/>
        <w:spacing w:before="60" w:after="60"/>
        <w:rPr/>
      </w:pPr>
      <w:r>
        <w:rPr>
          <w:rFonts w:eastAsia="Arial" w:cs="Arial"/>
          <w:sz w:val="22"/>
          <w:szCs w:val="22"/>
        </w:rPr>
        <w:t>Returns are almost perfectly split between the two years, with 1997 contributing a marginally higher share (50.21%). Both years maintain a return rate below 1%, which is a healthy indicator. The stability of returns across both years suggests no structural product or customer service issue driving elevated returns.</w:t>
      </w:r>
    </w:p>
    <w:p>
      <w:pPr>
        <w:pStyle w:val="Normal"/>
        <w:spacing w:before="0" w:after="0"/>
        <w:rPr/>
      </w:pPr>
      <w:r>
        <w:rPr/>
      </w:r>
      <w:r>
        <w:br w:type="page"/>
      </w:r>
    </w:p>
    <w:p>
      <w:pPr>
        <w:pStyle w:val="Heading1"/>
        <w:pBdr>
          <w:bottom w:val="single" w:sz="6" w:space="1" w:color="1E3A5F"/>
        </w:pBdr>
        <w:spacing w:before="0" w:after="160"/>
        <w:rPr/>
      </w:pPr>
      <w:r>
        <w:rPr>
          <w:rFonts w:eastAsia="Arial" w:cs="Arial" w:ascii="Arial" w:hAnsi="Arial"/>
          <w:b/>
          <w:bCs/>
          <w:sz w:val="32"/>
          <w:szCs w:val="32"/>
        </w:rPr>
        <w:t>Sales &amp; Product</w:t>
      </w:r>
    </w:p>
    <w:p>
      <w:pPr>
        <w:pStyle w:val="Normal"/>
        <w:spacing w:before="60" w:after="60"/>
        <w:rPr/>
      </w:pPr>
      <w:r>
        <w:rPr>
          <w:rFonts w:eastAsia="Arial" w:cs="Arial"/>
          <w:sz w:val="22"/>
          <w:szCs w:val="22"/>
        </w:rPr>
        <w:t>This page provides detailed analysis of product-level performance, order values, and return behavior. Key KPIs: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Total Returns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8,289 units</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Return Rate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0.99%</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Avg Order Value (AOV)</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$6.54</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Total Orders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270K</w:t>
            </w:r>
          </w:p>
        </w:tc>
      </w:tr>
    </w:tbl>
    <w:p>
      <w:pPr>
        <w:pStyle w:val="Normal"/>
        <w:spacing w:before="80" w:after="80"/>
        <w:rPr/>
      </w:pPr>
      <w:r>
        <w:rPr/>
      </w:r>
    </w:p>
    <w:p>
      <w:pPr>
        <w:pStyle w:val="Heading2"/>
        <w:spacing w:before="280" w:after="100"/>
        <w:rPr/>
      </w:pPr>
      <w:r>
        <w:rPr>
          <w:rFonts w:eastAsia="Arial" w:cs="Arial" w:ascii="Arial" w:hAnsi="Arial"/>
          <w:b/>
          <w:bCs/>
          <w:color w:val="1E3A5F"/>
          <w:sz w:val="26"/>
          <w:szCs w:val="26"/>
        </w:rPr>
        <w:t>Q1 — Average Order Value (AOV) by Year</w:t>
      </w:r>
    </w:p>
    <w:p>
      <w:pPr>
        <w:pStyle w:val="Normal"/>
        <w:spacing w:before="60" w:after="60"/>
        <w:rPr/>
      </w:pPr>
      <w:r>
        <w:rPr>
          <w:rFonts w:eastAsia="Arial" w:cs="Arial"/>
          <w:sz w:val="22"/>
          <w:szCs w:val="22"/>
        </w:rPr>
        <w:t>The line chart shows AOV trending upward from 1997 to 1998:</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Year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Average Order Value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1997</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$6.51</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1998</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$6.56</w:t>
            </w:r>
          </w:p>
        </w:tc>
      </w:tr>
    </w:tbl>
    <w:p>
      <w:pPr>
        <w:pStyle w:val="Normal"/>
        <w:spacing w:before="80" w:after="80"/>
        <w:rPr/>
      </w:pPr>
      <w:r>
        <w:rPr/>
      </w:r>
    </w:p>
    <w:p>
      <w:pPr>
        <w:pStyle w:val="Normal"/>
        <w:spacing w:before="60" w:after="60"/>
        <w:rPr/>
      </w:pPr>
      <w:r>
        <w:rPr>
          <w:rFonts w:eastAsia="Arial" w:cs="Arial"/>
          <w:sz w:val="22"/>
          <w:szCs w:val="22"/>
        </w:rPr>
        <w:t>AOV grew by $0.05 (+0.77%) year-over-year. While modest in absolute terms, this consistent upward trajectory — visible in the line chart — suggests customers are slightly increasing their basket size per transaction. Given a total order volume of 270K, even a small AOV increase translates into meaningful revenue at scale.</w:t>
      </w:r>
    </w:p>
    <w:p>
      <w:pPr>
        <w:pStyle w:val="Normal"/>
        <w:spacing w:before="80" w:after="80"/>
        <w:rPr/>
      </w:pPr>
      <w:r>
        <w:rPr/>
      </w:r>
    </w:p>
    <w:p>
      <w:pPr>
        <w:pStyle w:val="Heading2"/>
        <w:spacing w:before="280" w:after="100"/>
        <w:rPr/>
      </w:pPr>
      <w:r>
        <w:rPr>
          <w:rFonts w:eastAsia="Arial" w:cs="Arial" w:ascii="Arial" w:hAnsi="Arial"/>
          <w:b/>
          <w:bCs/>
          <w:color w:val="1E3A5F"/>
          <w:sz w:val="26"/>
          <w:szCs w:val="26"/>
        </w:rPr>
        <w:t>Q2 — Top 10 Products by Revenue</w:t>
      </w:r>
    </w:p>
    <w:p>
      <w:pPr>
        <w:pStyle w:val="Normal"/>
        <w:spacing w:before="60" w:after="60"/>
        <w:rPr/>
      </w:pPr>
      <w:r>
        <w:rPr>
          <w:rFonts w:eastAsia="Arial" w:cs="Arial"/>
          <w:sz w:val="22"/>
          <w:szCs w:val="22"/>
        </w:rPr>
        <w:t>The horizontal bar chart ranks products by total revenue (unit sales):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Product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Units Sold</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Hermanos Green Pepper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2,490</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Hilltop Mint Mouthwash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2,447</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Carlson Head Cheese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2,418</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Great Pumpernickel Bread</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2,409</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Fabulous Strawberry Drink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2,378</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Fort West BBQ Potato Chips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2,328</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Moms Foot-Long Hot Dogs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2,325</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Even Better Large Curd Cotta...</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2,323</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Red Wing Plastic Knives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2,321</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High Top New Potatos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2,314</w:t>
            </w:r>
          </w:p>
        </w:tc>
      </w:tr>
    </w:tbl>
    <w:p>
      <w:pPr>
        <w:pStyle w:val="Normal"/>
        <w:spacing w:before="80" w:after="80"/>
        <w:rPr/>
      </w:pPr>
      <w:r>
        <w:rPr/>
      </w:r>
    </w:p>
    <w:p>
      <w:pPr>
        <w:pStyle w:val="Normal"/>
        <w:spacing w:before="60" w:after="60"/>
        <w:rPr/>
      </w:pPr>
      <w:r>
        <w:rPr>
          <w:rFonts w:eastAsia="Arial" w:cs="Arial"/>
          <w:sz w:val="22"/>
          <w:szCs w:val="22"/>
        </w:rPr>
        <w:t>The top 10 products are closely clustered between 2,286 and 2,490 units, indicating balanced performance across leading SKUs. Hermanos Green Pepper leads by approximately 1.8% over second-place Hilltop Mint Mouthwash. The product mix spans food, beverages, dairy, and household items, reflecting a diversified top-performing SKU base typical of supermarket retail.</w:t>
      </w:r>
    </w:p>
    <w:p>
      <w:pPr>
        <w:pStyle w:val="Normal"/>
        <w:spacing w:before="80" w:after="80"/>
        <w:rPr/>
      </w:pPr>
      <w:r>
        <w:rPr/>
      </w:r>
    </w:p>
    <w:p>
      <w:pPr>
        <w:pStyle w:val="Heading2"/>
        <w:spacing w:before="280" w:after="100"/>
        <w:rPr/>
      </w:pPr>
      <w:r>
        <w:rPr>
          <w:rFonts w:eastAsia="Arial" w:cs="Arial" w:ascii="Arial" w:hAnsi="Arial"/>
          <w:b/>
          <w:bCs/>
          <w:color w:val="1E3A5F"/>
          <w:sz w:val="26"/>
          <w:szCs w:val="26"/>
        </w:rPr>
        <w:t>Q3 — Top Returned Quantity by Brand</w:t>
      </w:r>
    </w:p>
    <w:p>
      <w:pPr>
        <w:pStyle w:val="Normal"/>
        <w:spacing w:before="60" w:after="60"/>
        <w:rPr/>
      </w:pPr>
      <w:r>
        <w:rPr>
          <w:rFonts w:eastAsia="Arial" w:cs="Arial"/>
          <w:sz w:val="22"/>
          <w:szCs w:val="22"/>
        </w:rPr>
        <w:t>The chart shows which brands accumulate the highest return volumes: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Brand</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Returned Units</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Hermanos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274</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Horatio</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240</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Tri-State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239</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Tell Tale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238</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Ebony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223</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High Top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222</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Nationeel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221</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Fast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208</w:t>
            </w:r>
          </w:p>
        </w:tc>
      </w:tr>
    </w:tbl>
    <w:p>
      <w:pPr>
        <w:pStyle w:val="Normal"/>
        <w:spacing w:before="80" w:after="80"/>
        <w:rPr/>
      </w:pPr>
      <w:r>
        <w:rPr/>
      </w:r>
    </w:p>
    <w:p>
      <w:pPr>
        <w:pStyle w:val="Normal"/>
        <w:spacing w:before="60" w:after="60"/>
        <w:rPr/>
      </w:pPr>
      <w:r>
        <w:rPr>
          <w:rFonts w:eastAsia="Arial" w:cs="Arial"/>
          <w:sz w:val="22"/>
          <w:szCs w:val="22"/>
        </w:rPr>
        <w:t>Hermanos leads returns with 274 units, but this is consistent with it being the top revenue brand. The correlation between high sales volume and return volume is expected. No brand shows a disproportionately high return rate relative to its sales, suggesting returns are volume-driven rather than quality-driven across the top brands.</w:t>
      </w:r>
    </w:p>
    <w:p>
      <w:pPr>
        <w:pStyle w:val="Normal"/>
        <w:spacing w:before="80" w:after="80"/>
        <w:rPr/>
      </w:pPr>
      <w:r>
        <w:rPr/>
      </w:r>
    </w:p>
    <w:p>
      <w:pPr>
        <w:pStyle w:val="Heading2"/>
        <w:spacing w:before="280" w:after="100"/>
        <w:rPr/>
      </w:pPr>
      <w:r>
        <w:rPr>
          <w:rFonts w:eastAsia="Arial" w:cs="Arial" w:ascii="Arial" w:hAnsi="Arial"/>
          <w:b/>
          <w:bCs/>
          <w:color w:val="1E3A5F"/>
          <w:sz w:val="26"/>
          <w:szCs w:val="26"/>
        </w:rPr>
        <w:t>Q4 — Net Profit vs. Total Cost (Top 10 Products)</w:t>
      </w:r>
    </w:p>
    <w:p>
      <w:pPr>
        <w:pStyle w:val="Normal"/>
        <w:spacing w:before="60" w:after="60"/>
        <w:rPr/>
      </w:pPr>
      <w:r>
        <w:rPr>
          <w:rFonts w:eastAsia="Arial" w:cs="Arial"/>
          <w:sz w:val="22"/>
          <w:szCs w:val="22"/>
        </w:rPr>
        <w:t>The combination chart compares Net Profit (bars) against Total Cost (line) for the top 10 products by profitability:</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Product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 Profit</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Hermanos Green Pepper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$1,671</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Imagine Popsicles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$1,514</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Hilltop Mint Mouthwash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$1,494</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Super Extra Chunky...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$1,485</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Nationeel Potato Chips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$1,479</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Fabulous Strawberry Drink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$1,475</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Booker Strawberry Yogurt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$1,453</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BBB Best Apple Preserves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$1,440</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Hermanos New Potatos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$1,431</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High Quality Scented...</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$1,413</w:t>
            </w:r>
          </w:p>
        </w:tc>
      </w:tr>
    </w:tbl>
    <w:p>
      <w:pPr>
        <w:pStyle w:val="Normal"/>
        <w:spacing w:before="80" w:after="80"/>
        <w:rPr/>
      </w:pPr>
      <w:r>
        <w:rPr/>
      </w:r>
    </w:p>
    <w:p>
      <w:pPr>
        <w:pStyle w:val="Normal"/>
        <w:spacing w:before="60" w:after="60"/>
        <w:rPr/>
      </w:pPr>
      <w:r>
        <w:rPr>
          <w:rFonts w:eastAsia="Arial" w:cs="Arial"/>
          <w:sz w:val="22"/>
          <w:szCs w:val="22"/>
        </w:rPr>
        <w:t>Hermanos Green Pepper delivers the highest net profit ($1,671) but also carries a relatively high cost ($819). Imagine Popsicles offers the best profit-to-cost ratio — $1,514 profit against only $646 cost (ratio of 2.34x). Hilltop Mint Mouthwash has the highest cost at $953 among the top 10, which compresses its profit margin relative to its revenue. Overall, all top-10 products show healthy net profit significantly exceeding their costs.</w:t>
      </w:r>
    </w:p>
    <w:p>
      <w:pPr>
        <w:pStyle w:val="Normal"/>
        <w:spacing w:before="0" w:after="0"/>
        <w:rPr/>
      </w:pPr>
      <w:r>
        <w:rPr/>
      </w:r>
      <w:r>
        <w:br w:type="page"/>
      </w:r>
    </w:p>
    <w:p>
      <w:pPr>
        <w:pStyle w:val="Heading1"/>
        <w:pBdr>
          <w:bottom w:val="single" w:sz="6" w:space="1" w:color="1E3A5F"/>
        </w:pBdr>
        <w:spacing w:before="0" w:after="160"/>
        <w:rPr/>
      </w:pPr>
      <w:r>
        <w:rPr>
          <w:rFonts w:eastAsia="Arial" w:cs="Arial" w:ascii="Arial" w:hAnsi="Arial"/>
          <w:b/>
          <w:bCs/>
          <w:sz w:val="32"/>
          <w:szCs w:val="32"/>
        </w:rPr>
        <w:t>Customer Analysis</w:t>
      </w:r>
    </w:p>
    <w:p>
      <w:pPr>
        <w:pStyle w:val="Normal"/>
        <w:spacing w:before="60" w:after="60"/>
        <w:rPr/>
      </w:pPr>
      <w:r>
        <w:rPr>
          <w:rFonts w:eastAsia="Arial" w:cs="Arial"/>
          <w:sz w:val="22"/>
          <w:szCs w:val="22"/>
        </w:rPr>
        <w:t>This page analyzes purchasing behavior across customer demographics and segmentation. Key KPIs: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Avg Spending per Customer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$199.56</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Total Customers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8,842</w:t>
            </w:r>
          </w:p>
        </w:tc>
      </w:tr>
    </w:tbl>
    <w:p>
      <w:pPr>
        <w:pStyle w:val="Normal"/>
        <w:spacing w:before="80" w:after="80"/>
        <w:rPr/>
      </w:pPr>
      <w:r>
        <w:rPr/>
      </w:r>
    </w:p>
    <w:p>
      <w:pPr>
        <w:pStyle w:val="Heading2"/>
        <w:spacing w:before="280" w:after="100"/>
        <w:rPr/>
      </w:pPr>
      <w:r>
        <w:rPr>
          <w:rFonts w:eastAsia="Arial" w:cs="Arial" w:ascii="Arial" w:hAnsi="Arial"/>
          <w:b/>
          <w:bCs/>
          <w:color w:val="1E3A5F"/>
          <w:sz w:val="26"/>
          <w:szCs w:val="26"/>
        </w:rPr>
        <w:t>Q1 — Top Revenue by Occupation</w:t>
      </w:r>
    </w:p>
    <w:p>
      <w:pPr>
        <w:pStyle w:val="Normal"/>
        <w:spacing w:before="60" w:after="60"/>
        <w:rPr/>
      </w:pPr>
      <w:r>
        <w:rPr>
          <w:rFonts w:eastAsia="Arial" w:cs="Arial"/>
          <w:sz w:val="22"/>
          <w:szCs w:val="22"/>
        </w:rPr>
        <w:t>The bar chart ranks customer occupations by total revenue generated:</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Occupation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Professional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$574K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Skilled Manual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$476K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Manual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$429K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Management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$255K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Clerical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$31K</w:t>
            </w:r>
          </w:p>
        </w:tc>
      </w:tr>
    </w:tbl>
    <w:p>
      <w:pPr>
        <w:pStyle w:val="Normal"/>
        <w:spacing w:before="80" w:after="80"/>
        <w:rPr/>
      </w:pPr>
      <w:r>
        <w:rPr/>
      </w:r>
    </w:p>
    <w:p>
      <w:pPr>
        <w:pStyle w:val="Normal"/>
        <w:spacing w:before="60" w:after="60"/>
        <w:rPr/>
      </w:pPr>
      <w:r>
        <w:rPr>
          <w:rFonts w:eastAsia="Arial" w:cs="Arial"/>
          <w:sz w:val="22"/>
          <w:szCs w:val="22"/>
        </w:rPr>
        <w:t>Professional customers are the top revenue segment at $574K, outperforming second-place Skilled Manual by $98K (+20.6%). Together, Professional and Skilled Manual account for approximately 60% of total customer revenue. The Clerical segment is notably weak at only $31K — this may reflect a smaller customer count, lower purchasing frequency, or lower basket size within this group.</w:t>
      </w:r>
    </w:p>
    <w:p>
      <w:pPr>
        <w:pStyle w:val="Normal"/>
        <w:spacing w:before="80" w:after="80"/>
        <w:rPr/>
      </w:pPr>
      <w:r>
        <w:rPr/>
      </w:r>
    </w:p>
    <w:p>
      <w:pPr>
        <w:pStyle w:val="Heading2"/>
        <w:spacing w:before="280" w:after="100"/>
        <w:rPr/>
      </w:pPr>
      <w:r>
        <w:rPr>
          <w:rFonts w:eastAsia="Arial" w:cs="Arial" w:ascii="Arial" w:hAnsi="Arial"/>
          <w:b/>
          <w:bCs/>
          <w:color w:val="1E3A5F"/>
          <w:sz w:val="26"/>
          <w:szCs w:val="26"/>
        </w:rPr>
        <w:t>Q2 — Average Order Value by Education Level</w:t>
      </w:r>
    </w:p>
    <w:p>
      <w:pPr>
        <w:pStyle w:val="Normal"/>
        <w:spacing w:before="60" w:after="60"/>
        <w:rPr/>
      </w:pPr>
      <w:r>
        <w:rPr>
          <w:rFonts w:eastAsia="Arial" w:cs="Arial"/>
          <w:sz w:val="22"/>
          <w:szCs w:val="22"/>
        </w:rPr>
        <w:t>The bar chart shows AOV across five education categories: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Education Level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Avg Order Value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High School Degree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$6.56</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Partial College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$6.55</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Partial High School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$6.54</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Bachelors Degree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$6.53</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Graduate Degree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$6.47</w:t>
            </w:r>
          </w:p>
        </w:tc>
      </w:tr>
    </w:tbl>
    <w:p>
      <w:pPr>
        <w:pStyle w:val="Normal"/>
        <w:spacing w:before="80" w:after="80"/>
        <w:rPr/>
      </w:pPr>
      <w:r>
        <w:rPr/>
      </w:r>
    </w:p>
    <w:p>
      <w:pPr>
        <w:pStyle w:val="Normal"/>
        <w:spacing w:before="60" w:after="60"/>
        <w:rPr/>
      </w:pPr>
      <w:r>
        <w:rPr>
          <w:rFonts w:eastAsia="Arial" w:cs="Arial"/>
          <w:sz w:val="22"/>
          <w:szCs w:val="22"/>
        </w:rPr>
        <w:t>AOV differences across education levels are minimal (only $0.09 spans the full range). Counterintuitively, High School Degree holders show the highest AOV ($6.56), while Graduate Degree holders show the lowest ($6.47). This suggests that in this retail context, purchasing behavior is not strongly differentiated by education level, and all segments represent similarly valued transactions.</w:t>
      </w:r>
    </w:p>
    <w:p>
      <w:pPr>
        <w:pStyle w:val="Normal"/>
        <w:spacing w:before="80" w:after="80"/>
        <w:rPr/>
      </w:pPr>
      <w:r>
        <w:rPr/>
      </w:r>
    </w:p>
    <w:p>
      <w:pPr>
        <w:pStyle w:val="Heading2"/>
        <w:spacing w:before="280" w:after="100"/>
        <w:rPr/>
      </w:pPr>
      <w:r>
        <w:rPr>
          <w:rFonts w:eastAsia="Arial" w:cs="Arial" w:ascii="Arial" w:hAnsi="Arial"/>
          <w:b/>
          <w:bCs/>
          <w:color w:val="1E3A5F"/>
          <w:sz w:val="26"/>
          <w:szCs w:val="26"/>
        </w:rPr>
        <w:t>Q3 — Revenue by Homeowner Status</w:t>
      </w:r>
    </w:p>
    <w:p>
      <w:pPr>
        <w:pStyle w:val="Normal"/>
        <w:spacing w:before="60" w:after="60"/>
        <w:rPr/>
      </w:pPr>
      <w:r>
        <w:rPr>
          <w:rFonts w:eastAsia="Arial" w:cs="Arial"/>
          <w:sz w:val="22"/>
          <w:szCs w:val="22"/>
        </w:rPr>
        <w:t>The grouped bar chart compares revenue and order volume between homeowners and non-homeowners: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Homeowner Status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Yes (Homeowner)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$1,067K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No (Non-Homeowner)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$697K</w:t>
            </w:r>
          </w:p>
        </w:tc>
      </w:tr>
    </w:tbl>
    <w:p>
      <w:pPr>
        <w:pStyle w:val="Normal"/>
        <w:spacing w:before="80" w:after="80"/>
        <w:rPr/>
      </w:pPr>
      <w:r>
        <w:rPr/>
      </w:r>
    </w:p>
    <w:p>
      <w:pPr>
        <w:pStyle w:val="Normal"/>
        <w:spacing w:before="60" w:after="60"/>
        <w:rPr/>
      </w:pPr>
      <w:r>
        <w:rPr>
          <w:rFonts w:eastAsia="Arial" w:cs="Arial"/>
          <w:sz w:val="22"/>
          <w:szCs w:val="22"/>
        </w:rPr>
        <w:t>Homeowners account for $1,067K in revenue — 53% more than non-homeowners ($697K). The quantity purchased follows the same pattern (504K vs 329K). This is likely driven by homeowners representing a larger proportion of the customer base rather than significantly higher per-order spending (AOV is similar across both groups). Homeowner customers are a strategically important segment to retain and target.</w:t>
      </w:r>
    </w:p>
    <w:p>
      <w:pPr>
        <w:pStyle w:val="Normal"/>
        <w:spacing w:before="80" w:after="80"/>
        <w:rPr/>
      </w:pPr>
      <w:r>
        <w:rPr/>
      </w:r>
    </w:p>
    <w:p>
      <w:pPr>
        <w:pStyle w:val="Heading2"/>
        <w:spacing w:before="280" w:after="100"/>
        <w:rPr/>
      </w:pPr>
      <w:r>
        <w:rPr>
          <w:rFonts w:eastAsia="Arial" w:cs="Arial" w:ascii="Arial" w:hAnsi="Arial"/>
          <w:b/>
          <w:bCs/>
          <w:color w:val="1E3A5F"/>
          <w:sz w:val="26"/>
          <w:szCs w:val="26"/>
        </w:rPr>
        <w:t>Q4 — Revenue and Customers by Yearly Income Bracket</w:t>
      </w:r>
    </w:p>
    <w:p>
      <w:pPr>
        <w:pStyle w:val="Normal"/>
        <w:spacing w:before="60" w:after="60"/>
        <w:rPr/>
      </w:pPr>
      <w:r>
        <w:rPr>
          <w:rFonts w:eastAsia="Arial" w:cs="Arial"/>
          <w:sz w:val="22"/>
          <w:szCs w:val="22"/>
        </w:rPr>
        <w:t>The combination chart shows total revenue and unique customer counts across income segments: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Income Bracket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$30K – $50K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$581K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$10K – $30K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$381K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$50K – $70K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$297K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$70K – $90K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$130K – $150K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$110K – $130K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$79K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$90K – $110K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$78K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$150K+</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$35K</w:t>
            </w:r>
          </w:p>
        </w:tc>
      </w:tr>
    </w:tbl>
    <w:p>
      <w:pPr>
        <w:pStyle w:val="Normal"/>
        <w:spacing w:before="80" w:after="80"/>
        <w:rPr/>
      </w:pPr>
      <w:r>
        <w:rPr/>
      </w:r>
    </w:p>
    <w:p>
      <w:pPr>
        <w:pStyle w:val="Normal"/>
        <w:spacing w:before="60" w:after="60"/>
        <w:rPr/>
      </w:pPr>
      <w:r>
        <w:rPr>
          <w:rFonts w:eastAsia="Arial" w:cs="Arial"/>
          <w:sz w:val="22"/>
          <w:szCs w:val="22"/>
        </w:rPr>
        <w:t>The $30K–$50K income bracket dominates with $581K in revenue — 52% more than the next bracket ($10K–$30K at $381K). Revenue drops consistently as income rises above $70K, which is an unusual pattern suggesting NexusMart's product offering and price points are best aligned with middle-income consumers. High-income customers ($150K+) contribute the least ($35K), indicating limited appeal or penetration in that demographic.</w:t>
      </w:r>
    </w:p>
    <w:p>
      <w:pPr>
        <w:pStyle w:val="Normal"/>
        <w:spacing w:before="80" w:after="80"/>
        <w:rPr/>
      </w:pPr>
      <w:r>
        <w:rPr/>
      </w:r>
    </w:p>
    <w:p>
      <w:pPr>
        <w:pStyle w:val="Heading2"/>
        <w:spacing w:before="280" w:after="100"/>
        <w:rPr/>
      </w:pPr>
      <w:r>
        <w:rPr>
          <w:rFonts w:eastAsia="Arial" w:cs="Arial" w:ascii="Arial" w:hAnsi="Arial"/>
          <w:b/>
          <w:bCs/>
          <w:color w:val="1E3A5F"/>
          <w:sz w:val="26"/>
          <w:szCs w:val="26"/>
        </w:rPr>
        <w:t>Q5 — Revenue by Member Card Type</w:t>
      </w:r>
    </w:p>
    <w:p>
      <w:pPr>
        <w:pStyle w:val="Normal"/>
        <w:spacing w:before="60" w:after="60"/>
        <w:rPr/>
      </w:pPr>
      <w:r>
        <w:rPr>
          <w:rFonts w:eastAsia="Arial" w:cs="Arial"/>
          <w:sz w:val="22"/>
          <w:szCs w:val="22"/>
        </w:rPr>
        <w:t>The donut chart shows how revenue is distributed across the four membership tiers: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Member Card</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Bronze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$987K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Normal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$407K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Silver</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$224K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Golden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$147K</w:t>
            </w:r>
          </w:p>
        </w:tc>
      </w:tr>
    </w:tbl>
    <w:p>
      <w:pPr>
        <w:pStyle w:val="Normal"/>
        <w:spacing w:before="80" w:after="80"/>
        <w:rPr/>
      </w:pPr>
      <w:r>
        <w:rPr/>
      </w:r>
    </w:p>
    <w:p>
      <w:pPr>
        <w:pStyle w:val="Normal"/>
        <w:spacing w:before="60" w:after="60"/>
        <w:rPr/>
      </w:pPr>
      <w:r>
        <w:rPr>
          <w:rFonts w:eastAsia="Arial" w:cs="Arial"/>
          <w:sz w:val="22"/>
          <w:szCs w:val="22"/>
        </w:rPr>
        <w:t>Bronze cardholders dominate revenue at $987K and 55.91% of total — a striking finding given that Bronze is the lowest membership tier. This suggests the majority of NexusMart's customer base holds entry-level membership. Golden card members (the premium tier) contribute the least at $147K (8.36%), indicating either a small premium member base or lower purchasing frequency among high-tier members. A loyalty upgrade strategy converting Bronze members to Silver or Golden could increase per-customer revenue.</w:t>
      </w:r>
    </w:p>
    <w:p>
      <w:pPr>
        <w:pStyle w:val="Normal"/>
        <w:spacing w:before="0" w:after="0"/>
        <w:rPr/>
      </w:pPr>
      <w:r>
        <w:rPr/>
      </w:r>
      <w:r>
        <w:br w:type="page"/>
      </w:r>
    </w:p>
    <w:p>
      <w:pPr>
        <w:pStyle w:val="Heading1"/>
        <w:pBdr>
          <w:bottom w:val="single" w:sz="6" w:space="1" w:color="1E3A5F"/>
        </w:pBdr>
        <w:spacing w:before="0" w:after="160"/>
        <w:rPr/>
      </w:pPr>
      <w:r>
        <w:rPr>
          <w:rFonts w:eastAsia="Arial" w:cs="Arial" w:ascii="Arial" w:hAnsi="Arial"/>
          <w:b/>
          <w:bCs/>
          <w:sz w:val="32"/>
          <w:szCs w:val="32"/>
        </w:rPr>
        <w:t>Regional Analysis</w:t>
      </w:r>
    </w:p>
    <w:p>
      <w:pPr>
        <w:pStyle w:val="Normal"/>
        <w:spacing w:before="60" w:after="60"/>
        <w:rPr/>
      </w:pPr>
      <w:r>
        <w:rPr>
          <w:rFonts w:eastAsia="Arial" w:cs="Arial"/>
          <w:sz w:val="22"/>
          <w:szCs w:val="22"/>
        </w:rPr>
        <w:t>This page examines geographic distribution of sales performance across countries, cities, regions, and store types. Key KPIs: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Avg Revenue per Store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$73.52K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Total Stores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w:t>
            </w:r>
          </w:p>
        </w:tc>
      </w:tr>
    </w:tbl>
    <w:p>
      <w:pPr>
        <w:pStyle w:val="Normal"/>
        <w:spacing w:before="80" w:after="80"/>
        <w:rPr/>
      </w:pPr>
      <w:r>
        <w:rPr/>
      </w:r>
    </w:p>
    <w:p>
      <w:pPr>
        <w:pStyle w:val="Heading2"/>
        <w:spacing w:before="280" w:after="100"/>
        <w:rPr/>
      </w:pPr>
      <w:r>
        <w:rPr>
          <w:rFonts w:eastAsia="Arial" w:cs="Arial" w:ascii="Arial" w:hAnsi="Arial"/>
          <w:b/>
          <w:bCs/>
          <w:color w:val="1E3A5F"/>
          <w:sz w:val="26"/>
          <w:szCs w:val="26"/>
        </w:rPr>
        <w:t>Q1 — Revenue by Store Country</w:t>
      </w:r>
    </w:p>
    <w:p>
      <w:pPr>
        <w:pStyle w:val="Normal"/>
        <w:spacing w:before="60" w:after="60"/>
        <w:rPr/>
      </w:pPr>
      <w:r>
        <w:rPr>
          <w:rFonts w:eastAsia="Arial" w:cs="Arial"/>
          <w:sz w:val="22"/>
          <w:szCs w:val="22"/>
        </w:rPr>
        <w:t>The bar chart shows total sales revenue per country:</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Country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USA</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$1,178K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Mexico</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$479K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Canada</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$108K</w:t>
            </w:r>
          </w:p>
        </w:tc>
      </w:tr>
    </w:tbl>
    <w:p>
      <w:pPr>
        <w:pStyle w:val="Normal"/>
        <w:spacing w:before="80" w:after="80"/>
        <w:rPr/>
      </w:pPr>
      <w:r>
        <w:rPr/>
      </w:r>
    </w:p>
    <w:p>
      <w:pPr>
        <w:pStyle w:val="Normal"/>
        <w:spacing w:before="60" w:after="60"/>
        <w:rPr/>
      </w:pPr>
      <w:r>
        <w:rPr>
          <w:rFonts w:eastAsia="Arial" w:cs="Arial"/>
          <w:sz w:val="22"/>
          <w:szCs w:val="22"/>
        </w:rPr>
        <w:t>The USA is the dominant market with $1,178K in revenue — 2.46x Mexico and 10.9x Canada. This concentration means that business performance is heavily dependent on the US market. Canada's relatively low contribution ($108K) despite being a developed economy may indicate a limited store footprint or market penetration opportunity.</w:t>
      </w:r>
    </w:p>
    <w:p>
      <w:pPr>
        <w:pStyle w:val="Normal"/>
        <w:spacing w:before="80" w:after="80"/>
        <w:rPr/>
      </w:pPr>
      <w:r>
        <w:rPr/>
      </w:r>
    </w:p>
    <w:p>
      <w:pPr>
        <w:pStyle w:val="Heading2"/>
        <w:spacing w:before="280" w:after="100"/>
        <w:rPr/>
      </w:pPr>
      <w:r>
        <w:rPr>
          <w:rFonts w:eastAsia="Arial" w:cs="Arial" w:ascii="Arial" w:hAnsi="Arial"/>
          <w:b/>
          <w:bCs/>
          <w:color w:val="1E3A5F"/>
          <w:sz w:val="26"/>
          <w:szCs w:val="26"/>
        </w:rPr>
        <w:t>Q2 — Top Cities by Revenue</w:t>
      </w:r>
    </w:p>
    <w:p>
      <w:pPr>
        <w:pStyle w:val="Normal"/>
        <w:spacing w:before="60" w:after="60"/>
        <w:rPr/>
      </w:pPr>
      <w:r>
        <w:rPr>
          <w:rFonts w:eastAsia="Arial" w:cs="Arial"/>
          <w:sz w:val="22"/>
          <w:szCs w:val="22"/>
        </w:rPr>
        <w:t>The bar chart ranks store cities by total sales revenue:</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City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Country</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Salem</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Tacoma</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Seattle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Portland</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San Diego</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Los Angeles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Bremerton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Hidalgo</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Mexico</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Spokane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Beverly Hills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USA</w:t>
            </w:r>
          </w:p>
        </w:tc>
      </w:tr>
    </w:tbl>
    <w:p>
      <w:pPr>
        <w:pStyle w:val="Normal"/>
        <w:spacing w:before="80" w:after="80"/>
        <w:rPr/>
      </w:pPr>
      <w:r>
        <w:rPr/>
      </w:r>
    </w:p>
    <w:p>
      <w:pPr>
        <w:pStyle w:val="Normal"/>
        <w:spacing w:before="60" w:after="60"/>
        <w:rPr/>
      </w:pPr>
      <w:r>
        <w:rPr>
          <w:rFonts w:eastAsia="Arial" w:cs="Arial"/>
          <w:sz w:val="22"/>
          <w:szCs w:val="22"/>
        </w:rPr>
        <w:t>Salem leads all cities with $170K, followed by Tacoma at $158K. Nine of the top 10 cities are in the USA, with Hidalgo (Mexico) being the only non-US entry in the top tier at $111K. The top 4 cities are all in the Pacific Northwest (Salem, Tacoma, Seattle, Portland), which aligns with the North West region's dominance at the regional level. Cities below Beverly Hills drop significantly, with Guadalajara at the bottom with only $5K.</w:t>
      </w:r>
    </w:p>
    <w:p>
      <w:pPr>
        <w:pStyle w:val="Normal"/>
        <w:spacing w:before="80" w:after="80"/>
        <w:rPr/>
      </w:pPr>
      <w:r>
        <w:rPr/>
      </w:r>
    </w:p>
    <w:p>
      <w:pPr>
        <w:pStyle w:val="Heading2"/>
        <w:spacing w:before="280" w:after="100"/>
        <w:rPr/>
      </w:pPr>
      <w:r>
        <w:rPr>
          <w:rFonts w:eastAsia="Arial" w:cs="Arial" w:ascii="Arial" w:hAnsi="Arial"/>
          <w:b/>
          <w:bCs/>
          <w:color w:val="1E3A5F"/>
          <w:sz w:val="26"/>
          <w:szCs w:val="26"/>
        </w:rPr>
        <w:t>Q3 — Revenue and Net Profit by Sales Region</w:t>
      </w:r>
    </w:p>
    <w:p>
      <w:pPr>
        <w:pStyle w:val="Normal"/>
        <w:spacing w:before="60" w:after="60"/>
        <w:rPr/>
      </w:pPr>
      <w:r>
        <w:rPr>
          <w:rFonts w:eastAsia="Arial" w:cs="Arial"/>
          <w:sz w:val="22"/>
          <w:szCs w:val="22"/>
        </w:rPr>
        <w:t>The combination chart compares total revenue and net profit across all regions:</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Region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North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$0.85M</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Mexico Central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$0.33M</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South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$0.32M</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Canada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$0.11M</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Mexico South</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$0.09M</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Mexico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$0.06M</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Central West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$0.01M</w:t>
            </w:r>
          </w:p>
        </w:tc>
      </w:tr>
    </w:tbl>
    <w:p>
      <w:pPr>
        <w:pStyle w:val="Normal"/>
        <w:spacing w:before="80" w:after="80"/>
        <w:rPr/>
      </w:pPr>
      <w:r>
        <w:rPr/>
      </w:r>
    </w:p>
    <w:p>
      <w:pPr>
        <w:pStyle w:val="Normal"/>
        <w:spacing w:before="60" w:after="60"/>
        <w:rPr/>
      </w:pPr>
      <w:r>
        <w:rPr>
          <w:rFonts w:eastAsia="Arial" w:cs="Arial"/>
          <w:sz w:val="22"/>
          <w:szCs w:val="22"/>
        </w:rPr>
        <w:t>North West is the standout region with $0.85M in revenue, representing approximately 48% of total company revenue. The net profit line chart shows a sharp drop from North West to Mexico Central, highlighting the concentration of profitability. Central West generates only $0.01M in revenue and the lowest net profit ($9K) — making it the most underdeveloped operational territory in the network.</w:t>
      </w:r>
    </w:p>
    <w:p>
      <w:pPr>
        <w:pStyle w:val="Normal"/>
        <w:spacing w:before="80" w:after="80"/>
        <w:rPr/>
      </w:pPr>
      <w:r>
        <w:rPr/>
      </w:r>
    </w:p>
    <w:p>
      <w:pPr>
        <w:pStyle w:val="Heading2"/>
        <w:spacing w:before="280" w:after="100"/>
        <w:rPr/>
      </w:pPr>
      <w:r>
        <w:rPr>
          <w:rFonts w:eastAsia="Arial" w:cs="Arial" w:ascii="Arial" w:hAnsi="Arial"/>
          <w:b/>
          <w:bCs/>
          <w:color w:val="1E3A5F"/>
          <w:sz w:val="26"/>
          <w:szCs w:val="26"/>
        </w:rPr>
        <w:t>Q4 — Revenue by Store Type</w:t>
      </w:r>
    </w:p>
    <w:p>
      <w:pPr>
        <w:pStyle w:val="Normal"/>
        <w:spacing w:before="60" w:after="60"/>
        <w:rPr/>
      </w:pPr>
      <w:r>
        <w:rPr>
          <w:rFonts w:eastAsia="Arial" w:cs="Arial"/>
          <w:sz w:val="22"/>
          <w:szCs w:val="22"/>
        </w:rPr>
        <w:t>The bar chart ranks store formats by total revenue:</w:t>
      </w:r>
    </w:p>
    <w:tbl>
      <w:tblPr>
        <w:tblW w:w="9360" w:type="dxa"/>
        <w:jc w:val="start"/>
        <w:tblInd w:w="0" w:type="dxa"/>
        <w:tblLayout w:type="fixed"/>
        <w:tblCellMar>
          <w:top w:w="100" w:type="dxa"/>
          <w:start w:w="150" w:type="dxa"/>
          <w:bottom w:w="100" w:type="dxa"/>
          <w:end w:w="15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Store Type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Revenue</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Supermarket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$790K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Deluxe Supermarket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$670K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Gourmet Supermarket</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$153K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Mid-Size Grocery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$119K</w:t>
            </w:r>
          </w:p>
        </w:tc>
      </w:tr>
      <w:tr>
        <w:trPr/>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rPr/>
            </w:pPr>
            <w:r>
              <w:rPr>
                <w:rFonts w:eastAsia="Arial" w:cs="Arial"/>
                <w:b/>
                <w:bCs/>
                <w:color w:val="374151"/>
                <w:sz w:val="20"/>
                <w:szCs w:val="20"/>
              </w:rPr>
              <w:t>Small Grocery</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$34K</w:t>
            </w:r>
          </w:p>
        </w:tc>
      </w:tr>
    </w:tbl>
    <w:p>
      <w:pPr>
        <w:pStyle w:val="Normal"/>
        <w:spacing w:before="80" w:after="80"/>
        <w:rPr/>
      </w:pPr>
      <w:r>
        <w:rPr/>
      </w:r>
    </w:p>
    <w:p>
      <w:pPr>
        <w:pStyle w:val="Normal"/>
        <w:spacing w:before="60" w:after="60"/>
        <w:rPr/>
      </w:pPr>
      <w:r>
        <w:rPr>
          <w:rFonts w:eastAsia="Arial" w:cs="Arial"/>
          <w:sz w:val="22"/>
          <w:szCs w:val="22"/>
        </w:rPr>
        <w:t>Supermarkets generate the most revenue at $790K, slightly ahead of Deluxe Supermarkets ($670K). Together, these two large-format store types account for $1,460K — approximately 83% of total revenue. Gourmet Supermarkets ($153K) and Mid-Size Groceries ($119K) contribute modestly, while Small Grocery stores ($34K) contribute minimally. This data supports prioritizing investment in large-format store expansion over smaller formats.</w:t>
      </w:r>
    </w:p>
    <w:p>
      <w:pPr>
        <w:pStyle w:val="Normal"/>
        <w:spacing w:before="80" w:after="80"/>
        <w:rPr/>
      </w:pPr>
      <w:r>
        <w:rPr/>
      </w:r>
    </w:p>
    <w:p>
      <w:pPr>
        <w:pStyle w:val="Normal"/>
        <w:spacing w:before="80" w:after="80"/>
        <w:rPr/>
      </w:pPr>
      <w:r>
        <w:rPr/>
      </w:r>
    </w:p>
    <w:p>
      <w:pPr>
        <w:pStyle w:val="Normal"/>
        <w:spacing w:before="480" w:after="0"/>
        <w:jc w:val="center"/>
        <w:rPr/>
      </w:pPr>
      <w:r>
        <w:rPr>
          <w:rFonts w:eastAsia="Arial" w:cs="Arial"/>
          <w:i/>
          <w:iCs/>
          <w:color w:val="9CA3AF"/>
          <w:sz w:val="20"/>
          <w:szCs w:val="20"/>
        </w:rPr>
        <w:t xml:space="preserve">— </w:t>
      </w:r>
      <w:r>
        <w:rPr>
          <w:rFonts w:eastAsia="Arial" w:cs="Arial"/>
          <w:i/>
          <w:iCs/>
          <w:color w:val="9CA3AF"/>
          <w:sz w:val="20"/>
          <w:szCs w:val="20"/>
        </w:rPr>
        <w:t>End of Report —</w:t>
      </w:r>
    </w:p>
    <w:sectPr>
      <w:type w:val="nextPage"/>
      <w:pgSz w:w="12240" w:h="15840"/>
      <w:pgMar w:left="1260" w:right="126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60" w:after="160"/>
      <w:outlineLvl w:val="0"/>
    </w:pPr>
    <w:rPr>
      <w:rFonts w:ascii="Arial" w:hAnsi="Arial" w:eastAsia="Arial" w:cs="Arial"/>
      <w:b/>
      <w:bCs/>
      <w:color w:val="000000"/>
      <w:sz w:val="32"/>
      <w:szCs w:val="32"/>
    </w:rPr>
  </w:style>
  <w:style w:type="paragraph" w:styleId="Heading2">
    <w:name w:val="heading 2"/>
    <w:basedOn w:val="Heading"/>
    <w:qFormat/>
    <w:pPr>
      <w:spacing w:before="280" w:after="100"/>
      <w:outlineLvl w:val="1"/>
    </w:pPr>
    <w:rPr>
      <w:rFonts w:ascii="Arial" w:hAnsi="Arial" w:eastAsia="Arial" w:cs="Arial"/>
      <w:b/>
      <w:bCs/>
      <w:color w:val="1E3A5F"/>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LibreOffice/26.2.4.2$Windows_X86_64 LibreOffice_project/0229ac93fcf0d7cbc6376066c6f35021cef002dc</Application>
  <AppVersion>15.0000</AppVersion>
  <Pages>16</Pages>
  <Words>2452</Words>
  <Characters>13880</Characters>
  <CharactersWithSpaces>15974</CharactersWithSpaces>
  <Paragraphs>395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2026-06-25T00:18:09Z</dcterms:created>
  <dc:creator>Un-named</dc:creator>
  <dc:description/>
  <dc:language>en-GB</dc:language>
  <cp:lastModifiedBy/>
  <dcterms:modified xsi:type="dcterms:W3CDTF">2026-06-25T03:30:04Z</dcterms:modified>
  <cp:revision>2</cp:revision>
  <dc:subject/>
  <dc:title/>
</cp:coreProperties>
</file>