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05A4" w:rsidRDefault="001A0496" w:rsidP="000A56E9">
      <w:pPr>
        <w:pStyle w:val="Title"/>
      </w:pPr>
      <w:r>
        <w:rPr>
          <w:rFonts w:hint="eastAsia"/>
        </w:rPr>
        <w:t>依赖库</w:t>
      </w:r>
      <w:r w:rsidR="00D57771">
        <w:t>RocketMQUtils</w:t>
      </w:r>
      <w:r>
        <w:rPr>
          <w:rFonts w:hint="eastAsia"/>
        </w:rPr>
        <w:t>使用文档说明</w:t>
      </w:r>
    </w:p>
    <w:p w:rsidR="000A56E9" w:rsidRDefault="000A56E9" w:rsidP="000A56E9">
      <w:pPr>
        <w:rPr>
          <w:b/>
          <w:bCs/>
        </w:rPr>
      </w:pPr>
    </w:p>
    <w:p w:rsidR="000A56E9" w:rsidRPr="000A56E9" w:rsidRDefault="000A56E9" w:rsidP="000A56E9">
      <w:pPr>
        <w:pStyle w:val="Heading2"/>
      </w:pPr>
      <w:r w:rsidRPr="000A56E9">
        <w:t xml:space="preserve">1. </w:t>
      </w:r>
      <w:r w:rsidRPr="000A56E9">
        <w:t>背景</w:t>
      </w:r>
    </w:p>
    <w:p w:rsidR="003049E6" w:rsidRDefault="00D57771" w:rsidP="00D57771">
      <w:r>
        <w:t>RocketMQUtils</w:t>
      </w:r>
      <w:r w:rsidR="000A56E9" w:rsidRPr="000A56E9">
        <w:rPr>
          <w:rFonts w:ascii="SimSun" w:eastAsia="SimSun" w:hAnsi="SimSun" w:cs="SimSun" w:hint="eastAsia"/>
        </w:rPr>
        <w:t>是一个</w:t>
      </w:r>
      <w:r>
        <w:t>RocketMQ</w:t>
      </w:r>
      <w:r>
        <w:rPr>
          <w:rFonts w:ascii="SimSun" w:eastAsia="SimSun" w:hAnsi="SimSun" w:cs="SimSun" w:hint="eastAsia"/>
        </w:rPr>
        <w:t>消息收发工具，它</w:t>
      </w:r>
      <w:r w:rsidRPr="00D57771">
        <w:rPr>
          <w:rFonts w:ascii="SimSun" w:eastAsia="SimSun" w:hAnsi="SimSun" w:cs="SimSun" w:hint="eastAsia"/>
        </w:rPr>
        <w:t>提供发送消息方法和订阅消费消息方法，支持普通消息和延时消息。</w:t>
      </w:r>
    </w:p>
    <w:p w:rsidR="003049E6" w:rsidRDefault="003049E6" w:rsidP="000A56E9"/>
    <w:p w:rsidR="00D57771" w:rsidRPr="000A56E9" w:rsidRDefault="00CA2A13" w:rsidP="000A56E9">
      <w:r w:rsidRPr="00CA2A13">
        <w:drawing>
          <wp:inline distT="0" distB="0" distL="0" distR="0" wp14:anchorId="5C776D48" wp14:editId="68EEC031">
            <wp:extent cx="5943600" cy="3702050"/>
            <wp:effectExtent l="0" t="0" r="0" b="6350"/>
            <wp:docPr id="46094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401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E9" w:rsidRDefault="000A56E9" w:rsidP="000A56E9">
      <w:pPr>
        <w:pStyle w:val="Heading2"/>
      </w:pPr>
      <w:r w:rsidRPr="000A56E9">
        <w:t xml:space="preserve">2. </w:t>
      </w:r>
      <w:r>
        <w:rPr>
          <w:rFonts w:hint="eastAsia"/>
        </w:rPr>
        <w:t>依赖库方法</w:t>
      </w:r>
    </w:p>
    <w:p w:rsidR="00D57771" w:rsidRDefault="00D57771" w:rsidP="00D57771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sendMessage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发送普通消息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D57771" w:rsidRDefault="00D57771" w:rsidP="00D57771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lastRenderedPageBreak/>
        <w:t>出参：</w:t>
      </w:r>
    </w:p>
    <w:p w:rsidR="00D57771" w:rsidRDefault="00D57771" w:rsidP="00D57771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D57771" w:rsidRDefault="00D57771" w:rsidP="00D57771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syncSendMessage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发送同步消息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D57771" w:rsidRDefault="00D57771" w:rsidP="00D57771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D57771" w:rsidRDefault="00D57771" w:rsidP="00D57771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D57771" w:rsidRDefault="00D57771" w:rsidP="00D57771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asyncSendMessage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发送异步消息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D57771" w:rsidRDefault="00D57771" w:rsidP="00D57771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D57771" w:rsidRDefault="00D57771" w:rsidP="00D57771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callback Function&lt;Boolean, Boolean&gt;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回调函数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D57771" w:rsidRDefault="00D57771" w:rsidP="00D57771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D57771" w:rsidRDefault="00D57771" w:rsidP="00D57771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sendOneWayMessage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发送单向消息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D57771" w:rsidRDefault="00D57771" w:rsidP="00D57771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D57771" w:rsidRDefault="00D57771" w:rsidP="00D57771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D57771" w:rsidRDefault="00D57771" w:rsidP="00D57771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lastRenderedPageBreak/>
        <w:t>syncSendMessageWithTag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发送携带</w:t>
      </w:r>
      <w:r>
        <w:rPr>
          <w:rFonts w:ascii="Helvetica" w:hAnsi="Helvetica"/>
          <w:color w:val="080808"/>
          <w:sz w:val="21"/>
          <w:szCs w:val="21"/>
        </w:rPr>
        <w:t xml:space="preserve"> tag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的消息（过滤消息）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D57771" w:rsidRDefault="00D57771" w:rsidP="00D57771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tag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消息标签</w:t>
      </w:r>
    </w:p>
    <w:p w:rsidR="00D57771" w:rsidRDefault="00D57771" w:rsidP="00D57771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D57771" w:rsidRDefault="00D57771" w:rsidP="00D57771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D57771" w:rsidRDefault="00D57771" w:rsidP="00D57771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syncSendDelay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同步发送延时消息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D57771" w:rsidRDefault="00D57771" w:rsidP="00D57771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D57771" w:rsidRDefault="00D57771" w:rsidP="00D57771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timeout Long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超时时间</w:t>
      </w:r>
    </w:p>
    <w:p w:rsidR="00D57771" w:rsidRDefault="00D57771" w:rsidP="00D57771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delayLevel Integer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延时等级（</w:t>
      </w:r>
      <w:r>
        <w:rPr>
          <w:rFonts w:ascii="Helvetica" w:hAnsi="Helvetica"/>
          <w:color w:val="080808"/>
          <w:sz w:val="21"/>
          <w:szCs w:val="21"/>
        </w:rPr>
        <w:t>1-18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）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D57771" w:rsidRDefault="00D57771" w:rsidP="00D57771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D57771" w:rsidRDefault="00D57771" w:rsidP="00D57771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asyncSendDelay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异步发送延时消息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D57771" w:rsidRDefault="00D57771" w:rsidP="00D57771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D57771" w:rsidRDefault="00D57771" w:rsidP="00D57771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timeout Long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超时时间</w:t>
      </w:r>
    </w:p>
    <w:p w:rsidR="00D57771" w:rsidRDefault="00D57771" w:rsidP="00D57771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delayLevel Integer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延时等级（</w:t>
      </w:r>
      <w:r>
        <w:rPr>
          <w:rFonts w:ascii="Helvetica" w:hAnsi="Helvetica"/>
          <w:color w:val="080808"/>
          <w:sz w:val="21"/>
          <w:szCs w:val="21"/>
        </w:rPr>
        <w:t>1-18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）</w:t>
      </w:r>
    </w:p>
    <w:p w:rsidR="00D57771" w:rsidRDefault="00D57771" w:rsidP="00D57771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callback Function&lt;Boolean, Boolean&gt;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回调函数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D57771" w:rsidRDefault="00D57771" w:rsidP="00D57771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027143" w:rsidRDefault="00027143" w:rsidP="00027143"/>
    <w:p w:rsidR="000A56E9" w:rsidRPr="000A56E9" w:rsidRDefault="000A56E9" w:rsidP="000A56E9">
      <w:pPr>
        <w:pStyle w:val="Heading2"/>
      </w:pPr>
      <w:r w:rsidRPr="000A56E9">
        <w:t xml:space="preserve">3. </w:t>
      </w:r>
      <w:r w:rsidRPr="000A56E9">
        <w:t>示例</w:t>
      </w:r>
    </w:p>
    <w:p w:rsidR="004F7E56" w:rsidRDefault="000A56E9" w:rsidP="000A56E9">
      <w:pPr>
        <w:pStyle w:val="Heading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引入依赖库</w:t>
      </w:r>
    </w:p>
    <w:p w:rsidR="000A56E9" w:rsidRDefault="003049E6" w:rsidP="004F7E56">
      <w:r w:rsidRPr="003049E6">
        <w:rPr>
          <w:rFonts w:hint="eastAsia"/>
        </w:rPr>
        <w:t>在依赖库管理导入</w:t>
      </w:r>
      <w:r w:rsidR="00D57771">
        <w:t>RocketMQUtils</w:t>
      </w:r>
      <w:r w:rsidRPr="003049E6">
        <w:rPr>
          <w:rFonts w:hint="eastAsia"/>
        </w:rPr>
        <w:t>依赖库</w:t>
      </w:r>
    </w:p>
    <w:p w:rsidR="003049E6" w:rsidRDefault="00D57771" w:rsidP="004F7E56">
      <w:r w:rsidRPr="00D57771">
        <w:rPr>
          <w:noProof/>
        </w:rPr>
        <w:drawing>
          <wp:inline distT="0" distB="0" distL="0" distR="0" wp14:anchorId="3F6AB654" wp14:editId="6A02FA61">
            <wp:extent cx="5943600" cy="3789680"/>
            <wp:effectExtent l="0" t="0" r="0" b="0"/>
            <wp:docPr id="35086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617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E6" w:rsidRDefault="003049E6" w:rsidP="004F7E56"/>
    <w:p w:rsidR="003049E6" w:rsidRDefault="003049E6" w:rsidP="003049E6">
      <w:pPr>
        <w:pStyle w:val="Heading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页面绑定及调用依赖库示例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配置依赖库邮</w:t>
      </w:r>
      <w:r w:rsidR="00BC561B">
        <w:rPr>
          <w:rFonts w:ascii="SimSun" w:eastAsia="SimSun" w:hAnsi="SimSun" w:cs="SimSun" w:hint="eastAsia"/>
        </w:rPr>
        <w:t>件</w:t>
      </w:r>
      <w:r>
        <w:rPr>
          <w:rFonts w:ascii="SimSun" w:eastAsia="SimSun" w:hAnsi="SimSun" w:cs="SimSun" w:hint="eastAsia"/>
        </w:rPr>
        <w:t>连接需要的参数</w:t>
      </w:r>
      <w:r w:rsidR="00BC561B">
        <w:rPr>
          <w:rFonts w:ascii="SimSun" w:eastAsia="SimSun" w:hAnsi="SimSun" w:cs="SimSun" w:hint="eastAsia"/>
        </w:rPr>
        <w:t>，在</w:t>
      </w:r>
      <w:r>
        <w:rPr>
          <w:rFonts w:ascii="SimSun" w:eastAsia="SimSun" w:hAnsi="SimSun" w:cs="SimSun" w:hint="eastAsia"/>
        </w:rPr>
        <w:t>更多 应用配置中修改：</w:t>
      </w:r>
    </w:p>
    <w:p w:rsidR="00895D30" w:rsidRDefault="00D57771" w:rsidP="00895D30">
      <w:r w:rsidRPr="00D57771">
        <w:rPr>
          <w:noProof/>
        </w:rPr>
        <w:lastRenderedPageBreak/>
        <w:drawing>
          <wp:inline distT="0" distB="0" distL="0" distR="0" wp14:anchorId="0125C70B" wp14:editId="5145BA56">
            <wp:extent cx="5943600" cy="3989705"/>
            <wp:effectExtent l="0" t="0" r="0" b="0"/>
            <wp:docPr id="79351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173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71" w:rsidRDefault="00D57771" w:rsidP="00895D30"/>
    <w:p w:rsidR="00895D30" w:rsidRDefault="00895D30" w:rsidP="00895D30"/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以</w:t>
      </w:r>
      <w:r w:rsidR="00D57771">
        <w:rPr>
          <w:rFonts w:ascii="SimSun" w:eastAsia="SimSun" w:hAnsi="SimSun" w:cs="SimSun" w:hint="eastAsia"/>
        </w:rPr>
        <w:t>腾讯云</w:t>
      </w:r>
      <w:r w:rsidR="00D57771">
        <w:rPr>
          <w:rFonts w:ascii="SimSun" w:eastAsia="SimSun" w:hAnsi="SimSun" w:cs="SimSun"/>
        </w:rPr>
        <w:t>RocketMQ</w:t>
      </w:r>
      <w:r w:rsidR="00D57771">
        <w:rPr>
          <w:rFonts w:ascii="SimSun" w:eastAsia="SimSun" w:hAnsi="SimSun" w:cs="SimSun" w:hint="eastAsia"/>
        </w:rPr>
        <w:t xml:space="preserve"> </w:t>
      </w:r>
      <w:hyperlink r:id="rId8" w:history="1">
        <w:r w:rsidR="00D57771" w:rsidRPr="00E9202F">
          <w:rPr>
            <w:rStyle w:val="Hyperlink"/>
            <w:rFonts w:ascii="SimSun" w:eastAsia="SimSun" w:hAnsi="SimSun" w:cs="SimSun"/>
          </w:rPr>
          <w:t>https://console.cloud.tencent.com/trocketmq/index</w:t>
        </w:r>
      </w:hyperlink>
      <w:r w:rsidR="00D57771"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为例：</w:t>
      </w:r>
    </w:p>
    <w:p w:rsidR="00D57771" w:rsidRDefault="00D57771" w:rsidP="00895D30">
      <w:pPr>
        <w:rPr>
          <w:rFonts w:ascii="SimSun" w:eastAsia="SimSun" w:hAnsi="SimSun" w:cs="SimSun"/>
        </w:rPr>
      </w:pPr>
    </w:p>
    <w:p w:rsidR="00D57771" w:rsidRDefault="00D57771" w:rsidP="00895D30">
      <w:pPr>
        <w:rPr>
          <w:rFonts w:ascii="SimSun" w:eastAsia="SimSun" w:hAnsi="SimSun" w:cs="SimSun"/>
        </w:rPr>
      </w:pPr>
      <w:r w:rsidRPr="00D57771">
        <w:rPr>
          <w:rFonts w:ascii="SimSun" w:eastAsia="SimSun" w:hAnsi="SimSun" w:cs="SimSun"/>
          <w:noProof/>
        </w:rPr>
        <w:drawing>
          <wp:inline distT="0" distB="0" distL="0" distR="0" wp14:anchorId="318489F2" wp14:editId="30B91F10">
            <wp:extent cx="5943600" cy="2832100"/>
            <wp:effectExtent l="0" t="0" r="0" b="0"/>
            <wp:docPr id="198962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275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71" w:rsidRDefault="00D57771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在</w:t>
      </w:r>
      <w:r>
        <w:rPr>
          <w:rFonts w:ascii="SimSun" w:eastAsia="SimSun" w:hAnsi="SimSun" w:cs="SimSun"/>
        </w:rPr>
        <w:t>RocketMQ</w:t>
      </w:r>
      <w:r>
        <w:rPr>
          <w:rFonts w:ascii="SimSun" w:eastAsia="SimSun" w:hAnsi="SimSun" w:cs="SimSun" w:hint="eastAsia"/>
        </w:rPr>
        <w:t>集群管理中添加角色，即可获得a</w:t>
      </w:r>
      <w:r>
        <w:rPr>
          <w:rFonts w:ascii="SimSun" w:eastAsia="SimSun" w:hAnsi="SimSun" w:cs="SimSun"/>
        </w:rPr>
        <w:t>ccessKey</w:t>
      </w:r>
      <w:r>
        <w:rPr>
          <w:rFonts w:ascii="SimSun" w:eastAsia="SimSun" w:hAnsi="SimSun" w:cs="SimSun" w:hint="eastAsia"/>
        </w:rPr>
        <w:t>和s</w:t>
      </w:r>
      <w:r>
        <w:rPr>
          <w:rFonts w:ascii="SimSun" w:eastAsia="SimSun" w:hAnsi="SimSun" w:cs="SimSun"/>
        </w:rPr>
        <w:t>ecretKey</w:t>
      </w:r>
      <w:r>
        <w:rPr>
          <w:rFonts w:ascii="SimSun" w:eastAsia="SimSun" w:hAnsi="SimSun" w:cs="SimSun" w:hint="eastAsia"/>
        </w:rPr>
        <w:t>。</w:t>
      </w:r>
    </w:p>
    <w:p w:rsidR="00D57771" w:rsidRDefault="00D57771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lastRenderedPageBreak/>
        <w:t>Topic</w:t>
      </w:r>
      <w:r>
        <w:rPr>
          <w:rFonts w:ascii="SimSun" w:eastAsia="SimSun" w:hAnsi="SimSun" w:cs="SimSun" w:hint="eastAsia"/>
        </w:rPr>
        <w:t>管理中添加t</w:t>
      </w:r>
      <w:r>
        <w:rPr>
          <w:rFonts w:ascii="SimSun" w:eastAsia="SimSun" w:hAnsi="SimSun" w:cs="SimSun"/>
        </w:rPr>
        <w:t>opic</w:t>
      </w:r>
      <w:r>
        <w:rPr>
          <w:rFonts w:ascii="SimSun" w:eastAsia="SimSun" w:hAnsi="SimSun" w:cs="SimSun" w:hint="eastAsia"/>
        </w:rPr>
        <w:t>，注意类型为普通消息或延时消息。</w:t>
      </w:r>
    </w:p>
    <w:p w:rsidR="00D57771" w:rsidRDefault="00D57771" w:rsidP="00895D30">
      <w:pPr>
        <w:rPr>
          <w:rFonts w:ascii="SimSun" w:eastAsia="SimSun" w:hAnsi="SimSun" w:cs="SimSun"/>
        </w:rPr>
      </w:pPr>
      <w:r w:rsidRPr="00D57771">
        <w:rPr>
          <w:rFonts w:ascii="SimSun" w:eastAsia="SimSun" w:hAnsi="SimSun" w:cs="SimSun"/>
          <w:noProof/>
        </w:rPr>
        <w:drawing>
          <wp:inline distT="0" distB="0" distL="0" distR="0" wp14:anchorId="4B8A7248" wp14:editId="04572892">
            <wp:extent cx="5943600" cy="3478530"/>
            <wp:effectExtent l="0" t="0" r="0" b="1270"/>
            <wp:docPr id="174954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49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71" w:rsidRDefault="00D57771" w:rsidP="00895D30">
      <w:pPr>
        <w:rPr>
          <w:rFonts w:ascii="SimSun" w:eastAsia="SimSun" w:hAnsi="SimSun" w:cs="SimSun"/>
        </w:rPr>
      </w:pPr>
    </w:p>
    <w:p w:rsidR="005C1678" w:rsidRDefault="00D57771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G</w:t>
      </w:r>
      <w:r>
        <w:rPr>
          <w:rFonts w:ascii="SimSun" w:eastAsia="SimSun" w:hAnsi="SimSun" w:cs="SimSun"/>
        </w:rPr>
        <w:t>roup</w:t>
      </w:r>
      <w:r>
        <w:rPr>
          <w:rFonts w:ascii="SimSun" w:eastAsia="SimSun" w:hAnsi="SimSun" w:cs="SimSun" w:hint="eastAsia"/>
        </w:rPr>
        <w:t>管理中添加g</w:t>
      </w:r>
      <w:r>
        <w:rPr>
          <w:rFonts w:ascii="SimSun" w:eastAsia="SimSun" w:hAnsi="SimSun" w:cs="SimSun"/>
        </w:rPr>
        <w:t>roup</w:t>
      </w:r>
      <w:r w:rsidR="004E5A8A">
        <w:rPr>
          <w:rFonts w:ascii="SimSun" w:eastAsia="SimSun" w:hAnsi="SimSun" w:cs="SimSun" w:hint="eastAsia"/>
        </w:rPr>
        <w:t>。</w:t>
      </w:r>
    </w:p>
    <w:p w:rsidR="00D95F6A" w:rsidRPr="00D95F6A" w:rsidRDefault="004E5A8A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填写到应用配置中。</w:t>
      </w:r>
    </w:p>
    <w:p w:rsidR="00D22B8E" w:rsidRDefault="00D22B8E" w:rsidP="00895D30">
      <w:pPr>
        <w:rPr>
          <w:rFonts w:ascii="SimSun" w:eastAsia="SimSun" w:hAnsi="SimSun" w:cs="SimSun"/>
        </w:rPr>
      </w:pPr>
    </w:p>
    <w:p w:rsidR="00D22B8E" w:rsidRDefault="00D22B8E" w:rsidP="00895D30">
      <w:pPr>
        <w:rPr>
          <w:rFonts w:ascii="SimSun" w:eastAsia="SimSun" w:hAnsi="SimSun" w:cs="SimSun"/>
        </w:rPr>
      </w:pPr>
    </w:p>
    <w:p w:rsidR="004E5A8A" w:rsidRDefault="004E5A8A" w:rsidP="00895D30">
      <w:pPr>
        <w:rPr>
          <w:rFonts w:ascii="SimSun" w:eastAsia="SimSun" w:hAnsi="SimSun" w:cs="SimSun"/>
        </w:rPr>
      </w:pPr>
    </w:p>
    <w:p w:rsidR="004E5A8A" w:rsidRDefault="004E5A8A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页面调用示例：</w:t>
      </w:r>
    </w:p>
    <w:p w:rsidR="00895D30" w:rsidRDefault="00895D30" w:rsidP="004F7E56"/>
    <w:p w:rsidR="00DF42B4" w:rsidRDefault="004E5A8A" w:rsidP="004F7E56">
      <w:pPr>
        <w:rPr>
          <w:rFonts w:ascii="SimSun" w:eastAsia="SimSun" w:hAnsi="SimSun" w:cs="SimSun"/>
        </w:rPr>
      </w:pPr>
      <w:r w:rsidRPr="004E5A8A">
        <w:rPr>
          <w:rFonts w:ascii="SimSun" w:eastAsia="SimSun" w:hAnsi="SimSun" w:cs="SimSun"/>
          <w:noProof/>
        </w:rPr>
        <w:drawing>
          <wp:inline distT="0" distB="0" distL="0" distR="0" wp14:anchorId="464F6DAD" wp14:editId="561E8CA1">
            <wp:extent cx="5943600" cy="2657475"/>
            <wp:effectExtent l="0" t="0" r="0" b="0"/>
            <wp:docPr id="198472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279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8A" w:rsidRDefault="004E5A8A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示例订阅：可以进入页面时调用订阅，注册订阅逻辑。</w:t>
      </w:r>
    </w:p>
    <w:p w:rsidR="004E5A8A" w:rsidRDefault="004E5A8A" w:rsidP="004F7E56">
      <w:pPr>
        <w:rPr>
          <w:rFonts w:ascii="SimSun" w:eastAsia="SimSun" w:hAnsi="SimSun" w:cs="SimSun"/>
        </w:rPr>
      </w:pPr>
      <w:r w:rsidRPr="004E5A8A">
        <w:rPr>
          <w:rFonts w:ascii="SimSun" w:eastAsia="SimSun" w:hAnsi="SimSun" w:cs="SimSun"/>
          <w:noProof/>
        </w:rPr>
        <w:drawing>
          <wp:inline distT="0" distB="0" distL="0" distR="0" wp14:anchorId="2786AFC0" wp14:editId="507E82F1">
            <wp:extent cx="5943600" cy="4144645"/>
            <wp:effectExtent l="0" t="0" r="0" b="0"/>
            <wp:docPr id="153384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47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8A" w:rsidRDefault="004E5A8A" w:rsidP="004F7E56">
      <w:pPr>
        <w:rPr>
          <w:rFonts w:ascii="SimSun" w:eastAsia="SimSun" w:hAnsi="SimSun" w:cs="SimSun"/>
        </w:rPr>
      </w:pPr>
    </w:p>
    <w:p w:rsidR="004E5A8A" w:rsidRDefault="004E5A8A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c</w:t>
      </w:r>
      <w:r>
        <w:rPr>
          <w:rFonts w:ascii="SimSun" w:eastAsia="SimSun" w:hAnsi="SimSun" w:cs="SimSun"/>
        </w:rPr>
        <w:t>onsume</w:t>
      </w:r>
      <w:r>
        <w:rPr>
          <w:rFonts w:ascii="SimSun" w:eastAsia="SimSun" w:hAnsi="SimSun" w:cs="SimSun" w:hint="eastAsia"/>
        </w:rPr>
        <w:t>为服务端回调逻辑：</w:t>
      </w:r>
    </w:p>
    <w:p w:rsidR="004E5A8A" w:rsidRDefault="004E5A8A" w:rsidP="004F7E56">
      <w:pPr>
        <w:rPr>
          <w:rFonts w:ascii="SimSun" w:eastAsia="SimSun" w:hAnsi="SimSun" w:cs="SimSun"/>
        </w:rPr>
      </w:pPr>
      <w:r w:rsidRPr="004E5A8A">
        <w:rPr>
          <w:rFonts w:ascii="SimSun" w:eastAsia="SimSun" w:hAnsi="SimSun" w:cs="SimSun"/>
          <w:noProof/>
        </w:rPr>
        <w:lastRenderedPageBreak/>
        <w:drawing>
          <wp:inline distT="0" distB="0" distL="0" distR="0" wp14:anchorId="27D56C93" wp14:editId="17034ECA">
            <wp:extent cx="5943600" cy="4098290"/>
            <wp:effectExtent l="0" t="0" r="0" b="3810"/>
            <wp:docPr id="186027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771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8A" w:rsidRDefault="004E5A8A" w:rsidP="004F7E56">
      <w:pPr>
        <w:rPr>
          <w:rFonts w:ascii="SimSun" w:eastAsia="SimSun" w:hAnsi="SimSun" w:cs="SimSun"/>
        </w:rPr>
      </w:pPr>
    </w:p>
    <w:p w:rsidR="004E5A8A" w:rsidRDefault="004E5A8A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异步消息回调示例：</w:t>
      </w:r>
    </w:p>
    <w:p w:rsidR="004E5A8A" w:rsidRDefault="004E5A8A" w:rsidP="004F7E56">
      <w:pPr>
        <w:rPr>
          <w:rFonts w:ascii="SimSun" w:eastAsia="SimSun" w:hAnsi="SimSun" w:cs="SimSun"/>
        </w:rPr>
      </w:pPr>
      <w:r w:rsidRPr="004E5A8A">
        <w:rPr>
          <w:rFonts w:ascii="SimSun" w:eastAsia="SimSun" w:hAnsi="SimSun" w:cs="SimSun"/>
          <w:noProof/>
        </w:rPr>
        <w:lastRenderedPageBreak/>
        <w:drawing>
          <wp:inline distT="0" distB="0" distL="0" distR="0" wp14:anchorId="3E9492B7" wp14:editId="2A0FE3B1">
            <wp:extent cx="5943600" cy="5152390"/>
            <wp:effectExtent l="0" t="0" r="0" b="3810"/>
            <wp:docPr id="77207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70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8A" w:rsidRDefault="004E5A8A" w:rsidP="004F7E56">
      <w:pPr>
        <w:rPr>
          <w:rFonts w:ascii="SimSun" w:eastAsia="SimSun" w:hAnsi="SimSun" w:cs="SimSun"/>
        </w:rPr>
      </w:pPr>
    </w:p>
    <w:p w:rsidR="004E5A8A" w:rsidRPr="00895D30" w:rsidRDefault="004E5A8A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a</w:t>
      </w:r>
      <w:r>
        <w:rPr>
          <w:rFonts w:ascii="SimSun" w:eastAsia="SimSun" w:hAnsi="SimSun" w:cs="SimSun"/>
        </w:rPr>
        <w:t>syncCallback</w:t>
      </w:r>
      <w:r>
        <w:rPr>
          <w:rFonts w:ascii="SimSun" w:eastAsia="SimSun" w:hAnsi="SimSun" w:cs="SimSun" w:hint="eastAsia"/>
        </w:rPr>
        <w:t>为服务端逻辑。</w:t>
      </w:r>
    </w:p>
    <w:sectPr w:rsidR="004E5A8A" w:rsidRPr="00895D30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3942"/>
    <w:multiLevelType w:val="hybridMultilevel"/>
    <w:tmpl w:val="C8E22EA0"/>
    <w:lvl w:ilvl="0" w:tplc="D4A67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E383FD5"/>
    <w:multiLevelType w:val="multilevel"/>
    <w:tmpl w:val="1E400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620B28"/>
    <w:multiLevelType w:val="multilevel"/>
    <w:tmpl w:val="38A09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F20258"/>
    <w:multiLevelType w:val="multilevel"/>
    <w:tmpl w:val="12440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472741"/>
    <w:multiLevelType w:val="multilevel"/>
    <w:tmpl w:val="343A1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7408BA"/>
    <w:multiLevelType w:val="multilevel"/>
    <w:tmpl w:val="F6BA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556C3B"/>
    <w:multiLevelType w:val="multilevel"/>
    <w:tmpl w:val="B82E3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0748A2"/>
    <w:multiLevelType w:val="multilevel"/>
    <w:tmpl w:val="843C6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BA389C"/>
    <w:multiLevelType w:val="multilevel"/>
    <w:tmpl w:val="F52A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B25913"/>
    <w:multiLevelType w:val="multilevel"/>
    <w:tmpl w:val="E57C4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7A426A"/>
    <w:multiLevelType w:val="multilevel"/>
    <w:tmpl w:val="5C967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E43C04"/>
    <w:multiLevelType w:val="multilevel"/>
    <w:tmpl w:val="5210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373DE5"/>
    <w:multiLevelType w:val="multilevel"/>
    <w:tmpl w:val="84D2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CC3D5D"/>
    <w:multiLevelType w:val="multilevel"/>
    <w:tmpl w:val="CF02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F3E09A5"/>
    <w:multiLevelType w:val="multilevel"/>
    <w:tmpl w:val="4C7C8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7919C1"/>
    <w:multiLevelType w:val="hybridMultilevel"/>
    <w:tmpl w:val="9DDA4D2A"/>
    <w:lvl w:ilvl="0" w:tplc="F230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628E3D1C"/>
    <w:multiLevelType w:val="multilevel"/>
    <w:tmpl w:val="30267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CB78F5"/>
    <w:multiLevelType w:val="multilevel"/>
    <w:tmpl w:val="34DA1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623E98"/>
    <w:multiLevelType w:val="multilevel"/>
    <w:tmpl w:val="0EFEA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5912F4"/>
    <w:multiLevelType w:val="multilevel"/>
    <w:tmpl w:val="A906F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DA22AF"/>
    <w:multiLevelType w:val="multilevel"/>
    <w:tmpl w:val="9FB69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640326"/>
    <w:multiLevelType w:val="multilevel"/>
    <w:tmpl w:val="F96E7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453DF1"/>
    <w:multiLevelType w:val="multilevel"/>
    <w:tmpl w:val="2890A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C042FE"/>
    <w:multiLevelType w:val="hybridMultilevel"/>
    <w:tmpl w:val="B6905074"/>
    <w:lvl w:ilvl="0" w:tplc="0B96C512">
      <w:start w:val="3"/>
      <w:numFmt w:val="bullet"/>
      <w:lvlText w:val=""/>
      <w:lvlJc w:val="left"/>
      <w:pPr>
        <w:ind w:left="360" w:hanging="360"/>
      </w:pPr>
      <w:rPr>
        <w:rFonts w:ascii="Wingdings" w:eastAsia="SimSun" w:hAnsi="Wingdings" w:cs="SimSu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7CB4521F"/>
    <w:multiLevelType w:val="multilevel"/>
    <w:tmpl w:val="82546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1610715">
    <w:abstractNumId w:val="15"/>
  </w:num>
  <w:num w:numId="2" w16cid:durableId="7681396">
    <w:abstractNumId w:val="0"/>
  </w:num>
  <w:num w:numId="3" w16cid:durableId="1261792472">
    <w:abstractNumId w:val="13"/>
  </w:num>
  <w:num w:numId="4" w16cid:durableId="1969817703">
    <w:abstractNumId w:val="11"/>
  </w:num>
  <w:num w:numId="5" w16cid:durableId="1515613468">
    <w:abstractNumId w:val="1"/>
  </w:num>
  <w:num w:numId="6" w16cid:durableId="1691909464">
    <w:abstractNumId w:val="4"/>
  </w:num>
  <w:num w:numId="7" w16cid:durableId="2062946815">
    <w:abstractNumId w:val="23"/>
  </w:num>
  <w:num w:numId="8" w16cid:durableId="340669948">
    <w:abstractNumId w:val="19"/>
  </w:num>
  <w:num w:numId="9" w16cid:durableId="691951408">
    <w:abstractNumId w:val="7"/>
  </w:num>
  <w:num w:numId="10" w16cid:durableId="934896425">
    <w:abstractNumId w:val="3"/>
  </w:num>
  <w:num w:numId="11" w16cid:durableId="1650792501">
    <w:abstractNumId w:val="18"/>
  </w:num>
  <w:num w:numId="12" w16cid:durableId="1618291462">
    <w:abstractNumId w:val="5"/>
  </w:num>
  <w:num w:numId="13" w16cid:durableId="1819686357">
    <w:abstractNumId w:val="10"/>
  </w:num>
  <w:num w:numId="14" w16cid:durableId="1405714343">
    <w:abstractNumId w:val="21"/>
  </w:num>
  <w:num w:numId="15" w16cid:durableId="940911154">
    <w:abstractNumId w:val="22"/>
  </w:num>
  <w:num w:numId="16" w16cid:durableId="844594360">
    <w:abstractNumId w:val="20"/>
  </w:num>
  <w:num w:numId="17" w16cid:durableId="411199827">
    <w:abstractNumId w:val="24"/>
  </w:num>
  <w:num w:numId="18" w16cid:durableId="1396471174">
    <w:abstractNumId w:val="16"/>
  </w:num>
  <w:num w:numId="19" w16cid:durableId="517472699">
    <w:abstractNumId w:val="17"/>
  </w:num>
  <w:num w:numId="20" w16cid:durableId="1887331857">
    <w:abstractNumId w:val="2"/>
  </w:num>
  <w:num w:numId="21" w16cid:durableId="317417864">
    <w:abstractNumId w:val="14"/>
  </w:num>
  <w:num w:numId="22" w16cid:durableId="1861821984">
    <w:abstractNumId w:val="8"/>
  </w:num>
  <w:num w:numId="23" w16cid:durableId="1265265625">
    <w:abstractNumId w:val="12"/>
  </w:num>
  <w:num w:numId="24" w16cid:durableId="1957592164">
    <w:abstractNumId w:val="6"/>
  </w:num>
  <w:num w:numId="25" w16cid:durableId="4366819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96"/>
    <w:rsid w:val="00024097"/>
    <w:rsid w:val="00027143"/>
    <w:rsid w:val="00042C6B"/>
    <w:rsid w:val="000A56E9"/>
    <w:rsid w:val="00170B05"/>
    <w:rsid w:val="001A0496"/>
    <w:rsid w:val="001E05A4"/>
    <w:rsid w:val="003049E6"/>
    <w:rsid w:val="0040718A"/>
    <w:rsid w:val="004E5A8A"/>
    <w:rsid w:val="004F7E56"/>
    <w:rsid w:val="005C1678"/>
    <w:rsid w:val="00895D30"/>
    <w:rsid w:val="00A43D20"/>
    <w:rsid w:val="00BC561B"/>
    <w:rsid w:val="00CA2A13"/>
    <w:rsid w:val="00D22B8E"/>
    <w:rsid w:val="00D57771"/>
    <w:rsid w:val="00D95F6A"/>
    <w:rsid w:val="00DF4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F2C6DAFF-5B4F-A941-9517-85068322F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D30"/>
    <w:rPr>
      <w:rFonts w:ascii="Times New Roman" w:eastAsia="Times New Roman" w:hAnsi="Times New Roman" w:cs="Times New Roman"/>
      <w:kern w:val="0"/>
      <w:sz w:val="24"/>
      <w:lang w:val="en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496"/>
    <w:pPr>
      <w:keepNext/>
      <w:keepLines/>
      <w:spacing w:before="480" w:after="80"/>
      <w:outlineLvl w:val="0"/>
    </w:pPr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496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496"/>
    <w:pPr>
      <w:keepNext/>
      <w:keepLines/>
      <w:spacing w:before="160" w:after="80"/>
      <w:outlineLvl w:val="2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496"/>
    <w:pPr>
      <w:keepNext/>
      <w:keepLines/>
      <w:spacing w:before="80" w:after="40"/>
      <w:outlineLvl w:val="3"/>
    </w:pPr>
    <w:rPr>
      <w:rFonts w:cs="Mangal"/>
      <w:color w:val="0F4761" w:themeColor="accent1" w:themeShade="BF"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496"/>
    <w:pPr>
      <w:keepNext/>
      <w:keepLines/>
      <w:spacing w:before="80" w:after="40"/>
      <w:outlineLvl w:val="4"/>
    </w:pPr>
    <w:rPr>
      <w:rFonts w:cs="Mangal"/>
      <w:color w:val="0F4761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496"/>
    <w:pPr>
      <w:keepNext/>
      <w:keepLines/>
      <w:spacing w:before="40"/>
      <w:outlineLvl w:val="5"/>
    </w:pPr>
    <w:rPr>
      <w:rFonts w:cs="Mangal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496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496"/>
    <w:pPr>
      <w:keepNext/>
      <w:keepLines/>
      <w:outlineLvl w:val="7"/>
    </w:pPr>
    <w:rPr>
      <w:rFonts w:cs="Mangal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496"/>
    <w:pPr>
      <w:keepNext/>
      <w:keepLines/>
      <w:outlineLvl w:val="8"/>
    </w:pPr>
    <w:rPr>
      <w:rFonts w:eastAsiaTheme="majorEastAsia" w:cs="Mangal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character" w:customStyle="1" w:styleId="Heading2Char">
    <w:name w:val="Heading 2 Char"/>
    <w:basedOn w:val="DefaultParagraphFont"/>
    <w:link w:val="Heading2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496"/>
    <w:rPr>
      <w:rFonts w:cs="Mangal"/>
      <w:color w:val="0F4761" w:themeColor="accent1" w:themeShade="BF"/>
      <w:sz w:val="28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496"/>
    <w:rPr>
      <w:rFonts w:cs="Mangal"/>
      <w:color w:val="0F4761" w:themeColor="accent1" w:themeShade="BF"/>
      <w:sz w:val="24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496"/>
    <w:rPr>
      <w:rFonts w:cs="Mangal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496"/>
    <w:rPr>
      <w:rFonts w:cs="Mangal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496"/>
    <w:rPr>
      <w:rFonts w:cs="Mangal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496"/>
    <w:rPr>
      <w:rFonts w:eastAsiaTheme="majorEastAsia" w:cs="Mangal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A0496"/>
    <w:pPr>
      <w:spacing w:after="80"/>
      <w:contextualSpacing/>
      <w:jc w:val="center"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A0496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496"/>
    <w:pPr>
      <w:numPr>
        <w:ilvl w:val="1"/>
      </w:numPr>
      <w:spacing w:after="160"/>
      <w:jc w:val="center"/>
    </w:pPr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A0496"/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A0496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49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496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1A04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49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4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95D30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02714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5777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77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2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cloud.tencent.com/trocketmq/index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2024-04-13T02:26:00Z</dcterms:created>
  <dcterms:modified xsi:type="dcterms:W3CDTF">2024-05-23T17:12:00Z</dcterms:modified>
</cp:coreProperties>
</file>