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f98870b7" w14:textId="f98870b7">
      <w:pPr>
        <w15:collapsed w:val="false"/>
      </w:pPr>
      <w:bookmarkStart w:name="_GoBack" w:id="0"/>
      <w:bookmarkEnd w:id="0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>iris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4" name="/var/folders/51/6jygptvs3bb4njv0t6x7br900000gn/T/Rtmp6CyRam/file93a5707eb13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/var/folders/51/6jygptvs3bb4njv0t6x7br900000gn/T/Rtmp6CyRam/file93a5707eb138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iris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>iris table</w:t>
      </w:r>
    </w:p>
    <w:p>
      <w:pPr>
        <w:pStyle w:val="Titre1"/>
      </w:pPr>
      <w:r>
        <w:t>mtcars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24" name="/var/folders/51/6jygptvs3bb4njv0t6x7br900000gn/T/Rtmp6CyRam/file93a5da50d3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/var/folders/51/6jygptvs3bb4njv0t6x7br900000gn/T/Rtmp6CyRam/file93a5da50d3b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mtcars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