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0252ba" w14:textId="300252ba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