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A036" w14:textId="77777777" w:rsidR="005855AD" w:rsidRDefault="005855AD" w:rsidP="00B312E5">
      <w:pPr>
        <w:pStyle w:val="NormalWeb"/>
        <w:spacing w:after="240" w:afterAutospacing="0"/>
        <w:rPr>
          <w:rFonts w:ascii="Helvetica" w:hAnsi="Helvetica"/>
          <w:color w:val="333333"/>
          <w:sz w:val="20"/>
          <w:szCs w:val="20"/>
        </w:rPr>
      </w:pPr>
      <w:bookmarkStart w:id="0" w:name="_GoBack"/>
      <w:r>
        <w:rPr>
          <w:rFonts w:ascii="Helvetica" w:hAnsi="Helvetica"/>
          <w:color w:val="333333"/>
          <w:sz w:val="20"/>
          <w:szCs w:val="20"/>
        </w:rPr>
        <w:t xml:space="preserve">Dear Colleague, </w:t>
      </w:r>
    </w:p>
    <w:p w14:paraId="0E012504" w14:textId="35C90EF0" w:rsidR="00AF4E4B" w:rsidRDefault="005A1336" w:rsidP="00AF4E4B">
      <w:pPr>
        <w:pStyle w:val="NormalWeb"/>
        <w:spacing w:after="240" w:afterAutospacing="0"/>
        <w:rPr>
          <w:rFonts w:ascii="Helvetica" w:hAnsi="Helvetica"/>
          <w:color w:val="333333"/>
          <w:sz w:val="20"/>
          <w:szCs w:val="20"/>
        </w:rPr>
      </w:pPr>
      <w:r w:rsidRPr="00D15B19">
        <w:rPr>
          <w:rFonts w:ascii="Helvetica" w:hAnsi="Helvetica"/>
          <w:color w:val="333333"/>
          <w:sz w:val="20"/>
          <w:szCs w:val="20"/>
        </w:rPr>
        <w:t>Today</w:t>
      </w:r>
      <w:r w:rsidR="00230C56">
        <w:rPr>
          <w:rFonts w:ascii="Helvetica" w:hAnsi="Helvetica"/>
          <w:color w:val="333333"/>
          <w:sz w:val="20"/>
          <w:szCs w:val="20"/>
        </w:rPr>
        <w:t>, alongside our regular update of the Hutchins Center Fiscal Impact Measure (FIM</w:t>
      </w:r>
      <w:proofErr w:type="gramStart"/>
      <w:r w:rsidR="00230C56">
        <w:rPr>
          <w:rFonts w:ascii="Helvetica" w:hAnsi="Helvetica"/>
          <w:color w:val="333333"/>
          <w:sz w:val="20"/>
          <w:szCs w:val="20"/>
        </w:rPr>
        <w:t xml:space="preserve">), </w:t>
      </w:r>
      <w:r w:rsidRPr="00D15B19">
        <w:rPr>
          <w:rFonts w:ascii="Helvetica" w:hAnsi="Helvetica"/>
          <w:color w:val="333333"/>
          <w:sz w:val="20"/>
          <w:szCs w:val="20"/>
        </w:rPr>
        <w:t xml:space="preserve"> </w:t>
      </w:r>
      <w:r w:rsidR="00AF4E4B">
        <w:rPr>
          <w:rFonts w:ascii="Helvetica" w:hAnsi="Helvetica"/>
          <w:color w:val="333333"/>
          <w:sz w:val="20"/>
          <w:szCs w:val="20"/>
        </w:rPr>
        <w:t>we</w:t>
      </w:r>
      <w:proofErr w:type="gramEnd"/>
      <w:r w:rsidR="00AF4E4B">
        <w:rPr>
          <w:rFonts w:ascii="Helvetica" w:hAnsi="Helvetica"/>
          <w:color w:val="333333"/>
          <w:sz w:val="20"/>
          <w:szCs w:val="20"/>
        </w:rPr>
        <w:t xml:space="preserve"> beg</w:t>
      </w:r>
      <w:r w:rsidR="00230C56">
        <w:rPr>
          <w:rFonts w:ascii="Helvetica" w:hAnsi="Helvetica"/>
          <w:color w:val="333333"/>
          <w:sz w:val="20"/>
          <w:szCs w:val="20"/>
        </w:rPr>
        <w:t>i</w:t>
      </w:r>
      <w:r w:rsidR="00AF4E4B">
        <w:rPr>
          <w:rFonts w:ascii="Helvetica" w:hAnsi="Helvetica"/>
          <w:color w:val="333333"/>
          <w:sz w:val="20"/>
          <w:szCs w:val="20"/>
        </w:rPr>
        <w:t>n</w:t>
      </w:r>
      <w:r w:rsidR="00AF4E4B" w:rsidRPr="00D15B19">
        <w:rPr>
          <w:rFonts w:ascii="Helvetica" w:hAnsi="Helvetica"/>
          <w:color w:val="333333"/>
          <w:sz w:val="20"/>
          <w:szCs w:val="20"/>
        </w:rPr>
        <w:t xml:space="preserve"> publishing a </w:t>
      </w:r>
      <w:r w:rsidR="00230C56">
        <w:rPr>
          <w:rFonts w:ascii="Helvetica" w:hAnsi="Helvetica"/>
          <w:color w:val="333333"/>
          <w:sz w:val="20"/>
          <w:szCs w:val="20"/>
        </w:rPr>
        <w:t xml:space="preserve">two-year </w:t>
      </w:r>
      <w:r w:rsidR="00AF4E4B" w:rsidRPr="00D15B19">
        <w:rPr>
          <w:rFonts w:ascii="Helvetica" w:hAnsi="Helvetica"/>
          <w:color w:val="333333"/>
          <w:sz w:val="20"/>
          <w:szCs w:val="20"/>
        </w:rPr>
        <w:t>forecast</w:t>
      </w:r>
      <w:r w:rsidR="00AF4E4B">
        <w:rPr>
          <w:rFonts w:ascii="Helvetica" w:hAnsi="Helvetica"/>
          <w:color w:val="333333"/>
          <w:sz w:val="20"/>
          <w:szCs w:val="20"/>
        </w:rPr>
        <w:t xml:space="preserve"> </w:t>
      </w:r>
      <w:r w:rsidR="00230C56">
        <w:rPr>
          <w:rFonts w:ascii="Helvetica" w:hAnsi="Helvetica"/>
          <w:color w:val="333333"/>
          <w:sz w:val="20"/>
          <w:szCs w:val="20"/>
        </w:rPr>
        <w:t xml:space="preserve"> The FIM estimates the effect of local, state and federal </w:t>
      </w:r>
      <w:r w:rsidR="00AF4E4B" w:rsidRPr="00D15B19">
        <w:rPr>
          <w:rFonts w:ascii="Helvetica" w:hAnsi="Helvetica"/>
          <w:color w:val="333333"/>
          <w:sz w:val="20"/>
          <w:szCs w:val="20"/>
        </w:rPr>
        <w:t xml:space="preserve">fiscal policies </w:t>
      </w:r>
      <w:r w:rsidR="00230C56">
        <w:rPr>
          <w:rFonts w:ascii="Helvetica" w:hAnsi="Helvetica"/>
          <w:color w:val="333333"/>
          <w:sz w:val="20"/>
          <w:szCs w:val="20"/>
        </w:rPr>
        <w:t xml:space="preserve">on GDP growth. </w:t>
      </w:r>
      <w:r w:rsidR="00AF4E4B">
        <w:rPr>
          <w:rFonts w:ascii="Helvetica" w:hAnsi="Helvetica"/>
          <w:color w:val="333333"/>
          <w:sz w:val="20"/>
          <w:szCs w:val="20"/>
        </w:rPr>
        <w:t>The latest data show that g</w:t>
      </w:r>
      <w:r w:rsidR="00AF4E4B" w:rsidRPr="00D15B19">
        <w:rPr>
          <w:rFonts w:ascii="Helvetica" w:hAnsi="Helvetica"/>
          <w:color w:val="333333"/>
          <w:sz w:val="20"/>
          <w:szCs w:val="20"/>
        </w:rPr>
        <w:t>overnment spending and tax policies</w:t>
      </w:r>
      <w:r w:rsidR="00AF4E4B">
        <w:rPr>
          <w:rFonts w:ascii="Helvetica" w:hAnsi="Helvetica"/>
          <w:color w:val="333333"/>
          <w:sz w:val="20"/>
          <w:szCs w:val="20"/>
        </w:rPr>
        <w:t xml:space="preserve"> </w:t>
      </w:r>
      <w:r w:rsidR="00AF4E4B" w:rsidRPr="00D15B19">
        <w:rPr>
          <w:rFonts w:ascii="Helvetica" w:hAnsi="Helvetica"/>
          <w:color w:val="333333"/>
          <w:sz w:val="20"/>
          <w:szCs w:val="20"/>
        </w:rPr>
        <w:t xml:space="preserve">added </w:t>
      </w:r>
      <w:r w:rsidR="00AF4E4B">
        <w:rPr>
          <w:rFonts w:ascii="Helvetica" w:hAnsi="Helvetica"/>
          <w:color w:val="333333"/>
          <w:sz w:val="20"/>
          <w:szCs w:val="20"/>
        </w:rPr>
        <w:t>[0.5]</w:t>
      </w:r>
      <w:r w:rsidR="00AF4E4B" w:rsidRPr="00D15B19">
        <w:rPr>
          <w:rFonts w:ascii="Helvetica" w:hAnsi="Helvetica"/>
          <w:color w:val="333333"/>
          <w:sz w:val="20"/>
          <w:szCs w:val="20"/>
        </w:rPr>
        <w:t xml:space="preserve"> of a percentage point to growth in inflation-adjusted Gross Domestic Product (GDP) in the second quarter of 2019</w:t>
      </w:r>
      <w:r w:rsidR="00AF4E4B">
        <w:rPr>
          <w:rFonts w:ascii="Helvetica" w:hAnsi="Helvetica"/>
          <w:color w:val="333333"/>
          <w:sz w:val="20"/>
          <w:szCs w:val="20"/>
        </w:rPr>
        <w:t xml:space="preserve">, </w:t>
      </w:r>
      <w:r w:rsidR="00230C56">
        <w:rPr>
          <w:rFonts w:ascii="Helvetica" w:hAnsi="Helvetica"/>
          <w:color w:val="333333"/>
          <w:sz w:val="20"/>
          <w:szCs w:val="20"/>
        </w:rPr>
        <w:t xml:space="preserve">relative to potential. We </w:t>
      </w:r>
      <w:r w:rsidR="00AF4E4B">
        <w:rPr>
          <w:rFonts w:ascii="Helvetica" w:hAnsi="Helvetica"/>
          <w:color w:val="333333"/>
          <w:sz w:val="20"/>
          <w:szCs w:val="20"/>
        </w:rPr>
        <w:t>expect these policies will continue to support growth through the end of the year.</w:t>
      </w:r>
    </w:p>
    <w:p w14:paraId="5CF5C56C" w14:textId="77777777" w:rsidR="005A1336" w:rsidRPr="00D15B19" w:rsidRDefault="00EB49D1" w:rsidP="00AF4E4B">
      <w:pPr>
        <w:pStyle w:val="NormalWeb"/>
        <w:spacing w:after="240" w:afterAutospacing="0"/>
        <w:jc w:val="center"/>
        <w:rPr>
          <w:rFonts w:ascii="Helvetica Neue" w:hAnsi="Helvetica Neue"/>
          <w:color w:val="333333"/>
          <w:sz w:val="20"/>
          <w:szCs w:val="20"/>
        </w:rPr>
      </w:pPr>
      <w:hyperlink r:id="rId7" w:tgtFrame="_blank" w:history="1">
        <w:r w:rsidR="005A1336" w:rsidRPr="00D15B19">
          <w:rPr>
            <w:rStyle w:val="Hyperlink"/>
            <w:rFonts w:ascii="Helvetica" w:hAnsi="Helvetica"/>
            <w:b/>
            <w:bCs/>
            <w:color w:val="3574E3"/>
            <w:sz w:val="20"/>
            <w:szCs w:val="20"/>
          </w:rPr>
          <w:t>View the updated FIM</w:t>
        </w:r>
      </w:hyperlink>
    </w:p>
    <w:p w14:paraId="5BA39833" w14:textId="38E8027D" w:rsidR="005A1336" w:rsidRDefault="005A1336" w:rsidP="00B312E5">
      <w:pPr>
        <w:pStyle w:val="NormalWeb"/>
        <w:spacing w:after="240" w:afterAutospacing="0"/>
        <w:rPr>
          <w:rFonts w:ascii="Helvetica" w:hAnsi="Helvetica"/>
          <w:color w:val="333333"/>
          <w:sz w:val="20"/>
          <w:szCs w:val="20"/>
        </w:rPr>
      </w:pPr>
      <w:r w:rsidRPr="00D15B19">
        <w:rPr>
          <w:rFonts w:ascii="Helvetica" w:hAnsi="Helvetica"/>
          <w:color w:val="333333"/>
          <w:sz w:val="20"/>
          <w:szCs w:val="20"/>
        </w:rPr>
        <w:t xml:space="preserve">Investment by state and local governments has continued to add to the pace of GDP growth in 2019 even as the waning effects of federal legislation and the partial government shutdown in January 2019 weighed on some components of the FIM. </w:t>
      </w:r>
    </w:p>
    <w:p w14:paraId="37B43746" w14:textId="48833052" w:rsidR="00FC38E6" w:rsidRPr="00D15B19" w:rsidRDefault="00FC38E6" w:rsidP="00FC38E6">
      <w:pPr>
        <w:pStyle w:val="NormalWeb"/>
        <w:spacing w:after="240" w:afterAutospacing="0"/>
        <w:jc w:val="center"/>
        <w:rPr>
          <w:rFonts w:ascii="Helvetica" w:hAnsi="Helvetica"/>
          <w:color w:val="333333"/>
          <w:sz w:val="20"/>
          <w:szCs w:val="20"/>
        </w:rPr>
      </w:pPr>
      <w:r>
        <w:rPr>
          <w:noProof/>
        </w:rPr>
        <w:drawing>
          <wp:inline distT="0" distB="0" distL="0" distR="0" wp14:anchorId="6F2573F0" wp14:editId="32726DA2">
            <wp:extent cx="4428699" cy="3321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9781" cy="3329835"/>
                    </a:xfrm>
                    <a:prstGeom prst="rect">
                      <a:avLst/>
                    </a:prstGeom>
                    <a:noFill/>
                    <a:ln>
                      <a:noFill/>
                    </a:ln>
                  </pic:spPr>
                </pic:pic>
              </a:graphicData>
            </a:graphic>
          </wp:inline>
        </w:drawing>
      </w:r>
    </w:p>
    <w:p w14:paraId="20553587" w14:textId="54151E66" w:rsidR="005A1336" w:rsidRPr="00D15B19" w:rsidRDefault="00AF4E4B" w:rsidP="00FC38E6">
      <w:pPr>
        <w:pStyle w:val="NormalWeb"/>
        <w:spacing w:after="240" w:afterAutospacing="0"/>
        <w:rPr>
          <w:rFonts w:ascii="Helvetica" w:hAnsi="Helvetica"/>
          <w:color w:val="333333"/>
          <w:sz w:val="20"/>
          <w:szCs w:val="20"/>
        </w:rPr>
      </w:pPr>
      <w:r>
        <w:rPr>
          <w:rFonts w:ascii="Helvetica" w:hAnsi="Helvetica"/>
          <w:color w:val="333333"/>
          <w:sz w:val="20"/>
          <w:szCs w:val="20"/>
        </w:rPr>
        <w:t>We estimate that under the spending deal reached by congressional leadership and White House officials last week, federal spending will add about [0.</w:t>
      </w:r>
      <w:r w:rsidR="0082633B">
        <w:rPr>
          <w:rFonts w:ascii="Helvetica" w:hAnsi="Helvetica"/>
          <w:color w:val="333333"/>
          <w:sz w:val="20"/>
          <w:szCs w:val="20"/>
        </w:rPr>
        <w:t>2</w:t>
      </w:r>
      <w:r>
        <w:rPr>
          <w:rFonts w:ascii="Helvetica" w:hAnsi="Helvetica"/>
          <w:color w:val="333333"/>
          <w:sz w:val="20"/>
          <w:szCs w:val="20"/>
        </w:rPr>
        <w:t xml:space="preserve">] percentage points to GDP </w:t>
      </w:r>
      <w:r w:rsidR="00BD2B51">
        <w:rPr>
          <w:rFonts w:ascii="Helvetica" w:hAnsi="Helvetica"/>
          <w:color w:val="333333"/>
          <w:sz w:val="20"/>
          <w:szCs w:val="20"/>
        </w:rPr>
        <w:t>in the fiscal year that begins October 1</w:t>
      </w:r>
      <w:r w:rsidR="00BD2B51" w:rsidRPr="00BD2B51">
        <w:rPr>
          <w:rFonts w:ascii="Helvetica" w:hAnsi="Helvetica"/>
          <w:color w:val="333333"/>
          <w:sz w:val="20"/>
          <w:szCs w:val="20"/>
          <w:vertAlign w:val="superscript"/>
        </w:rPr>
        <w:t>st</w:t>
      </w:r>
      <w:r>
        <w:rPr>
          <w:rFonts w:ascii="Helvetica" w:hAnsi="Helvetica"/>
          <w:color w:val="333333"/>
          <w:sz w:val="20"/>
          <w:szCs w:val="20"/>
        </w:rPr>
        <w:t xml:space="preserve">. We </w:t>
      </w:r>
      <w:r w:rsidR="002D6ECC">
        <w:rPr>
          <w:rFonts w:ascii="Helvetica" w:hAnsi="Helvetica"/>
          <w:color w:val="333333"/>
          <w:sz w:val="20"/>
          <w:szCs w:val="20"/>
        </w:rPr>
        <w:t>project</w:t>
      </w:r>
      <w:r>
        <w:rPr>
          <w:rFonts w:ascii="Helvetica" w:hAnsi="Helvetica"/>
          <w:color w:val="333333"/>
          <w:sz w:val="20"/>
          <w:szCs w:val="20"/>
        </w:rPr>
        <w:t xml:space="preserve"> </w:t>
      </w:r>
      <w:r w:rsidR="00D15B19">
        <w:rPr>
          <w:rFonts w:ascii="Helvetica" w:hAnsi="Helvetica"/>
          <w:color w:val="333333"/>
          <w:sz w:val="20"/>
          <w:szCs w:val="20"/>
        </w:rPr>
        <w:t xml:space="preserve">that federal social benefits and tax policies, which gave an unexpected boost to consumption in the first quarter of 2019, will continue to encourage household spending through the end of the year. </w:t>
      </w:r>
      <w:r>
        <w:rPr>
          <w:rFonts w:ascii="Helvetica" w:hAnsi="Helvetica"/>
          <w:color w:val="333333"/>
          <w:sz w:val="20"/>
          <w:szCs w:val="20"/>
        </w:rPr>
        <w:t xml:space="preserve">Meanwhile, spending at the state and local level is </w:t>
      </w:r>
      <w:r w:rsidR="001C417A">
        <w:rPr>
          <w:rFonts w:ascii="Helvetica" w:hAnsi="Helvetica"/>
          <w:color w:val="333333"/>
          <w:sz w:val="20"/>
          <w:szCs w:val="20"/>
        </w:rPr>
        <w:t>projected</w:t>
      </w:r>
      <w:r>
        <w:rPr>
          <w:rFonts w:ascii="Helvetica" w:hAnsi="Helvetica"/>
          <w:color w:val="333333"/>
          <w:sz w:val="20"/>
          <w:szCs w:val="20"/>
        </w:rPr>
        <w:t xml:space="preserve"> to slow and have a smaller effect on growth. </w:t>
      </w:r>
    </w:p>
    <w:p w14:paraId="7FF340E6" w14:textId="77777777" w:rsidR="005A1336" w:rsidRPr="00D15B19" w:rsidRDefault="005A1336" w:rsidP="00B312E5">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 xml:space="preserve">Want to know more about the FIM? </w:t>
      </w:r>
      <w:hyperlink r:id="rId9" w:tgtFrame="_blank" w:history="1">
        <w:r w:rsidRPr="00D15B19">
          <w:rPr>
            <w:rStyle w:val="Hyperlink"/>
            <w:rFonts w:ascii="Helvetica" w:hAnsi="Helvetica"/>
            <w:color w:val="3574E3"/>
            <w:sz w:val="20"/>
            <w:szCs w:val="20"/>
          </w:rPr>
          <w:t>Read an explainer on the methodology</w:t>
        </w:r>
      </w:hyperlink>
      <w:r w:rsidRPr="00D15B19">
        <w:rPr>
          <w:rFonts w:ascii="Helvetica" w:hAnsi="Helvetica"/>
          <w:color w:val="333333"/>
          <w:sz w:val="20"/>
          <w:szCs w:val="20"/>
        </w:rPr>
        <w:t>.</w:t>
      </w:r>
    </w:p>
    <w:p w14:paraId="320DB4FC" w14:textId="77777777" w:rsidR="005A1336" w:rsidRPr="00D15B19" w:rsidRDefault="005A1336" w:rsidP="00B312E5">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Sincerely,</w:t>
      </w:r>
    </w:p>
    <w:p w14:paraId="52E50415" w14:textId="77777777" w:rsidR="005A1336" w:rsidRPr="00D15B19" w:rsidRDefault="005A1336" w:rsidP="00B312E5">
      <w:pPr>
        <w:pStyle w:val="NormalWeb"/>
        <w:spacing w:after="240" w:afterAutospacing="0"/>
        <w:rPr>
          <w:rFonts w:ascii="Helvetica Neue" w:hAnsi="Helvetica Neue"/>
          <w:color w:val="333333"/>
          <w:sz w:val="20"/>
          <w:szCs w:val="20"/>
        </w:rPr>
      </w:pPr>
      <w:r w:rsidRPr="00D15B19">
        <w:rPr>
          <w:rFonts w:ascii="Helvetica" w:hAnsi="Helvetica"/>
          <w:color w:val="333333"/>
          <w:sz w:val="20"/>
          <w:szCs w:val="20"/>
        </w:rPr>
        <w:t>David Wessel</w:t>
      </w:r>
    </w:p>
    <w:p w14:paraId="776C9EAA" w14:textId="6B344B1D" w:rsidR="005A1336" w:rsidRPr="006073FF" w:rsidRDefault="005A1336" w:rsidP="00B312E5">
      <w:pPr>
        <w:pStyle w:val="NormalWeb"/>
        <w:spacing w:after="240" w:afterAutospacing="0"/>
        <w:rPr>
          <w:rFonts w:ascii="Helvetica" w:hAnsi="Helvetica"/>
          <w:color w:val="333333"/>
          <w:sz w:val="20"/>
          <w:szCs w:val="20"/>
        </w:rPr>
      </w:pPr>
      <w:r w:rsidRPr="00D15B19">
        <w:rPr>
          <w:rFonts w:ascii="Helvetica" w:hAnsi="Helvetica"/>
          <w:color w:val="333333"/>
          <w:sz w:val="20"/>
          <w:szCs w:val="20"/>
        </w:rPr>
        <w:t>Director, Hutchins Center on Fiscal and Monetary Policy at Brooking</w:t>
      </w:r>
    </w:p>
    <w:bookmarkEnd w:id="0"/>
    <w:p w14:paraId="1D0FE1D6" w14:textId="77777777" w:rsidR="00070AD0" w:rsidRPr="00D15B19" w:rsidRDefault="00EB49D1" w:rsidP="00B312E5">
      <w:pPr>
        <w:spacing w:line="240" w:lineRule="auto"/>
        <w:rPr>
          <w:sz w:val="20"/>
          <w:szCs w:val="20"/>
        </w:rPr>
      </w:pPr>
    </w:p>
    <w:sectPr w:rsidR="00070AD0" w:rsidRPr="00D1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36"/>
    <w:rsid w:val="000E298A"/>
    <w:rsid w:val="001C417A"/>
    <w:rsid w:val="00230C56"/>
    <w:rsid w:val="002B0300"/>
    <w:rsid w:val="002C4D79"/>
    <w:rsid w:val="002D6ECC"/>
    <w:rsid w:val="00566CE6"/>
    <w:rsid w:val="005855AD"/>
    <w:rsid w:val="005A1336"/>
    <w:rsid w:val="006073FF"/>
    <w:rsid w:val="0082633B"/>
    <w:rsid w:val="00AF4E4B"/>
    <w:rsid w:val="00B312E5"/>
    <w:rsid w:val="00BD2B51"/>
    <w:rsid w:val="00C56957"/>
    <w:rsid w:val="00D15B19"/>
    <w:rsid w:val="00D90198"/>
    <w:rsid w:val="00EB49D1"/>
    <w:rsid w:val="00FC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4D4"/>
  <w15:chartTrackingRefBased/>
  <w15:docId w15:val="{A0FAD05B-939C-4E69-ABB6-388A0CA8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336"/>
    <w:rPr>
      <w:color w:val="0563C1"/>
      <w:u w:val="single"/>
    </w:rPr>
  </w:style>
  <w:style w:type="paragraph" w:styleId="NormalWeb">
    <w:name w:val="Normal (Web)"/>
    <w:basedOn w:val="Normal"/>
    <w:uiPriority w:val="99"/>
    <w:unhideWhenUsed/>
    <w:rsid w:val="005A1336"/>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5A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1826">
      <w:bodyDiv w:val="1"/>
      <w:marLeft w:val="0"/>
      <w:marRight w:val="0"/>
      <w:marTop w:val="0"/>
      <w:marBottom w:val="0"/>
      <w:divBdr>
        <w:top w:val="none" w:sz="0" w:space="0" w:color="auto"/>
        <w:left w:val="none" w:sz="0" w:space="0" w:color="auto"/>
        <w:bottom w:val="none" w:sz="0" w:space="0" w:color="auto"/>
        <w:right w:val="none" w:sz="0" w:space="0" w:color="auto"/>
      </w:divBdr>
    </w:div>
    <w:div w:id="815032439">
      <w:bodyDiv w:val="1"/>
      <w:marLeft w:val="0"/>
      <w:marRight w:val="0"/>
      <w:marTop w:val="0"/>
      <w:marBottom w:val="0"/>
      <w:divBdr>
        <w:top w:val="none" w:sz="0" w:space="0" w:color="auto"/>
        <w:left w:val="none" w:sz="0" w:space="0" w:color="auto"/>
        <w:bottom w:val="none" w:sz="0" w:space="0" w:color="auto"/>
        <w:right w:val="none" w:sz="0" w:space="0" w:color="auto"/>
      </w:divBdr>
    </w:div>
    <w:div w:id="2017997245">
      <w:bodyDiv w:val="1"/>
      <w:marLeft w:val="0"/>
      <w:marRight w:val="0"/>
      <w:marTop w:val="0"/>
      <w:marBottom w:val="0"/>
      <w:divBdr>
        <w:top w:val="none" w:sz="0" w:space="0" w:color="auto"/>
        <w:left w:val="none" w:sz="0" w:space="0" w:color="auto"/>
        <w:bottom w:val="none" w:sz="0" w:space="0" w:color="auto"/>
        <w:right w:val="none" w:sz="0" w:space="0" w:color="auto"/>
      </w:divBdr>
    </w:div>
    <w:div w:id="2033023261">
      <w:bodyDiv w:val="1"/>
      <w:marLeft w:val="0"/>
      <w:marRight w:val="0"/>
      <w:marTop w:val="0"/>
      <w:marBottom w:val="0"/>
      <w:divBdr>
        <w:top w:val="none" w:sz="0" w:space="0" w:color="auto"/>
        <w:left w:val="none" w:sz="0" w:space="0" w:color="auto"/>
        <w:bottom w:val="none" w:sz="0" w:space="0" w:color="auto"/>
        <w:right w:val="none" w:sz="0" w:space="0" w:color="auto"/>
      </w:divBdr>
    </w:div>
    <w:div w:id="21300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hyperlink" Target="https://na01.safelinks.protection.outlook.com/?url=https%3A%2F%2Fconnect.brookings.edu%2Fe2t%2Fc%2F*W3m7zS762Y59ZW3PKW3w4kf0p30%2F*W5H3HzF3xqskfN2MYcK9d0pFH0%2F5%2Ff18dQhb0Sq5G93BlP4W8SMVYk6ghkRDVWs4R0580j8qW5r8vwP3mm44rN5y5LkQQc8B5W3Q0gwy8CZlf6W8zw4Yk5_MRglN5xKmK5Sc_K4W5vf5HC8p-PpCW66wzpL7KKkcfVKnrlQ4b_DmRW4fNngL54SnQsW8_dDry4bJ02hW4LxS8p4s7W_hW5K57Wq2z94dxW3LLK525DF3vbW5ZpycS57-ZBTW83C5JP37RhtbW7NrMZs3ndf-_W5LzkJg6NZvVdN2zP36grX3l1W6VzDtY1fnkPtW24X5S42BHNMlVj8tbN480Y-xW5Nq0rF7SFP1SW8qb3Y-5FL_2PW7hlJ_d5qzZppW1R18_75bbDYKN4Pv86f5X_1yf13Dr_T02&amp;data=01%7C01%7Ctkelly%40brookings.edu%7C674b371065de4c96643308d63da7b91f%7C0a02388e617845139b8288b9dc6bf457%7C1&amp;sdata=x9YDpI2vtI6N4Z8iPTYF1UhaGzdg8i4VcgWZdLUfem0%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a01.safelinks.protection.outlook.com/?url=https%3A%2F%2Fconnect.brookings.edu%2Fe2t%2Fc%2F*W3m7zS762Y59ZW3PKW3w4kf0p30%2F*W5BBs1d2cRhSSW8pWj_Z9jTrnw0%2F5%2Ff18dQhb0Sq5B9445H-W8lqkn63crMGWN1PVNf7VJ_YHW1td_cl6HLbb3W1L5BTZ1zrmg7W7z1B717RRg5GW7PF32J2TvLJWW7z3bDG2GKkm2W1GmjsC7sSJXQW2Vv0mL1G6qpLW7qVlZx7v6N-0W1GlHwR7GZFjfW1D9fZR7QHDdkN7mHF3-7-wNHW8tsL0-1ZVl9ZW23wqk34LP-3DW2N33B53_t0gLW32Gf2Q4dnWJcW69NG1w6PqSXLW38T3j05Vw66zN3kRmbTfTlLHV1KsWw1JVKVlN7Nw0vqh41_PW2M0HRd8mhg5wW7z2G-P2h8Nh3W1-s76J15PLYkW972QhN4mmVfnW701-9b2zH0hrW4Q-5SV4HzlY5f1TTH1y01&amp;data=01%7C01%7Ctkelly%40brookings.edu%7C674b371065de4c96643308d63da7b91f%7C0a02388e617845139b8288b9dc6bf457%7C1&amp;sdata=OZW7ASAPfgYF4elds7LDRcxm8kb3qdgsmaC%2F3C5o94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D4F7D-7056-4069-83BE-176EB0A3F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48D8B9-DCC5-41C0-AD29-D226500B4D0E}">
  <ds:schemaRefs>
    <ds:schemaRef ds:uri="http://schemas.microsoft.com/sharepoint/v3/contenttype/forms"/>
  </ds:schemaRefs>
</ds:datastoreItem>
</file>

<file path=customXml/itemProps3.xml><?xml version="1.0" encoding="utf-8"?>
<ds:datastoreItem xmlns:ds="http://schemas.openxmlformats.org/officeDocument/2006/customXml" ds:itemID="{4924FC95-AB43-4C8B-B39B-0E237794E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cp:revision>
  <dcterms:created xsi:type="dcterms:W3CDTF">2019-07-24T20:56:00Z</dcterms:created>
  <dcterms:modified xsi:type="dcterms:W3CDTF">2019-07-24T20:56:00Z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