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E1F3" w14:textId="77777777" w:rsidR="009F3F18" w:rsidRPr="009F3F18" w:rsidRDefault="009F3F18" w:rsidP="009F3F18">
      <w:pPr>
        <w:jc w:val="center"/>
        <w:rPr>
          <w:rFonts w:ascii="Times New Roman" w:hAnsi="Times New Roman" w:cs="Times New Roman"/>
        </w:rPr>
      </w:pPr>
      <w:bookmarkStart w:id="0" w:name="_Toc6305159"/>
      <w:r w:rsidRPr="009F3F18">
        <w:rPr>
          <w:rFonts w:ascii="Times New Roman" w:hAnsi="Times New Roman" w:cs="Times New Roman"/>
        </w:rPr>
        <w:t>Deriving the Fiscal Impact Measure</w:t>
      </w:r>
      <w:bookmarkEnd w:id="0"/>
    </w:p>
    <w:p w14:paraId="07A51247" w14:textId="77777777" w:rsidR="00DA760E" w:rsidRPr="003C3402" w:rsidRDefault="00DA760E" w:rsidP="00DA760E">
      <w:pPr>
        <w:rPr>
          <w:rFonts w:ascii="Times New Roman" w:hAnsi="Times New Roman" w:cs="Times New Roman"/>
        </w:rPr>
      </w:pPr>
      <w:r w:rsidRPr="003C3402">
        <w:rPr>
          <w:rFonts w:ascii="Times New Roman" w:hAnsi="Times New Roman" w:cs="Times New Roman"/>
        </w:rPr>
        <w:t>The FIM is defined as the actual contributions of real government purchases and real consumption to GDP less the contributions that would have prevailed if real purchases, real taxes, and real transfers were growing with potential GDP.</w:t>
      </w:r>
    </w:p>
    <w:p w14:paraId="62BAEFF4" w14:textId="77777777" w:rsidR="00DA760E" w:rsidRPr="003C3402" w:rsidRDefault="00DA760E" w:rsidP="00DA760E">
      <w:pPr>
        <w:rPr>
          <w:rFonts w:ascii="Times New Roman" w:hAnsi="Times New Roman" w:cs="Times New Roman"/>
        </w:rPr>
      </w:pPr>
      <w:r w:rsidRPr="003C3402">
        <w:rPr>
          <w:rFonts w:ascii="Times New Roman" w:hAnsi="Times New Roman" w:cs="Times New Roman"/>
        </w:rPr>
        <w:tab/>
        <w:t xml:space="preserve">Define </w:t>
      </w:r>
      <w:proofErr w:type="spellStart"/>
      <w:r w:rsidRPr="003C3402">
        <w:rPr>
          <w:rFonts w:ascii="Times New Roman" w:hAnsi="Times New Roman" w:cs="Times New Roman"/>
          <w:i/>
        </w:rPr>
        <w:t>G</w:t>
      </w:r>
      <w:r w:rsidRPr="003C3402">
        <w:rPr>
          <w:rFonts w:ascii="Times New Roman" w:hAnsi="Times New Roman" w:cs="Times New Roman"/>
        </w:rPr>
        <w:t xml:space="preserve"> as</w:t>
      </w:r>
      <w:proofErr w:type="spellEnd"/>
      <w:r w:rsidRPr="003C3402">
        <w:rPr>
          <w:rFonts w:ascii="Times New Roman" w:hAnsi="Times New Roman" w:cs="Times New Roman"/>
        </w:rPr>
        <w:t xml:space="preserve"> nominal government purchases, </w:t>
      </w:r>
      <w:r w:rsidRPr="003C3402">
        <w:rPr>
          <w:rFonts w:ascii="Times New Roman" w:hAnsi="Times New Roman" w:cs="Times New Roman"/>
          <w:i/>
        </w:rPr>
        <w:t>π</w:t>
      </w:r>
      <w:r w:rsidRPr="003C3402">
        <w:rPr>
          <w:rFonts w:ascii="Times New Roman" w:hAnsi="Times New Roman" w:cs="Times New Roman"/>
          <w:i/>
          <w:vertAlign w:val="subscript"/>
        </w:rPr>
        <w:t>G</w:t>
      </w:r>
      <w:r w:rsidRPr="003C3402">
        <w:rPr>
          <w:rFonts w:ascii="Times New Roman" w:hAnsi="Times New Roman" w:cs="Times New Roman"/>
          <w:vertAlign w:val="subscript"/>
        </w:rPr>
        <w:t xml:space="preserve"> </w:t>
      </w:r>
      <w:r w:rsidRPr="003C3402">
        <w:rPr>
          <w:rFonts w:ascii="Times New Roman" w:hAnsi="Times New Roman" w:cs="Times New Roman"/>
        </w:rPr>
        <w:t xml:space="preserve">as the inflation rate for government purchases, </w:t>
      </w:r>
      <w:r w:rsidRPr="003C3402">
        <w:rPr>
          <w:rFonts w:ascii="Times New Roman" w:hAnsi="Times New Roman" w:cs="Times New Roman"/>
          <w:i/>
        </w:rPr>
        <w:t>C</w:t>
      </w:r>
      <w:r w:rsidRPr="003C3402">
        <w:rPr>
          <w:rFonts w:ascii="Times New Roman" w:hAnsi="Times New Roman" w:cs="Times New Roman"/>
        </w:rPr>
        <w:t xml:space="preserve"> as nominal consumption, </w:t>
      </w:r>
      <w:r w:rsidRPr="003C3402">
        <w:rPr>
          <w:rFonts w:ascii="Times New Roman" w:hAnsi="Times New Roman" w:cs="Times New Roman"/>
          <w:i/>
        </w:rPr>
        <w:t>T</w:t>
      </w:r>
      <w:r w:rsidRPr="003C3402">
        <w:rPr>
          <w:rFonts w:ascii="Times New Roman" w:hAnsi="Times New Roman" w:cs="Times New Roman"/>
        </w:rPr>
        <w:t xml:space="preserve"> as nominal tax</w:t>
      </w:r>
      <w:r w:rsidR="00B267F0" w:rsidRPr="003C3402">
        <w:rPr>
          <w:rFonts w:ascii="Times New Roman" w:hAnsi="Times New Roman" w:cs="Times New Roman"/>
        </w:rPr>
        <w:t xml:space="preserve"> or </w:t>
      </w:r>
      <w:r w:rsidRPr="003C3402">
        <w:rPr>
          <w:rFonts w:ascii="Times New Roman" w:hAnsi="Times New Roman" w:cs="Times New Roman"/>
        </w:rPr>
        <w:t>transfer</w:t>
      </w:r>
      <w:r w:rsidR="00B267F0" w:rsidRPr="003C3402">
        <w:rPr>
          <w:rFonts w:ascii="Times New Roman" w:hAnsi="Times New Roman" w:cs="Times New Roman"/>
        </w:rPr>
        <w:t xml:space="preserve"> payments</w:t>
      </w:r>
      <w:r w:rsidRPr="003C3402">
        <w:rPr>
          <w:rFonts w:ascii="Times New Roman" w:hAnsi="Times New Roman" w:cs="Times New Roman"/>
        </w:rPr>
        <w:t xml:space="preserve">, </w:t>
      </w:r>
      <w:r w:rsidRPr="003C3402">
        <w:rPr>
          <w:rFonts w:ascii="Times New Roman" w:hAnsi="Times New Roman" w:cs="Times New Roman"/>
          <w:i/>
        </w:rPr>
        <w:t>π</w:t>
      </w:r>
      <w:r w:rsidRPr="003C3402">
        <w:rPr>
          <w:rFonts w:ascii="Times New Roman" w:hAnsi="Times New Roman" w:cs="Times New Roman"/>
          <w:i/>
          <w:vertAlign w:val="subscript"/>
        </w:rPr>
        <w:t>C</w:t>
      </w:r>
      <w:r w:rsidRPr="003C3402">
        <w:rPr>
          <w:rFonts w:ascii="Times New Roman" w:hAnsi="Times New Roman" w:cs="Times New Roman"/>
          <w:vertAlign w:val="subscript"/>
        </w:rPr>
        <w:t xml:space="preserve"> </w:t>
      </w:r>
      <w:r w:rsidRPr="003C3402">
        <w:rPr>
          <w:rFonts w:ascii="Times New Roman" w:hAnsi="Times New Roman" w:cs="Times New Roman"/>
        </w:rPr>
        <w:t xml:space="preserve">as the inflation rate for personal consumption expenditures (PCE), </w:t>
      </w:r>
      <w:r w:rsidRPr="003C3402">
        <w:rPr>
          <w:rFonts w:ascii="Times New Roman" w:hAnsi="Times New Roman" w:cs="Times New Roman"/>
          <w:i/>
        </w:rPr>
        <w:t>Y</w:t>
      </w:r>
      <w:r w:rsidRPr="003C3402">
        <w:rPr>
          <w:rFonts w:ascii="Times New Roman" w:hAnsi="Times New Roman" w:cs="Times New Roman"/>
        </w:rPr>
        <w:t xml:space="preserve"> as nominal GDP, and </w:t>
      </w:r>
      <w:r w:rsidRPr="003C3402">
        <w:rPr>
          <w:rFonts w:ascii="Times New Roman" w:hAnsi="Times New Roman" w:cs="Times New Roman"/>
          <w:i/>
        </w:rPr>
        <w:t>µ</w:t>
      </w:r>
      <w:r w:rsidRPr="003C3402">
        <w:rPr>
          <w:rFonts w:ascii="Times New Roman" w:hAnsi="Times New Roman" w:cs="Times New Roman"/>
        </w:rPr>
        <w:t xml:space="preserve"> as real potential output growth. Then the FIM is calculated as follows.</w:t>
      </w:r>
    </w:p>
    <w:p w14:paraId="38944C64" w14:textId="77777777" w:rsidR="00DA760E" w:rsidRPr="003C3402" w:rsidRDefault="00DA760E" w:rsidP="00DA760E">
      <w:pPr>
        <w:pStyle w:val="Heading2MainText"/>
        <w:rPr>
          <w:rFonts w:ascii="Times New Roman" w:hAnsi="Times New Roman" w:cs="Times New Roman"/>
          <w:color w:val="auto"/>
          <w:sz w:val="22"/>
          <w:szCs w:val="22"/>
        </w:rPr>
      </w:pPr>
      <w:bookmarkStart w:id="1" w:name="_Toc6305160"/>
      <w:r w:rsidRPr="003C3402">
        <w:rPr>
          <w:rFonts w:ascii="Times New Roman" w:hAnsi="Times New Roman" w:cs="Times New Roman"/>
          <w:color w:val="auto"/>
          <w:sz w:val="22"/>
          <w:szCs w:val="22"/>
        </w:rPr>
        <w:t>Purchases</w:t>
      </w:r>
      <w:bookmarkEnd w:id="1"/>
    </w:p>
    <w:p w14:paraId="2C436F9F" w14:textId="77777777" w:rsidR="00DA760E" w:rsidRPr="003C3402" w:rsidRDefault="00DA760E" w:rsidP="00DA760E">
      <w:pPr>
        <w:pStyle w:val="RegularBodyTextMainText"/>
        <w:rPr>
          <w:rFonts w:ascii="Times New Roman" w:hAnsi="Times New Roman" w:cs="Times New Roman"/>
          <w:color w:val="auto"/>
          <w:sz w:val="22"/>
          <w:szCs w:val="22"/>
        </w:rPr>
      </w:pPr>
      <w:r w:rsidRPr="003C3402">
        <w:rPr>
          <w:rFonts w:ascii="Times New Roman" w:hAnsi="Times New Roman" w:cs="Times New Roman"/>
          <w:color w:val="auto"/>
          <w:sz w:val="22"/>
          <w:szCs w:val="22"/>
        </w:rPr>
        <w:t xml:space="preserve">The contribution of real purchases to GDP is the growth rate of real government purchases times the share of government in GDP: </w:t>
      </w:r>
    </w:p>
    <w:p w14:paraId="321DF1B1" w14:textId="77777777" w:rsidR="00DA760E" w:rsidRPr="003C3402" w:rsidRDefault="00197943" w:rsidP="00DA760E">
      <w:pPr>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G</m:t>
                  </m:r>
                </m:sub>
              </m:sSub>
              <m:r>
                <w:rPr>
                  <w:rFonts w:ascii="Cambria Math" w:hAnsi="Cambria Math" w:cs="Times New Roman"/>
                </w:rPr>
                <m:t>)</m:t>
              </m:r>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oMath>
      </m:oMathPara>
    </w:p>
    <w:p w14:paraId="41CDDF5A" w14:textId="77777777" w:rsidR="00DA760E" w:rsidRPr="003C3402" w:rsidRDefault="00DA760E" w:rsidP="00DA760E">
      <w:pPr>
        <w:pStyle w:val="RegularBodyTextMainText"/>
        <w:rPr>
          <w:rFonts w:ascii="Times New Roman" w:hAnsi="Times New Roman" w:cs="Times New Roman"/>
          <w:color w:val="auto"/>
          <w:sz w:val="22"/>
          <w:szCs w:val="22"/>
        </w:rPr>
      </w:pPr>
      <w:r w:rsidRPr="003C3402">
        <w:rPr>
          <w:rFonts w:ascii="Times New Roman" w:hAnsi="Times New Roman" w:cs="Times New Roman"/>
          <w:color w:val="auto"/>
          <w:sz w:val="22"/>
          <w:szCs w:val="22"/>
        </w:rPr>
        <w:t>The counterfactual contribution of real government purchases under the assumption that real government spending rises with potential GDP is just</w:t>
      </w:r>
    </w:p>
    <w:p w14:paraId="11FE678D" w14:textId="77777777" w:rsidR="00DA760E" w:rsidRPr="003C3402" w:rsidRDefault="00DA760E" w:rsidP="00DA760E">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oMath>
      </m:oMathPara>
    </w:p>
    <w:p w14:paraId="67D73641" w14:textId="77777777" w:rsidR="00DA760E" w:rsidRPr="003C3402" w:rsidRDefault="00DA760E" w:rsidP="00DA760E">
      <w:pPr>
        <w:pStyle w:val="RegularBodyTextMainText"/>
        <w:rPr>
          <w:rFonts w:ascii="Times New Roman" w:hAnsi="Times New Roman" w:cs="Times New Roman"/>
          <w:color w:val="auto"/>
          <w:sz w:val="22"/>
          <w:szCs w:val="22"/>
        </w:rPr>
      </w:pPr>
      <w:r w:rsidRPr="003C3402">
        <w:rPr>
          <w:rFonts w:ascii="Times New Roman" w:hAnsi="Times New Roman" w:cs="Times New Roman"/>
          <w:color w:val="auto"/>
          <w:sz w:val="22"/>
          <w:szCs w:val="22"/>
        </w:rPr>
        <w:t>Thus, the FIM for purchases is defined as</w:t>
      </w:r>
    </w:p>
    <w:p w14:paraId="570410F5" w14:textId="2A23073E" w:rsidR="00231B56" w:rsidRDefault="00DA760E" w:rsidP="008B0DA3">
      <w:pPr>
        <w:rPr>
          <w:rFonts w:ascii="Times New Roman" w:eastAsiaTheme="minorEastAsia" w:hAnsi="Times New Roman" w:cs="Times New Roman"/>
        </w:rPr>
      </w:pPr>
      <m:oMathPara>
        <m:oMath>
          <m:r>
            <w:rPr>
              <w:rFonts w:ascii="Cambria Math" w:hAnsi="Cambria Math" w:cs="Times New Roman"/>
            </w:rPr>
            <m:t>FI</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t</m:t>
              </m:r>
            </m:sub>
            <m:sup>
              <m:r>
                <w:rPr>
                  <w:rFonts w:ascii="Cambria Math" w:hAnsi="Cambria Math" w:cs="Times New Roman"/>
                </w:rPr>
                <m:t>G</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G</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oMath>
      </m:oMathPara>
      <w:bookmarkStart w:id="2" w:name="_Toc6305161"/>
    </w:p>
    <w:p w14:paraId="06C19932" w14:textId="71BCD44D" w:rsidR="00DA760E" w:rsidRPr="003C3402" w:rsidRDefault="00DA760E" w:rsidP="00DA760E">
      <w:pPr>
        <w:pStyle w:val="Heading2MainTex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Taxes and Transfers</w:t>
      </w:r>
      <w:bookmarkEnd w:id="2"/>
      <w:r w:rsidRPr="003C3402">
        <w:rPr>
          <w:rFonts w:ascii="Times New Roman" w:eastAsiaTheme="minorEastAsia" w:hAnsi="Times New Roman" w:cs="Times New Roman"/>
          <w:color w:val="auto"/>
          <w:sz w:val="22"/>
          <w:szCs w:val="22"/>
        </w:rPr>
        <w:t xml:space="preserve"> </w:t>
      </w:r>
    </w:p>
    <w:p w14:paraId="1C1AA94A" w14:textId="77777777" w:rsidR="00231B56" w:rsidRDefault="00231B56" w:rsidP="003C3402">
      <w:pPr>
        <w:pStyle w:val="RegularBodyTextMainText"/>
        <w:jc w:val="left"/>
        <w:rPr>
          <w:rFonts w:ascii="Times New Roman" w:eastAsiaTheme="minorEastAsia" w:hAnsi="Times New Roman" w:cs="Times New Roman"/>
          <w:color w:val="auto"/>
          <w:sz w:val="22"/>
          <w:szCs w:val="22"/>
        </w:rPr>
      </w:pPr>
    </w:p>
    <w:p w14:paraId="4C1ED88C" w14:textId="54B0C24B" w:rsidR="003C3402" w:rsidRPr="003C3402" w:rsidRDefault="003C3402" w:rsidP="003C3402">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Calculating the contribution of taxes and transfers to GDP requires translating taxes and transfer payments into dollars of consumption</w:t>
      </w:r>
      <w:r w:rsidR="009F3F18">
        <w:rPr>
          <w:rFonts w:ascii="Times New Roman" w:eastAsiaTheme="minorEastAsia" w:hAnsi="Times New Roman" w:cs="Times New Roman"/>
          <w:color w:val="auto"/>
          <w:sz w:val="22"/>
          <w:szCs w:val="22"/>
        </w:rPr>
        <w:t xml:space="preserve"> as well as </w:t>
      </w:r>
      <w:r w:rsidRPr="003C3402">
        <w:rPr>
          <w:rFonts w:ascii="Times New Roman" w:eastAsiaTheme="minorEastAsia" w:hAnsi="Times New Roman" w:cs="Times New Roman"/>
          <w:color w:val="auto"/>
          <w:sz w:val="22"/>
          <w:szCs w:val="22"/>
        </w:rPr>
        <w:t>specify</w:t>
      </w:r>
      <w:r w:rsidR="009F3F18">
        <w:rPr>
          <w:rFonts w:ascii="Times New Roman" w:eastAsiaTheme="minorEastAsia" w:hAnsi="Times New Roman" w:cs="Times New Roman"/>
          <w:color w:val="auto"/>
          <w:sz w:val="22"/>
          <w:szCs w:val="22"/>
        </w:rPr>
        <w:t>ing</w:t>
      </w:r>
      <w:r w:rsidRPr="003C3402">
        <w:rPr>
          <w:rFonts w:ascii="Times New Roman" w:eastAsiaTheme="minorEastAsia" w:hAnsi="Times New Roman" w:cs="Times New Roman"/>
          <w:color w:val="auto"/>
          <w:sz w:val="22"/>
          <w:szCs w:val="22"/>
        </w:rPr>
        <w:t xml:space="preserve"> the counterfactual path for consumption due to taxes and transfer payments, which we do in manner analogous to that for purchases. </w:t>
      </w:r>
    </w:p>
    <w:p w14:paraId="56665457" w14:textId="14C98663" w:rsidR="000C1149" w:rsidRPr="003C3402" w:rsidRDefault="00C27105" w:rsidP="000C1149">
      <w:pPr>
        <w:pStyle w:val="RegularBodyTextMainText"/>
        <w:jc w:val="left"/>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 xml:space="preserve">We </w:t>
      </w:r>
      <w:r w:rsidR="009F3F18">
        <w:rPr>
          <w:rFonts w:ascii="Times New Roman" w:eastAsiaTheme="minorEastAsia" w:hAnsi="Times New Roman" w:cs="Times New Roman"/>
          <w:color w:val="auto"/>
          <w:sz w:val="22"/>
          <w:szCs w:val="22"/>
        </w:rPr>
        <w:t xml:space="preserve">assume that households’ consumption responses to changes in taxes and transfers </w:t>
      </w:r>
      <w:r>
        <w:rPr>
          <w:rFonts w:ascii="Times New Roman" w:eastAsiaTheme="minorEastAsia" w:hAnsi="Times New Roman" w:cs="Times New Roman"/>
          <w:color w:val="auto"/>
          <w:sz w:val="22"/>
          <w:szCs w:val="22"/>
        </w:rPr>
        <w:t xml:space="preserve">are slow and </w:t>
      </w:r>
      <w:r w:rsidR="009F3F18">
        <w:rPr>
          <w:rFonts w:ascii="Times New Roman" w:eastAsiaTheme="minorEastAsia" w:hAnsi="Times New Roman" w:cs="Times New Roman"/>
          <w:color w:val="auto"/>
          <w:sz w:val="22"/>
          <w:szCs w:val="22"/>
        </w:rPr>
        <w:t>var</w:t>
      </w:r>
      <w:r>
        <w:rPr>
          <w:rFonts w:ascii="Times New Roman" w:eastAsiaTheme="minorEastAsia" w:hAnsi="Times New Roman" w:cs="Times New Roman"/>
          <w:color w:val="auto"/>
          <w:sz w:val="22"/>
          <w:szCs w:val="22"/>
        </w:rPr>
        <w:t>y</w:t>
      </w:r>
      <w:r w:rsidR="009F3F18">
        <w:rPr>
          <w:rFonts w:ascii="Times New Roman" w:eastAsiaTheme="minorEastAsia" w:hAnsi="Times New Roman" w:cs="Times New Roman"/>
          <w:color w:val="auto"/>
          <w:sz w:val="22"/>
          <w:szCs w:val="22"/>
        </w:rPr>
        <w:t xml:space="preserve"> by the kind o</w:t>
      </w:r>
      <w:r>
        <w:rPr>
          <w:rFonts w:ascii="Times New Roman" w:eastAsiaTheme="minorEastAsia" w:hAnsi="Times New Roman" w:cs="Times New Roman"/>
          <w:color w:val="auto"/>
          <w:sz w:val="22"/>
          <w:szCs w:val="22"/>
        </w:rPr>
        <w:t xml:space="preserve">f </w:t>
      </w:r>
      <w:r w:rsidR="009F3F18">
        <w:rPr>
          <w:rFonts w:ascii="Times New Roman" w:eastAsiaTheme="minorEastAsia" w:hAnsi="Times New Roman" w:cs="Times New Roman"/>
          <w:color w:val="auto"/>
          <w:sz w:val="22"/>
          <w:szCs w:val="22"/>
        </w:rPr>
        <w:t>payment</w:t>
      </w:r>
      <w:r>
        <w:rPr>
          <w:rFonts w:ascii="Times New Roman" w:eastAsiaTheme="minorEastAsia" w:hAnsi="Times New Roman" w:cs="Times New Roman"/>
          <w:color w:val="auto"/>
          <w:sz w:val="22"/>
          <w:szCs w:val="22"/>
        </w:rPr>
        <w:t>. Thus i</w:t>
      </w:r>
      <w:r w:rsidR="000C1149" w:rsidRPr="003C3402">
        <w:rPr>
          <w:rFonts w:ascii="Times New Roman" w:eastAsiaTheme="minorEastAsia" w:hAnsi="Times New Roman" w:cs="Times New Roman"/>
          <w:color w:val="auto"/>
          <w:sz w:val="22"/>
          <w:szCs w:val="22"/>
        </w:rPr>
        <w:t xml:space="preserve">n order to translate taxes and transfers into dollars of consumption, we apply the respective marginal propensities to consume over the appropriate lags to each of the tax and transfer pieces.  Let </w:t>
      </w:r>
      <w:r w:rsidR="000C1149" w:rsidRPr="003C3402">
        <w:rPr>
          <w:rFonts w:ascii="Times New Roman" w:eastAsiaTheme="minorEastAsia" w:hAnsi="Times New Roman" w:cs="Times New Roman"/>
          <w:i/>
          <w:color w:val="auto"/>
          <w:sz w:val="22"/>
          <w:szCs w:val="22"/>
        </w:rPr>
        <w:t xml:space="preserve">j </w:t>
      </w:r>
      <w:r w:rsidR="000C1149" w:rsidRPr="003C3402">
        <w:rPr>
          <w:rFonts w:ascii="Times New Roman" w:eastAsiaTheme="minorEastAsia" w:hAnsi="Times New Roman" w:cs="Times New Roman"/>
          <w:color w:val="auto"/>
          <w:sz w:val="22"/>
          <w:szCs w:val="22"/>
        </w:rPr>
        <w:t xml:space="preserve">denote a kind of tax or transfer payment (for example, corporate taxes) and </w:t>
      </w:r>
      <w:r w:rsidR="000C1149" w:rsidRPr="003C3402">
        <w:rPr>
          <w:rFonts w:ascii="Times New Roman" w:eastAsiaTheme="minorEastAsia" w:hAnsi="Times New Roman" w:cs="Times New Roman"/>
          <w:i/>
          <w:color w:val="auto"/>
          <w:sz w:val="22"/>
          <w:szCs w:val="22"/>
        </w:rPr>
        <w:t xml:space="preserve">i </w:t>
      </w:r>
      <w:r w:rsidR="000C1149" w:rsidRPr="003C3402">
        <w:rPr>
          <w:rFonts w:ascii="Times New Roman" w:eastAsiaTheme="minorEastAsia" w:hAnsi="Times New Roman" w:cs="Times New Roman"/>
          <w:color w:val="auto"/>
          <w:sz w:val="22"/>
          <w:szCs w:val="22"/>
        </w:rPr>
        <w:t xml:space="preserve">denote </w:t>
      </w:r>
      <w:r w:rsidR="00197943">
        <w:rPr>
          <w:rFonts w:ascii="Times New Roman" w:eastAsiaTheme="minorEastAsia" w:hAnsi="Times New Roman" w:cs="Times New Roman"/>
          <w:color w:val="auto"/>
          <w:sz w:val="22"/>
          <w:szCs w:val="22"/>
        </w:rPr>
        <w:t>number of lags</w:t>
      </w:r>
      <w:r w:rsidR="000C1149" w:rsidRPr="003C3402">
        <w:rPr>
          <w:rFonts w:ascii="Times New Roman" w:eastAsiaTheme="minorEastAsia" w:hAnsi="Times New Roman" w:cs="Times New Roman"/>
          <w:color w:val="auto"/>
          <w:sz w:val="22"/>
          <w:szCs w:val="22"/>
        </w:rPr>
        <w:t xml:space="preserve"> (in quarters). Then the consumption due to all tax or transfer payment </w:t>
      </w:r>
      <w:proofErr w:type="spellStart"/>
      <w:r w:rsidR="000C1149" w:rsidRPr="003C3402">
        <w:rPr>
          <w:rFonts w:ascii="Times New Roman" w:eastAsiaTheme="minorEastAsia" w:hAnsi="Times New Roman" w:cs="Times New Roman"/>
          <w:i/>
          <w:color w:val="auto"/>
          <w:sz w:val="22"/>
          <w:szCs w:val="22"/>
        </w:rPr>
        <w:t>T</w:t>
      </w:r>
      <w:r w:rsidR="000C1149" w:rsidRPr="003C3402">
        <w:rPr>
          <w:rFonts w:ascii="Times New Roman" w:eastAsiaTheme="minorEastAsia" w:hAnsi="Times New Roman" w:cs="Times New Roman"/>
          <w:i/>
          <w:color w:val="auto"/>
          <w:sz w:val="22"/>
          <w:szCs w:val="22"/>
          <w:vertAlign w:val="subscript"/>
        </w:rPr>
        <w:t>j</w:t>
      </w:r>
      <w:proofErr w:type="spellEnd"/>
      <w:r w:rsidR="000C1149" w:rsidRPr="003C3402">
        <w:rPr>
          <w:rFonts w:ascii="Times New Roman" w:eastAsiaTheme="minorEastAsia" w:hAnsi="Times New Roman" w:cs="Times New Roman"/>
          <w:color w:val="auto"/>
          <w:sz w:val="22"/>
          <w:szCs w:val="22"/>
        </w:rPr>
        <w:t xml:space="preserve"> in period </w:t>
      </w:r>
      <w:r w:rsidR="000C1149" w:rsidRPr="003C3402">
        <w:rPr>
          <w:rFonts w:ascii="Times New Roman" w:eastAsiaTheme="minorEastAsia" w:hAnsi="Times New Roman" w:cs="Times New Roman"/>
          <w:i/>
          <w:color w:val="auto"/>
          <w:sz w:val="22"/>
          <w:szCs w:val="22"/>
        </w:rPr>
        <w:t>t</w:t>
      </w:r>
      <w:r w:rsidR="000C1149" w:rsidRPr="003C3402">
        <w:rPr>
          <w:rFonts w:ascii="Times New Roman" w:eastAsiaTheme="minorEastAsia" w:hAnsi="Times New Roman" w:cs="Times New Roman"/>
          <w:color w:val="auto"/>
          <w:sz w:val="22"/>
          <w:szCs w:val="22"/>
        </w:rPr>
        <w:t xml:space="preserve"> is given by </w:t>
      </w:r>
    </w:p>
    <w:p w14:paraId="2EBE7382" w14:textId="77777777" w:rsidR="000C1149" w:rsidRPr="003C3402" w:rsidRDefault="000C1149" w:rsidP="000C1149">
      <w:pPr>
        <w:pStyle w:val="RegularBodyTextMainText"/>
        <w:jc w:val="left"/>
        <w:rPr>
          <w:rFonts w:ascii="Times New Roman" w:eastAsiaTheme="minorEastAsia" w:hAnsi="Times New Roman" w:cs="Times New Roman"/>
          <w:color w:val="auto"/>
          <w:sz w:val="22"/>
          <w:szCs w:val="22"/>
        </w:rPr>
      </w:pPr>
      <m:oMathPara>
        <m:oMath>
          <m:r>
            <w:rPr>
              <w:rFonts w:ascii="Cambria Math" w:hAnsi="Cambria Math" w:cs="Times New Roman"/>
              <w:color w:val="auto"/>
              <w:sz w:val="22"/>
              <w:szCs w:val="22"/>
            </w:rPr>
            <m:t xml:space="preserve"> </m:t>
          </m:r>
          <m:nary>
            <m:naryPr>
              <m:chr m:val="∑"/>
              <m:limLoc m:val="undOvr"/>
              <m:ctrlPr>
                <w:rPr>
                  <w:rFonts w:ascii="Cambria Math" w:hAnsi="Cambria Math" w:cs="Times New Roman"/>
                  <w:i/>
                  <w:color w:val="auto"/>
                  <w:sz w:val="22"/>
                  <w:szCs w:val="22"/>
                </w:rPr>
              </m:ctrlPr>
            </m:naryPr>
            <m:sub>
              <m:r>
                <w:rPr>
                  <w:rFonts w:ascii="Cambria Math" w:hAnsi="Cambria Math" w:cs="Times New Roman"/>
                  <w:color w:val="auto"/>
                  <w:sz w:val="22"/>
                  <w:szCs w:val="22"/>
                </w:rPr>
                <m:t>j=1</m:t>
              </m:r>
            </m:sub>
            <m:sup>
              <m:r>
                <w:rPr>
                  <w:rFonts w:ascii="Cambria Math" w:hAnsi="Cambria Math" w:cs="Times New Roman"/>
                  <w:color w:val="auto"/>
                  <w:sz w:val="22"/>
                  <w:szCs w:val="22"/>
                </w:rPr>
                <m:t>3</m:t>
              </m:r>
            </m:sup>
            <m:e>
              <m:nary>
                <m:naryPr>
                  <m:chr m:val="∑"/>
                  <m:limLoc m:val="undOvr"/>
                  <m:ctrlPr>
                    <w:rPr>
                      <w:rFonts w:ascii="Cambria Math" w:hAnsi="Cambria Math" w:cs="Times New Roman"/>
                      <w:i/>
                      <w:color w:val="auto"/>
                      <w:sz w:val="22"/>
                      <w:szCs w:val="22"/>
                    </w:rPr>
                  </m:ctrlPr>
                </m:naryPr>
                <m:sub>
                  <m:r>
                    <w:rPr>
                      <w:rFonts w:ascii="Cambria Math" w:hAnsi="Cambria Math" w:cs="Times New Roman"/>
                      <w:color w:val="auto"/>
                      <w:sz w:val="22"/>
                      <w:szCs w:val="22"/>
                    </w:rPr>
                    <m:t>i=1</m:t>
                  </m:r>
                </m:sub>
                <m:sup>
                  <m:r>
                    <w:rPr>
                      <w:rFonts w:ascii="Cambria Math" w:hAnsi="Cambria Math" w:cs="Times New Roman"/>
                      <w:color w:val="auto"/>
                      <w:sz w:val="22"/>
                      <w:szCs w:val="22"/>
                    </w:rPr>
                    <m:t>12</m:t>
                  </m:r>
                </m:sup>
                <m:e>
                  <m:r>
                    <w:rPr>
                      <w:rFonts w:ascii="Cambria Math" w:hAnsi="Cambria Math" w:cs="Times New Roman"/>
                      <w:color w:val="auto"/>
                      <w:sz w:val="22"/>
                      <w:szCs w:val="22"/>
                    </w:rPr>
                    <m:t xml:space="preserve"> </m:t>
                  </m:r>
                </m:e>
              </m:nary>
              <m:r>
                <w:rPr>
                  <w:rFonts w:ascii="Cambria Math" w:hAnsi="Cambria Math" w:cs="Times New Roman"/>
                  <w:color w:val="auto"/>
                  <w:sz w:val="22"/>
                  <w:szCs w:val="22"/>
                </w:rPr>
                <m:t>MP</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C</m:t>
                  </m:r>
                </m:e>
                <m:sub>
                  <m:r>
                    <w:rPr>
                      <w:rFonts w:ascii="Cambria Math" w:hAnsi="Cambria Math" w:cs="Times New Roman"/>
                      <w:color w:val="auto"/>
                      <w:sz w:val="22"/>
                      <w:szCs w:val="22"/>
                    </w:rPr>
                    <m:t>j,t-i</m:t>
                  </m:r>
                </m:sub>
              </m:sSub>
              <m:r>
                <w:rPr>
                  <w:rFonts w:ascii="Cambria Math" w:hAnsi="Cambria Math" w:cs="Times New Roman"/>
                  <w:color w:val="auto"/>
                  <w:sz w:val="22"/>
                  <w:szCs w:val="22"/>
                </w:rPr>
                <m:t xml:space="preserve"> </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T</m:t>
                  </m:r>
                </m:e>
                <m:sub>
                  <m:r>
                    <w:rPr>
                      <w:rFonts w:ascii="Cambria Math" w:hAnsi="Cambria Math" w:cs="Times New Roman"/>
                      <w:color w:val="auto"/>
                      <w:sz w:val="22"/>
                      <w:szCs w:val="22"/>
                    </w:rPr>
                    <m:t>j,t-i</m:t>
                  </m:r>
                </m:sub>
              </m:sSub>
              <m:r>
                <w:rPr>
                  <w:rFonts w:ascii="Cambria Math" w:hAnsi="Cambria Math" w:cs="Times New Roman"/>
                  <w:color w:val="auto"/>
                  <w:sz w:val="22"/>
                  <w:szCs w:val="22"/>
                </w:rPr>
                <m:t xml:space="preserve"> </m:t>
              </m:r>
            </m:e>
          </m:nary>
        </m:oMath>
      </m:oMathPara>
      <w:bookmarkStart w:id="3" w:name="_GoBack"/>
      <w:bookmarkEnd w:id="3"/>
    </w:p>
    <w:p w14:paraId="5B621D43" w14:textId="77777777" w:rsidR="00C27105" w:rsidRDefault="000C1149" w:rsidP="001D2771">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 xml:space="preserve">Where </w:t>
      </w:r>
      <w:proofErr w:type="spellStart"/>
      <w:proofErr w:type="gramStart"/>
      <w:r w:rsidRPr="003C3402">
        <w:rPr>
          <w:rFonts w:ascii="Times New Roman" w:eastAsiaTheme="minorEastAsia" w:hAnsi="Times New Roman" w:cs="Times New Roman"/>
          <w:i/>
          <w:color w:val="auto"/>
          <w:sz w:val="22"/>
          <w:szCs w:val="22"/>
        </w:rPr>
        <w:t>MPC</w:t>
      </w:r>
      <w:r w:rsidRPr="003C3402">
        <w:rPr>
          <w:rFonts w:ascii="Times New Roman" w:eastAsiaTheme="minorEastAsia" w:hAnsi="Times New Roman" w:cs="Times New Roman"/>
          <w:i/>
          <w:color w:val="auto"/>
          <w:sz w:val="22"/>
          <w:szCs w:val="22"/>
          <w:vertAlign w:val="subscript"/>
        </w:rPr>
        <w:t>j,t</w:t>
      </w:r>
      <w:proofErr w:type="spellEnd"/>
      <w:proofErr w:type="gramEnd"/>
      <w:r w:rsidRPr="003C3402">
        <w:rPr>
          <w:rFonts w:ascii="Times New Roman" w:eastAsiaTheme="minorEastAsia" w:hAnsi="Times New Roman" w:cs="Times New Roman"/>
          <w:i/>
          <w:color w:val="auto"/>
          <w:sz w:val="22"/>
          <w:szCs w:val="22"/>
          <w:vertAlign w:val="subscript"/>
        </w:rPr>
        <w:t xml:space="preserve"> -i</w:t>
      </w:r>
      <w:r w:rsidRPr="003C3402">
        <w:rPr>
          <w:rFonts w:ascii="Times New Roman" w:eastAsiaTheme="minorEastAsia" w:hAnsi="Times New Roman" w:cs="Times New Roman"/>
          <w:color w:val="auto"/>
          <w:sz w:val="22"/>
          <w:szCs w:val="22"/>
          <w:vertAlign w:val="subscript"/>
        </w:rPr>
        <w:t xml:space="preserve"> </w:t>
      </w:r>
      <w:r w:rsidRPr="003C3402">
        <w:rPr>
          <w:rFonts w:ascii="Times New Roman" w:eastAsiaTheme="minorEastAsia" w:hAnsi="Times New Roman" w:cs="Times New Roman"/>
          <w:color w:val="auto"/>
          <w:sz w:val="22"/>
          <w:szCs w:val="22"/>
        </w:rPr>
        <w:t xml:space="preserve">is the appropriate MPC for tax or transfer payment </w:t>
      </w:r>
      <w:r w:rsidRPr="003C3402">
        <w:rPr>
          <w:rFonts w:ascii="Times New Roman" w:eastAsiaTheme="minorEastAsia" w:hAnsi="Times New Roman" w:cs="Times New Roman"/>
          <w:i/>
          <w:color w:val="auto"/>
          <w:sz w:val="22"/>
          <w:szCs w:val="22"/>
        </w:rPr>
        <w:t xml:space="preserve">j </w:t>
      </w:r>
      <w:r w:rsidRPr="003C3402">
        <w:rPr>
          <w:rFonts w:ascii="Times New Roman" w:eastAsiaTheme="minorEastAsia" w:hAnsi="Times New Roman" w:cs="Times New Roman"/>
          <w:color w:val="auto"/>
          <w:sz w:val="22"/>
          <w:szCs w:val="22"/>
        </w:rPr>
        <w:t xml:space="preserve">at lag </w:t>
      </w:r>
      <w:r w:rsidRPr="003C3402">
        <w:rPr>
          <w:rFonts w:ascii="Times New Roman" w:eastAsiaTheme="minorEastAsia" w:hAnsi="Times New Roman" w:cs="Times New Roman"/>
          <w:i/>
          <w:color w:val="auto"/>
          <w:sz w:val="22"/>
          <w:szCs w:val="22"/>
        </w:rPr>
        <w:t xml:space="preserve">i. </w:t>
      </w:r>
      <w:r w:rsidRPr="003C3402">
        <w:rPr>
          <w:rFonts w:ascii="Times New Roman" w:eastAsiaTheme="minorEastAsia" w:hAnsi="Times New Roman" w:cs="Times New Roman"/>
          <w:color w:val="auto"/>
          <w:sz w:val="22"/>
          <w:szCs w:val="22"/>
        </w:rPr>
        <w:t xml:space="preserve">A </w:t>
      </w:r>
      <w:r w:rsidR="00C27105">
        <w:rPr>
          <w:rFonts w:ascii="Times New Roman" w:eastAsiaTheme="minorEastAsia" w:hAnsi="Times New Roman" w:cs="Times New Roman"/>
          <w:color w:val="auto"/>
          <w:sz w:val="22"/>
          <w:szCs w:val="22"/>
        </w:rPr>
        <w:t>table</w:t>
      </w:r>
      <w:r w:rsidRPr="003C3402">
        <w:rPr>
          <w:rFonts w:ascii="Times New Roman" w:eastAsiaTheme="minorEastAsia" w:hAnsi="Times New Roman" w:cs="Times New Roman"/>
          <w:color w:val="auto"/>
          <w:sz w:val="22"/>
          <w:szCs w:val="22"/>
        </w:rPr>
        <w:t xml:space="preserve"> of assumed MPCs is provided </w:t>
      </w:r>
      <w:r w:rsidR="00C27105">
        <w:rPr>
          <w:rFonts w:ascii="Times New Roman" w:eastAsiaTheme="minorEastAsia" w:hAnsi="Times New Roman" w:cs="Times New Roman"/>
          <w:color w:val="auto"/>
          <w:sz w:val="22"/>
          <w:szCs w:val="22"/>
        </w:rPr>
        <w:t>in Table 1 below</w:t>
      </w:r>
      <w:r w:rsidRPr="003C3402">
        <w:rPr>
          <w:rFonts w:ascii="Times New Roman" w:eastAsiaTheme="minorEastAsia" w:hAnsi="Times New Roman" w:cs="Times New Roman"/>
          <w:color w:val="auto"/>
          <w:sz w:val="22"/>
          <w:szCs w:val="22"/>
        </w:rPr>
        <w:t xml:space="preserve">. </w:t>
      </w:r>
    </w:p>
    <w:p w14:paraId="5E0987C7" w14:textId="77777777" w:rsidR="001D2771" w:rsidRPr="003C3402" w:rsidRDefault="000C1149" w:rsidP="001D2771">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A</w:t>
      </w:r>
      <w:r w:rsidR="001D2771" w:rsidRPr="003C3402">
        <w:rPr>
          <w:rFonts w:ascii="Times New Roman" w:eastAsiaTheme="minorEastAsia" w:hAnsi="Times New Roman" w:cs="Times New Roman"/>
          <w:color w:val="auto"/>
          <w:sz w:val="22"/>
          <w:szCs w:val="22"/>
        </w:rPr>
        <w:t xml:space="preserve">nalogous to the purchases, the counterfactual level of a tax or transfer payment of kind </w:t>
      </w:r>
      <w:r w:rsidR="001D2771" w:rsidRPr="003C3402">
        <w:rPr>
          <w:rFonts w:ascii="Times New Roman" w:eastAsiaTheme="minorEastAsia" w:hAnsi="Times New Roman" w:cs="Times New Roman"/>
          <w:i/>
          <w:color w:val="auto"/>
          <w:sz w:val="22"/>
          <w:szCs w:val="22"/>
        </w:rPr>
        <w:t>j</w:t>
      </w:r>
      <w:r w:rsidR="001D2771" w:rsidRPr="003C3402">
        <w:rPr>
          <w:rFonts w:ascii="Times New Roman" w:eastAsiaTheme="minorEastAsia" w:hAnsi="Times New Roman" w:cs="Times New Roman"/>
          <w:color w:val="auto"/>
          <w:sz w:val="22"/>
          <w:szCs w:val="22"/>
        </w:rPr>
        <w:t xml:space="preserve"> in quarter </w:t>
      </w:r>
      <w:r w:rsidR="001D2771" w:rsidRPr="003C3402">
        <w:rPr>
          <w:rFonts w:ascii="Times New Roman" w:eastAsiaTheme="minorEastAsia" w:hAnsi="Times New Roman" w:cs="Times New Roman"/>
          <w:i/>
          <w:color w:val="auto"/>
          <w:sz w:val="22"/>
          <w:szCs w:val="22"/>
        </w:rPr>
        <w:t xml:space="preserve">t </w:t>
      </w:r>
      <w:r w:rsidR="001D2771" w:rsidRPr="003C3402">
        <w:rPr>
          <w:rFonts w:ascii="Times New Roman" w:eastAsiaTheme="minorEastAsia" w:hAnsi="Times New Roman" w:cs="Times New Roman"/>
          <w:color w:val="auto"/>
          <w:sz w:val="22"/>
          <w:szCs w:val="22"/>
        </w:rPr>
        <w:t xml:space="preserve">is given by </w:t>
      </w:r>
    </w:p>
    <w:p w14:paraId="2EAAC179" w14:textId="77777777" w:rsidR="001D2771" w:rsidRPr="003C3402" w:rsidRDefault="00197943" w:rsidP="001D2771">
      <w:pPr>
        <w:jc w:val="center"/>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T</m:t>
                  </m:r>
                </m:e>
              </m:acc>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C</m:t>
                  </m:r>
                </m:sub>
              </m:sSub>
              <m:r>
                <w:rPr>
                  <w:rFonts w:ascii="Cambria Math" w:hAnsi="Cambria Math" w:cs="Times New Roman"/>
                </w:rPr>
                <m:t>+ μ</m:t>
              </m:r>
            </m:e>
          </m:d>
        </m:oMath>
      </m:oMathPara>
    </w:p>
    <w:p w14:paraId="67CD132D" w14:textId="77777777" w:rsidR="001D2771" w:rsidRPr="003C3402" w:rsidRDefault="000C1149" w:rsidP="000C1149">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Thus the consumption due to taxes and transfer payments in excess of that which would be consistent with taxes and transfers growing with potential GDP can be written as</w:t>
      </w:r>
    </w:p>
    <w:p w14:paraId="4165857B" w14:textId="77777777" w:rsidR="000C1149" w:rsidRPr="003C3402" w:rsidRDefault="00197943" w:rsidP="000C1149">
      <w:pPr>
        <w:pStyle w:val="RegularBodyTextMainText"/>
        <w:jc w:val="center"/>
        <w:rPr>
          <w:rFonts w:ascii="Times New Roman" w:eastAsiaTheme="minorEastAsia" w:hAnsi="Times New Roman" w:cs="Times New Roman"/>
          <w:color w:val="auto"/>
          <w:sz w:val="22"/>
          <w:szCs w:val="22"/>
        </w:rPr>
      </w:pPr>
      <m:oMathPara>
        <m:oMath>
          <m:sSubSup>
            <m:sSubSupPr>
              <m:ctrlPr>
                <w:rPr>
                  <w:rFonts w:ascii="Cambria Math" w:hAnsi="Cambria Math" w:cs="Times New Roman"/>
                  <w:i/>
                  <w:color w:val="auto"/>
                  <w:sz w:val="22"/>
                  <w:szCs w:val="22"/>
                </w:rPr>
              </m:ctrlPr>
            </m:sSubSupPr>
            <m:e>
              <m:r>
                <w:rPr>
                  <w:rFonts w:ascii="Cambria Math" w:hAnsi="Cambria Math" w:cs="Times New Roman"/>
                  <w:color w:val="auto"/>
                  <w:sz w:val="22"/>
                  <w:szCs w:val="22"/>
                </w:rPr>
                <m:t>T</m:t>
              </m:r>
            </m:e>
            <m:sub>
              <m:r>
                <w:rPr>
                  <w:rFonts w:ascii="Cambria Math" w:hAnsi="Cambria Math" w:cs="Times New Roman"/>
                  <w:color w:val="auto"/>
                  <w:sz w:val="22"/>
                  <w:szCs w:val="22"/>
                </w:rPr>
                <m:t>t</m:t>
              </m:r>
            </m:sub>
            <m:sup>
              <m:r>
                <w:rPr>
                  <w:rFonts w:ascii="Cambria Math" w:hAnsi="Cambria Math" w:cs="Times New Roman"/>
                  <w:color w:val="auto"/>
                  <w:sz w:val="22"/>
                  <w:szCs w:val="22"/>
                </w:rPr>
                <m:t>C</m:t>
              </m:r>
            </m:sup>
          </m:sSubSup>
          <m:r>
            <w:rPr>
              <w:rFonts w:ascii="Cambria Math" w:hAnsi="Cambria Math" w:cs="Times New Roman"/>
              <w:color w:val="auto"/>
              <w:sz w:val="22"/>
              <w:szCs w:val="22"/>
            </w:rPr>
            <m:t>=</m:t>
          </m:r>
          <m:nary>
            <m:naryPr>
              <m:chr m:val="∑"/>
              <m:limLoc m:val="undOvr"/>
              <m:ctrlPr>
                <w:rPr>
                  <w:rFonts w:ascii="Cambria Math" w:hAnsi="Cambria Math" w:cs="Times New Roman"/>
                  <w:i/>
                  <w:color w:val="auto"/>
                  <w:sz w:val="22"/>
                  <w:szCs w:val="22"/>
                </w:rPr>
              </m:ctrlPr>
            </m:naryPr>
            <m:sub>
              <m:r>
                <w:rPr>
                  <w:rFonts w:ascii="Cambria Math" w:hAnsi="Cambria Math" w:cs="Times New Roman"/>
                  <w:color w:val="auto"/>
                  <w:sz w:val="22"/>
                  <w:szCs w:val="22"/>
                </w:rPr>
                <m:t>j=1</m:t>
              </m:r>
            </m:sub>
            <m:sup>
              <m:r>
                <w:rPr>
                  <w:rFonts w:ascii="Cambria Math" w:hAnsi="Cambria Math" w:cs="Times New Roman"/>
                  <w:color w:val="auto"/>
                  <w:sz w:val="22"/>
                  <w:szCs w:val="22"/>
                </w:rPr>
                <m:t>3</m:t>
              </m:r>
            </m:sup>
            <m:e>
              <m:nary>
                <m:naryPr>
                  <m:chr m:val="∑"/>
                  <m:limLoc m:val="undOvr"/>
                  <m:ctrlPr>
                    <w:rPr>
                      <w:rFonts w:ascii="Cambria Math" w:hAnsi="Cambria Math" w:cs="Times New Roman"/>
                      <w:i/>
                      <w:color w:val="auto"/>
                      <w:sz w:val="22"/>
                      <w:szCs w:val="22"/>
                    </w:rPr>
                  </m:ctrlPr>
                </m:naryPr>
                <m:sub>
                  <m:r>
                    <w:rPr>
                      <w:rFonts w:ascii="Cambria Math" w:hAnsi="Cambria Math" w:cs="Times New Roman"/>
                      <w:color w:val="auto"/>
                      <w:sz w:val="22"/>
                      <w:szCs w:val="22"/>
                    </w:rPr>
                    <m:t>i=1</m:t>
                  </m:r>
                </m:sub>
                <m:sup>
                  <m:r>
                    <w:rPr>
                      <w:rFonts w:ascii="Cambria Math" w:hAnsi="Cambria Math" w:cs="Times New Roman"/>
                      <w:color w:val="auto"/>
                      <w:sz w:val="22"/>
                      <w:szCs w:val="22"/>
                    </w:rPr>
                    <m:t>12</m:t>
                  </m:r>
                </m:sup>
                <m:e>
                  <m:r>
                    <w:rPr>
                      <w:rFonts w:ascii="Cambria Math" w:hAnsi="Cambria Math" w:cs="Times New Roman"/>
                      <w:color w:val="auto"/>
                      <w:sz w:val="22"/>
                      <w:szCs w:val="22"/>
                    </w:rPr>
                    <m:t xml:space="preserve"> </m:t>
                  </m:r>
                </m:e>
              </m:nary>
              <m:r>
                <w:rPr>
                  <w:rFonts w:ascii="Cambria Math" w:hAnsi="Cambria Math" w:cs="Times New Roman"/>
                  <w:color w:val="auto"/>
                  <w:sz w:val="22"/>
                  <w:szCs w:val="22"/>
                </w:rPr>
                <m:t>MP</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C</m:t>
                  </m:r>
                </m:e>
                <m:sub>
                  <m:r>
                    <w:rPr>
                      <w:rFonts w:ascii="Cambria Math" w:hAnsi="Cambria Math" w:cs="Times New Roman"/>
                      <w:color w:val="auto"/>
                      <w:sz w:val="22"/>
                      <w:szCs w:val="22"/>
                    </w:rPr>
                    <m:t>j,t-i</m:t>
                  </m:r>
                </m:sub>
              </m:sSub>
              <m:r>
                <w:rPr>
                  <w:rFonts w:ascii="Cambria Math" w:hAnsi="Cambria Math" w:cs="Times New Roman"/>
                  <w:color w:val="auto"/>
                  <w:sz w:val="22"/>
                  <w:szCs w:val="22"/>
                </w:rPr>
                <m:t>(</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T</m:t>
                  </m:r>
                </m:e>
                <m:sub>
                  <m:r>
                    <w:rPr>
                      <w:rFonts w:ascii="Cambria Math" w:hAnsi="Cambria Math" w:cs="Times New Roman"/>
                      <w:color w:val="auto"/>
                      <w:sz w:val="22"/>
                      <w:szCs w:val="22"/>
                    </w:rPr>
                    <m:t>j,t-i</m:t>
                  </m:r>
                </m:sub>
              </m:sSub>
              <m:r>
                <w:rPr>
                  <w:rFonts w:ascii="Cambria Math" w:hAnsi="Cambria Math" w:cs="Times New Roman"/>
                  <w:color w:val="auto"/>
                  <w:sz w:val="22"/>
                  <w:szCs w:val="22"/>
                </w:rPr>
                <m:t xml:space="preserve">- </m:t>
              </m:r>
              <m:sSub>
                <m:sSubPr>
                  <m:ctrlPr>
                    <w:rPr>
                      <w:rFonts w:ascii="Cambria Math" w:hAnsi="Cambria Math" w:cs="Times New Roman"/>
                      <w:i/>
                      <w:color w:val="auto"/>
                      <w:sz w:val="22"/>
                      <w:szCs w:val="22"/>
                    </w:rPr>
                  </m:ctrlPr>
                </m:sSubPr>
                <m:e>
                  <m:acc>
                    <m:accPr>
                      <m:chr m:val="̃"/>
                      <m:ctrlPr>
                        <w:rPr>
                          <w:rFonts w:ascii="Cambria Math" w:hAnsi="Cambria Math" w:cs="Times New Roman"/>
                          <w:i/>
                          <w:color w:val="auto"/>
                          <w:sz w:val="22"/>
                          <w:szCs w:val="22"/>
                        </w:rPr>
                      </m:ctrlPr>
                    </m:accPr>
                    <m:e>
                      <m:r>
                        <w:rPr>
                          <w:rFonts w:ascii="Cambria Math" w:hAnsi="Cambria Math" w:cs="Times New Roman"/>
                          <w:color w:val="auto"/>
                          <w:sz w:val="22"/>
                          <w:szCs w:val="22"/>
                        </w:rPr>
                        <m:t>T</m:t>
                      </m:r>
                    </m:e>
                  </m:acc>
                </m:e>
                <m:sub>
                  <m:r>
                    <w:rPr>
                      <w:rFonts w:ascii="Cambria Math" w:hAnsi="Cambria Math" w:cs="Times New Roman"/>
                      <w:color w:val="auto"/>
                      <w:sz w:val="22"/>
                      <w:szCs w:val="22"/>
                    </w:rPr>
                    <m:t>j,t-i</m:t>
                  </m:r>
                </m:sub>
              </m:sSub>
              <m:r>
                <w:rPr>
                  <w:rFonts w:ascii="Cambria Math" w:hAnsi="Cambria Math" w:cs="Times New Roman"/>
                  <w:color w:val="auto"/>
                  <w:sz w:val="22"/>
                  <w:szCs w:val="22"/>
                </w:rPr>
                <m:t xml:space="preserve">) </m:t>
              </m:r>
            </m:e>
          </m:nary>
        </m:oMath>
      </m:oMathPara>
    </w:p>
    <w:p w14:paraId="6EBE9B3E" w14:textId="77777777" w:rsidR="003C3402" w:rsidRPr="003C3402" w:rsidRDefault="003C3402" w:rsidP="003C3402">
      <w:pPr>
        <w:pStyle w:val="RegularBodyTextMainText"/>
        <w:rPr>
          <w:rFonts w:ascii="Times New Roman" w:hAnsi="Times New Roman" w:cs="Times New Roman"/>
          <w:color w:val="auto"/>
          <w:sz w:val="22"/>
          <w:szCs w:val="22"/>
        </w:rPr>
      </w:pPr>
      <w:r w:rsidRPr="003C3402">
        <w:rPr>
          <w:rFonts w:ascii="Times New Roman" w:hAnsi="Times New Roman" w:cs="Times New Roman"/>
          <w:color w:val="auto"/>
          <w:sz w:val="22"/>
          <w:szCs w:val="22"/>
        </w:rPr>
        <w:t>Stepping back, note that the contribution of real consumption to GDP is just the growth rate of real consumption times the share of consumption in GDP:</w:t>
      </w:r>
    </w:p>
    <w:p w14:paraId="21569861" w14:textId="77777777" w:rsidR="003C3402" w:rsidRPr="003C3402" w:rsidRDefault="00197943" w:rsidP="003C3402">
      <w:pPr>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C</m:t>
                  </m:r>
                </m:sub>
              </m:sSub>
              <m:r>
                <w:rPr>
                  <w:rFonts w:ascii="Cambria Math" w:hAnsi="Cambria Math" w:cs="Times New Roman"/>
                </w:rPr>
                <m:t>)</m:t>
              </m:r>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oMath>
      </m:oMathPara>
    </w:p>
    <w:p w14:paraId="122088A6" w14:textId="77777777" w:rsidR="00741530" w:rsidRPr="003C3402" w:rsidRDefault="00741530" w:rsidP="00741530">
      <w:pPr>
        <w:pStyle w:val="RegularBodyTextMainText"/>
        <w:rPr>
          <w:rFonts w:ascii="Times New Roman" w:hAnsi="Times New Roman" w:cs="Times New Roman"/>
          <w:color w:val="auto"/>
          <w:sz w:val="22"/>
          <w:szCs w:val="22"/>
        </w:rPr>
      </w:pPr>
      <w:r w:rsidRPr="003C3402">
        <w:rPr>
          <w:rFonts w:ascii="Times New Roman" w:hAnsi="Times New Roman" w:cs="Times New Roman"/>
          <w:color w:val="auto"/>
          <w:sz w:val="22"/>
          <w:szCs w:val="22"/>
        </w:rPr>
        <w:t>The fiscal impact of changes in taxes and transfers is measured as the difference between the realized contribution of consumption to real GDP growth and the contribution that would have occurred had this excess consumption</w:t>
      </w:r>
      <w:r w:rsidR="003C3402" w:rsidRPr="003C3402">
        <w:rPr>
          <w:rFonts w:ascii="Times New Roman" w:hAnsi="Times New Roman" w:cs="Times New Roman"/>
          <w:color w:val="auto"/>
          <w:sz w:val="22"/>
          <w:szCs w:val="22"/>
        </w:rPr>
        <w:t xml:space="preserve"> </w:t>
      </w:r>
      <m:oMath>
        <m:sSubSup>
          <m:sSubSupPr>
            <m:ctrlPr>
              <w:rPr>
                <w:rFonts w:ascii="Cambria Math" w:hAnsi="Cambria Math" w:cs="Times New Roman"/>
                <w:i/>
                <w:color w:val="auto"/>
                <w:sz w:val="22"/>
                <w:szCs w:val="22"/>
              </w:rPr>
            </m:ctrlPr>
          </m:sSubSupPr>
          <m:e>
            <m:r>
              <w:rPr>
                <w:rFonts w:ascii="Cambria Math" w:hAnsi="Cambria Math" w:cs="Times New Roman"/>
                <w:color w:val="auto"/>
                <w:sz w:val="22"/>
                <w:szCs w:val="22"/>
              </w:rPr>
              <m:t>T</m:t>
            </m:r>
          </m:e>
          <m:sub>
            <m:r>
              <w:rPr>
                <w:rFonts w:ascii="Cambria Math" w:hAnsi="Cambria Math" w:cs="Times New Roman"/>
                <w:color w:val="auto"/>
                <w:sz w:val="22"/>
                <w:szCs w:val="22"/>
              </w:rPr>
              <m:t>t</m:t>
            </m:r>
          </m:sub>
          <m:sup>
            <m:r>
              <w:rPr>
                <w:rFonts w:ascii="Cambria Math" w:hAnsi="Cambria Math" w:cs="Times New Roman"/>
                <w:color w:val="auto"/>
                <w:sz w:val="22"/>
                <w:szCs w:val="22"/>
              </w:rPr>
              <m:t>C</m:t>
            </m:r>
          </m:sup>
        </m:sSubSup>
      </m:oMath>
      <w:r w:rsidRPr="003C3402">
        <w:rPr>
          <w:rFonts w:ascii="Times New Roman" w:hAnsi="Times New Roman" w:cs="Times New Roman"/>
          <w:color w:val="auto"/>
          <w:sz w:val="22"/>
          <w:szCs w:val="22"/>
        </w:rPr>
        <w:t xml:space="preserve"> not occurred</w:t>
      </w:r>
      <w:r w:rsidR="003C3402" w:rsidRPr="003C3402">
        <w:rPr>
          <w:rFonts w:ascii="Times New Roman" w:hAnsi="Times New Roman" w:cs="Times New Roman"/>
          <w:color w:val="auto"/>
          <w:sz w:val="22"/>
          <w:szCs w:val="22"/>
        </w:rPr>
        <w:t>. The FIM for taxes and transfers can then be written as</w:t>
      </w:r>
    </w:p>
    <w:p w14:paraId="0526FFC1" w14:textId="77777777" w:rsidR="00741530" w:rsidRPr="003C3402" w:rsidRDefault="003C3402" w:rsidP="00741530">
      <w:pPr>
        <w:ind w:left="720" w:hanging="720"/>
        <w:rPr>
          <w:rFonts w:ascii="Times New Roman" w:eastAsiaTheme="minorEastAsia" w:hAnsi="Times New Roman" w:cs="Times New Roman"/>
        </w:rPr>
      </w:pPr>
      <m:oMathPara>
        <m:oMath>
          <m:r>
            <w:rPr>
              <w:rFonts w:ascii="Cambria Math" w:hAnsi="Cambria Math" w:cs="Times New Roman"/>
            </w:rPr>
            <m:t>FI</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C</m:t>
                      </m:r>
                    </m:sub>
                  </m:sSub>
                </m:e>
              </m:d>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w:commentRangeStart w:id="4"/>
                  <m:r>
                    <w:rPr>
                      <w:rFonts w:ascii="Cambria Math" w:hAnsi="Cambria Math" w:cs="Times New Roman"/>
                    </w:rPr>
                    <m:t>-</m:t>
                  </m:r>
                  <w:commentRangeEnd w:id="4"/>
                  <m:r>
                    <m:rPr>
                      <m:sty m:val="p"/>
                    </m:rPr>
                    <w:rPr>
                      <w:rStyle w:val="CommentReference"/>
                      <w:rFonts w:ascii="Cambria Math" w:hAnsi="Cambria Math" w:cs="Times New Roman"/>
                      <w:sz w:val="22"/>
                      <w:szCs w:val="22"/>
                    </w:rPr>
                    <w:commentReference w:id="4"/>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t</m:t>
                      </m:r>
                    </m:sub>
                    <m:sup>
                      <m:r>
                        <w:rPr>
                          <w:rFonts w:ascii="Cambria Math" w:hAnsi="Cambria Math" w:cs="Times New Roman"/>
                        </w:rPr>
                        <m:t>C</m:t>
                      </m:r>
                    </m:sup>
                  </m:sSubSup>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C</m:t>
                      </m:r>
                    </m:sub>
                  </m:sSub>
                </m:e>
              </m:d>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r>
            <w:rPr>
              <w:rFonts w:ascii="Cambria Math" w:hAnsi="Cambria Math" w:cs="Times New Roman"/>
            </w:rPr>
            <m:t xml:space="preserve">    </m:t>
          </m:r>
        </m:oMath>
      </m:oMathPara>
    </w:p>
    <w:p w14:paraId="442E5279" w14:textId="77777777" w:rsidR="003C3402" w:rsidRPr="003C3402" w:rsidRDefault="003C3402" w:rsidP="00DA760E">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 xml:space="preserve">Which simplifies to </w:t>
      </w:r>
    </w:p>
    <w:p w14:paraId="401ED11C" w14:textId="77777777" w:rsidR="003C3402" w:rsidRPr="003C3402" w:rsidRDefault="003C3402" w:rsidP="00DA760E">
      <w:pPr>
        <w:pStyle w:val="RegularBodyTextMainText"/>
        <w:jc w:val="left"/>
        <w:rPr>
          <w:rFonts w:ascii="Times New Roman" w:eastAsiaTheme="minorEastAsia" w:hAnsi="Times New Roman" w:cs="Times New Roman"/>
          <w:color w:val="auto"/>
          <w:sz w:val="22"/>
          <w:szCs w:val="22"/>
        </w:rPr>
      </w:pPr>
      <m:oMathPara>
        <m:oMath>
          <m:r>
            <w:rPr>
              <w:rFonts w:ascii="Cambria Math" w:hAnsi="Cambria Math" w:cs="Times New Roman"/>
              <w:color w:val="auto"/>
              <w:sz w:val="22"/>
              <w:szCs w:val="22"/>
            </w:rPr>
            <m:t>FI</m:t>
          </m:r>
          <m:sSubSup>
            <m:sSubSupPr>
              <m:ctrlPr>
                <w:rPr>
                  <w:rFonts w:ascii="Cambria Math" w:hAnsi="Cambria Math" w:cs="Times New Roman"/>
                  <w:i/>
                  <w:color w:val="auto"/>
                  <w:sz w:val="22"/>
                  <w:szCs w:val="22"/>
                </w:rPr>
              </m:ctrlPr>
            </m:sSubSupPr>
            <m:e>
              <m:r>
                <w:rPr>
                  <w:rFonts w:ascii="Cambria Math" w:hAnsi="Cambria Math" w:cs="Times New Roman"/>
                  <w:color w:val="auto"/>
                  <w:sz w:val="22"/>
                  <w:szCs w:val="22"/>
                </w:rPr>
                <m:t>M</m:t>
              </m:r>
            </m:e>
            <m:sub>
              <m:r>
                <w:rPr>
                  <w:rFonts w:ascii="Cambria Math" w:hAnsi="Cambria Math" w:cs="Times New Roman"/>
                  <w:color w:val="auto"/>
                  <w:sz w:val="22"/>
                  <w:szCs w:val="22"/>
                </w:rPr>
                <m:t>t</m:t>
              </m:r>
            </m:sub>
            <m:sup>
              <m:r>
                <w:rPr>
                  <w:rFonts w:ascii="Cambria Math" w:hAnsi="Cambria Math" w:cs="Times New Roman"/>
                  <w:color w:val="auto"/>
                  <w:sz w:val="22"/>
                  <w:szCs w:val="22"/>
                </w:rPr>
                <m:t>T</m:t>
              </m:r>
            </m:sup>
          </m:sSubSup>
          <m:r>
            <w:rPr>
              <w:rFonts w:ascii="Cambria Math" w:hAnsi="Cambria Math" w:cs="Times New Roman"/>
              <w:color w:val="auto"/>
              <w:sz w:val="22"/>
              <w:szCs w:val="22"/>
            </w:rPr>
            <m:t xml:space="preserve">= </m:t>
          </m:r>
          <m:f>
            <m:fPr>
              <m:ctrlPr>
                <w:rPr>
                  <w:rFonts w:ascii="Cambria Math" w:hAnsi="Cambria Math" w:cs="Times New Roman"/>
                  <w:i/>
                  <w:color w:val="auto"/>
                  <w:sz w:val="22"/>
                  <w:szCs w:val="22"/>
                </w:rPr>
              </m:ctrlPr>
            </m:fPr>
            <m:num>
              <m:sSubSup>
                <m:sSubSupPr>
                  <m:ctrlPr>
                    <w:rPr>
                      <w:rFonts w:ascii="Cambria Math" w:hAnsi="Cambria Math" w:cs="Times New Roman"/>
                      <w:i/>
                      <w:color w:val="auto"/>
                      <w:sz w:val="22"/>
                      <w:szCs w:val="22"/>
                    </w:rPr>
                  </m:ctrlPr>
                </m:sSubSupPr>
                <m:e>
                  <m:r>
                    <w:rPr>
                      <w:rFonts w:ascii="Cambria Math" w:hAnsi="Cambria Math" w:cs="Times New Roman"/>
                      <w:color w:val="auto"/>
                      <w:sz w:val="22"/>
                      <w:szCs w:val="22"/>
                    </w:rPr>
                    <m:t>T</m:t>
                  </m:r>
                </m:e>
                <m:sub>
                  <m:r>
                    <w:rPr>
                      <w:rFonts w:ascii="Cambria Math" w:hAnsi="Cambria Math" w:cs="Times New Roman"/>
                      <w:color w:val="auto"/>
                      <w:sz w:val="22"/>
                      <w:szCs w:val="22"/>
                    </w:rPr>
                    <m:t>t</m:t>
                  </m:r>
                </m:sub>
                <m:sup>
                  <m:r>
                    <w:rPr>
                      <w:rFonts w:ascii="Cambria Math" w:hAnsi="Cambria Math" w:cs="Times New Roman"/>
                      <w:color w:val="auto"/>
                      <w:sz w:val="22"/>
                      <w:szCs w:val="22"/>
                    </w:rPr>
                    <m:t>C</m:t>
                  </m:r>
                </m:sup>
              </m:sSubSup>
            </m:num>
            <m:den>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t-1</m:t>
                  </m:r>
                </m:sub>
              </m:sSub>
            </m:den>
          </m:f>
        </m:oMath>
      </m:oMathPara>
    </w:p>
    <w:p w14:paraId="79490140" w14:textId="77777777" w:rsidR="00741530" w:rsidRPr="003C3402" w:rsidRDefault="00741530" w:rsidP="00DA760E">
      <w:pPr>
        <w:pStyle w:val="RegularBodyTextMainText"/>
        <w:jc w:val="left"/>
        <w:rPr>
          <w:rFonts w:ascii="Times New Roman" w:eastAsiaTheme="minorEastAsia" w:hAnsi="Times New Roman" w:cs="Times New Roman"/>
          <w:color w:val="auto"/>
          <w:sz w:val="22"/>
          <w:szCs w:val="22"/>
        </w:rPr>
      </w:pPr>
    </w:p>
    <w:p w14:paraId="00C1EB8A" w14:textId="77777777" w:rsidR="003C3402" w:rsidRPr="003C3402" w:rsidRDefault="003C3402" w:rsidP="00DA760E">
      <w:pPr>
        <w:pStyle w:val="RegularBodyTextMainText"/>
        <w:jc w:val="left"/>
        <w:rPr>
          <w:rFonts w:ascii="Times New Roman" w:eastAsiaTheme="minorEastAsia" w:hAnsi="Times New Roman" w:cs="Times New Roman"/>
          <w:color w:val="auto"/>
          <w:sz w:val="22"/>
          <w:szCs w:val="22"/>
        </w:rPr>
      </w:pPr>
      <w:r w:rsidRPr="003C3402">
        <w:rPr>
          <w:rFonts w:ascii="Times New Roman" w:eastAsiaTheme="minorEastAsia" w:hAnsi="Times New Roman" w:cs="Times New Roman"/>
          <w:color w:val="auto"/>
          <w:sz w:val="22"/>
          <w:szCs w:val="22"/>
        </w:rPr>
        <w:t>Summing together the impacts of taxes, transfers, and purchases, we define the total FIM as</w:t>
      </w:r>
    </w:p>
    <w:p w14:paraId="2A75C734" w14:textId="77777777" w:rsidR="003C3402" w:rsidRPr="003C3402" w:rsidRDefault="003C3402" w:rsidP="003C3402">
      <w:pPr>
        <w:rPr>
          <w:rFonts w:ascii="Times New Roman" w:eastAsiaTheme="minorEastAsia" w:hAnsi="Times New Roman" w:cs="Times New Roman"/>
        </w:rPr>
      </w:pPr>
      <m:oMathPara>
        <m:oMath>
          <m:r>
            <w:rPr>
              <w:rFonts w:ascii="Cambria Math" w:hAnsi="Cambria Math" w:cs="Times New Roman"/>
            </w:rPr>
            <m:t xml:space="preserve">FIM=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G</m:t>
                      </m:r>
                    </m:sub>
                  </m:sSub>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t-1</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t</m:t>
                  </m:r>
                </m:sub>
                <m:sup>
                  <m:r>
                    <w:rPr>
                      <w:rFonts w:ascii="Cambria Math" w:hAnsi="Cambria Math" w:cs="Times New Roman"/>
                    </w:rPr>
                    <m:t>C</m:t>
                  </m:r>
                </m:sup>
              </m:sSubSup>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en>
          </m:f>
        </m:oMath>
      </m:oMathPara>
    </w:p>
    <w:p w14:paraId="0367E6F8" w14:textId="77777777" w:rsidR="00C27105" w:rsidRDefault="00C27105" w:rsidP="003C3402">
      <w:pPr>
        <w:pStyle w:val="FigureTableBoxTitleFiguresTablesBoxes"/>
        <w:rPr>
          <w:rFonts w:ascii="Times New Roman" w:hAnsi="Times New Roman" w:cs="Times New Roman"/>
          <w:color w:val="auto"/>
          <w:sz w:val="22"/>
          <w:szCs w:val="22"/>
        </w:rPr>
      </w:pPr>
      <w:bookmarkStart w:id="5" w:name="_Toc6305163"/>
    </w:p>
    <w:p w14:paraId="4414653D" w14:textId="77777777" w:rsidR="003C3402" w:rsidRPr="003C3402" w:rsidRDefault="003C3402" w:rsidP="003C3402">
      <w:pPr>
        <w:pStyle w:val="FigureTableBoxTitleFiguresTablesBoxes"/>
        <w:rPr>
          <w:rFonts w:ascii="Times New Roman" w:hAnsi="Times New Roman" w:cs="Times New Roman"/>
          <w:color w:val="auto"/>
          <w:sz w:val="22"/>
          <w:szCs w:val="22"/>
        </w:rPr>
      </w:pPr>
      <w:r>
        <w:rPr>
          <w:rFonts w:ascii="Times New Roman" w:hAnsi="Times New Roman" w:cs="Times New Roman"/>
          <w:color w:val="auto"/>
          <w:sz w:val="22"/>
          <w:szCs w:val="22"/>
        </w:rPr>
        <w:t>Table</w:t>
      </w:r>
      <w:r w:rsidR="00C27105">
        <w:rPr>
          <w:rFonts w:ascii="Times New Roman" w:hAnsi="Times New Roman" w:cs="Times New Roman"/>
          <w:color w:val="auto"/>
          <w:sz w:val="22"/>
          <w:szCs w:val="22"/>
        </w:rPr>
        <w:t xml:space="preserve"> 1</w:t>
      </w:r>
      <w:r>
        <w:rPr>
          <w:rFonts w:ascii="Times New Roman" w:hAnsi="Times New Roman" w:cs="Times New Roman"/>
          <w:color w:val="auto"/>
          <w:sz w:val="22"/>
          <w:szCs w:val="22"/>
        </w:rPr>
        <w:t xml:space="preserve">: </w:t>
      </w:r>
      <w:r w:rsidRPr="003C3402">
        <w:rPr>
          <w:rFonts w:ascii="Times New Roman" w:hAnsi="Times New Roman" w:cs="Times New Roman"/>
          <w:color w:val="auto"/>
          <w:sz w:val="22"/>
          <w:szCs w:val="22"/>
        </w:rPr>
        <w:t>Assumed Marginal Propensities to Consume</w:t>
      </w:r>
      <w:bookmarkEnd w:id="5"/>
    </w:p>
    <w:tbl>
      <w:tblPr>
        <w:tblStyle w:val="TableGrid"/>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94"/>
        <w:gridCol w:w="1551"/>
        <w:gridCol w:w="1338"/>
        <w:gridCol w:w="1463"/>
        <w:gridCol w:w="1466"/>
      </w:tblGrid>
      <w:tr w:rsidR="009F3F18" w:rsidRPr="003C3402" w14:paraId="49417C62" w14:textId="77777777" w:rsidTr="009F3F18">
        <w:trPr>
          <w:trHeight w:val="573"/>
        </w:trPr>
        <w:tc>
          <w:tcPr>
            <w:tcW w:w="2413" w:type="dxa"/>
          </w:tcPr>
          <w:p w14:paraId="5D7CACA3" w14:textId="77777777" w:rsidR="009F3F18" w:rsidRPr="003C3402" w:rsidRDefault="009F3F18" w:rsidP="003C3402">
            <w:pPr>
              <w:rPr>
                <w:rFonts w:ascii="Times New Roman" w:hAnsi="Times New Roman" w:cs="Times New Roman"/>
              </w:rPr>
            </w:pPr>
          </w:p>
        </w:tc>
        <w:tc>
          <w:tcPr>
            <w:tcW w:w="7012" w:type="dxa"/>
            <w:gridSpan w:val="5"/>
          </w:tcPr>
          <w:p w14:paraId="12F7D8B6" w14:textId="77777777" w:rsidR="009F3F18" w:rsidRPr="009F3F18" w:rsidRDefault="009F3F18" w:rsidP="009F3F18">
            <w:pPr>
              <w:jc w:val="center"/>
              <w:rPr>
                <w:rFonts w:ascii="Times New Roman" w:hAnsi="Times New Roman" w:cs="Times New Roman"/>
                <w:b/>
                <w:u w:val="single"/>
              </w:rPr>
            </w:pPr>
            <w:r w:rsidRPr="009F3F18">
              <w:rPr>
                <w:rFonts w:ascii="Times New Roman" w:hAnsi="Times New Roman" w:cs="Times New Roman"/>
                <w:b/>
                <w:u w:val="single"/>
              </w:rPr>
              <w:t>Lag of MPC (i)</w:t>
            </w:r>
          </w:p>
        </w:tc>
      </w:tr>
      <w:tr w:rsidR="003C3402" w:rsidRPr="003C3402" w14:paraId="7742BA8A" w14:textId="77777777" w:rsidTr="009F3F18">
        <w:trPr>
          <w:trHeight w:val="480"/>
        </w:trPr>
        <w:tc>
          <w:tcPr>
            <w:tcW w:w="2413" w:type="dxa"/>
          </w:tcPr>
          <w:p w14:paraId="704D9344" w14:textId="77777777" w:rsidR="003C3402" w:rsidRPr="009F3F18" w:rsidRDefault="003C3402" w:rsidP="003C3402">
            <w:pPr>
              <w:rPr>
                <w:rFonts w:ascii="Times New Roman" w:hAnsi="Times New Roman" w:cs="Times New Roman"/>
                <w:b/>
                <w:u w:val="single"/>
              </w:rPr>
            </w:pPr>
            <w:r w:rsidRPr="009F3F18">
              <w:rPr>
                <w:rFonts w:ascii="Times New Roman" w:hAnsi="Times New Roman" w:cs="Times New Roman"/>
                <w:b/>
                <w:u w:val="single"/>
              </w:rPr>
              <w:t>Kind of payment (j)</w:t>
            </w:r>
          </w:p>
        </w:tc>
        <w:tc>
          <w:tcPr>
            <w:tcW w:w="1194" w:type="dxa"/>
          </w:tcPr>
          <w:p w14:paraId="6B178579" w14:textId="77777777" w:rsidR="003C3402" w:rsidRPr="009F3F18" w:rsidRDefault="009F3F18" w:rsidP="009F3F18">
            <w:pPr>
              <w:jc w:val="center"/>
              <w:rPr>
                <w:rFonts w:ascii="Times New Roman" w:hAnsi="Times New Roman" w:cs="Times New Roman"/>
                <w:i/>
              </w:rPr>
            </w:pPr>
            <w:r w:rsidRPr="009F3F18">
              <w:rPr>
                <w:rFonts w:ascii="Times New Roman" w:hAnsi="Times New Roman" w:cs="Times New Roman"/>
                <w:i/>
              </w:rPr>
              <w:t>t-1 thru t-2</w:t>
            </w:r>
          </w:p>
        </w:tc>
        <w:tc>
          <w:tcPr>
            <w:tcW w:w="1551" w:type="dxa"/>
          </w:tcPr>
          <w:p w14:paraId="006850D9" w14:textId="77777777" w:rsidR="003C3402" w:rsidRPr="009F3F18" w:rsidRDefault="009F3F18" w:rsidP="009F3F18">
            <w:pPr>
              <w:jc w:val="center"/>
              <w:rPr>
                <w:rFonts w:ascii="Times New Roman" w:hAnsi="Times New Roman" w:cs="Times New Roman"/>
                <w:i/>
              </w:rPr>
            </w:pPr>
            <w:r w:rsidRPr="009F3F18">
              <w:rPr>
                <w:rFonts w:ascii="Times New Roman" w:hAnsi="Times New Roman" w:cs="Times New Roman"/>
                <w:i/>
              </w:rPr>
              <w:t>t-3 thru t-4</w:t>
            </w:r>
          </w:p>
        </w:tc>
        <w:tc>
          <w:tcPr>
            <w:tcW w:w="1338" w:type="dxa"/>
          </w:tcPr>
          <w:p w14:paraId="3CF238E0" w14:textId="77777777" w:rsidR="003C3402" w:rsidRPr="009F3F18" w:rsidRDefault="009F3F18" w:rsidP="009F3F18">
            <w:pPr>
              <w:jc w:val="center"/>
              <w:rPr>
                <w:rFonts w:ascii="Times New Roman" w:hAnsi="Times New Roman" w:cs="Times New Roman"/>
                <w:i/>
              </w:rPr>
            </w:pPr>
            <w:r w:rsidRPr="009F3F18">
              <w:rPr>
                <w:rFonts w:ascii="Times New Roman" w:hAnsi="Times New Roman" w:cs="Times New Roman"/>
                <w:i/>
              </w:rPr>
              <w:t>t-5 thru t-8</w:t>
            </w:r>
          </w:p>
        </w:tc>
        <w:tc>
          <w:tcPr>
            <w:tcW w:w="1463" w:type="dxa"/>
          </w:tcPr>
          <w:p w14:paraId="337CAB04" w14:textId="77777777" w:rsidR="003C3402" w:rsidRPr="009F3F18" w:rsidRDefault="009F3F18" w:rsidP="009F3F18">
            <w:pPr>
              <w:jc w:val="center"/>
              <w:rPr>
                <w:rFonts w:ascii="Times New Roman" w:hAnsi="Times New Roman" w:cs="Times New Roman"/>
                <w:i/>
              </w:rPr>
            </w:pPr>
            <w:r w:rsidRPr="009F3F18">
              <w:rPr>
                <w:rFonts w:ascii="Times New Roman" w:hAnsi="Times New Roman" w:cs="Times New Roman"/>
                <w:i/>
              </w:rPr>
              <w:t>t-9 thru t-12</w:t>
            </w:r>
          </w:p>
        </w:tc>
        <w:tc>
          <w:tcPr>
            <w:tcW w:w="1465" w:type="dxa"/>
          </w:tcPr>
          <w:p w14:paraId="50B97ECF" w14:textId="77777777" w:rsidR="003C3402" w:rsidRPr="009F3F18" w:rsidRDefault="003C3402" w:rsidP="009F3F18">
            <w:pPr>
              <w:jc w:val="center"/>
              <w:rPr>
                <w:rFonts w:ascii="Times New Roman" w:hAnsi="Times New Roman" w:cs="Times New Roman"/>
                <w:i/>
              </w:rPr>
            </w:pPr>
            <w:r w:rsidRPr="009F3F18">
              <w:rPr>
                <w:rFonts w:ascii="Times New Roman" w:hAnsi="Times New Roman" w:cs="Times New Roman"/>
                <w:i/>
              </w:rPr>
              <w:t>Total MPC</w:t>
            </w:r>
          </w:p>
        </w:tc>
      </w:tr>
      <w:tr w:rsidR="003C3402" w:rsidRPr="003C3402" w14:paraId="2F9556F5" w14:textId="77777777" w:rsidTr="009F3F18">
        <w:trPr>
          <w:trHeight w:val="292"/>
        </w:trPr>
        <w:tc>
          <w:tcPr>
            <w:tcW w:w="2413" w:type="dxa"/>
          </w:tcPr>
          <w:p w14:paraId="55FB3D30" w14:textId="77777777" w:rsidR="003C3402" w:rsidRPr="009F3F18" w:rsidRDefault="003C3402" w:rsidP="003C3402">
            <w:pPr>
              <w:rPr>
                <w:rFonts w:ascii="Times New Roman" w:hAnsi="Times New Roman" w:cs="Times New Roman"/>
                <w:i/>
              </w:rPr>
            </w:pPr>
            <w:r w:rsidRPr="009F3F18">
              <w:rPr>
                <w:rFonts w:ascii="Times New Roman" w:hAnsi="Times New Roman" w:cs="Times New Roman"/>
                <w:i/>
              </w:rPr>
              <w:t>Government Purchases</w:t>
            </w:r>
          </w:p>
        </w:tc>
        <w:tc>
          <w:tcPr>
            <w:tcW w:w="1194" w:type="dxa"/>
          </w:tcPr>
          <w:p w14:paraId="22673A6C"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1.0</w:t>
            </w:r>
          </w:p>
        </w:tc>
        <w:tc>
          <w:tcPr>
            <w:tcW w:w="1551" w:type="dxa"/>
          </w:tcPr>
          <w:p w14:paraId="6D390EDC"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w:t>
            </w:r>
          </w:p>
        </w:tc>
        <w:tc>
          <w:tcPr>
            <w:tcW w:w="1338" w:type="dxa"/>
          </w:tcPr>
          <w:p w14:paraId="40FBEEA8"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w:t>
            </w:r>
          </w:p>
        </w:tc>
        <w:tc>
          <w:tcPr>
            <w:tcW w:w="1463" w:type="dxa"/>
          </w:tcPr>
          <w:p w14:paraId="1BFF69B1"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w:t>
            </w:r>
          </w:p>
        </w:tc>
        <w:tc>
          <w:tcPr>
            <w:tcW w:w="1465" w:type="dxa"/>
          </w:tcPr>
          <w:p w14:paraId="308669CB"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1.0</w:t>
            </w:r>
          </w:p>
        </w:tc>
      </w:tr>
      <w:tr w:rsidR="003C3402" w:rsidRPr="003C3402" w14:paraId="5DC5E7F1" w14:textId="77777777" w:rsidTr="009F3F18">
        <w:trPr>
          <w:trHeight w:val="279"/>
        </w:trPr>
        <w:tc>
          <w:tcPr>
            <w:tcW w:w="2413" w:type="dxa"/>
          </w:tcPr>
          <w:p w14:paraId="0F35B00D" w14:textId="77777777" w:rsidR="003C3402" w:rsidRPr="009F3F18" w:rsidRDefault="003C3402" w:rsidP="003C3402">
            <w:pPr>
              <w:rPr>
                <w:rFonts w:ascii="Times New Roman" w:hAnsi="Times New Roman" w:cs="Times New Roman"/>
                <w:i/>
              </w:rPr>
            </w:pPr>
            <w:r w:rsidRPr="009F3F18">
              <w:rPr>
                <w:rFonts w:ascii="Times New Roman" w:hAnsi="Times New Roman" w:cs="Times New Roman"/>
                <w:i/>
              </w:rPr>
              <w:t>Transfers</w:t>
            </w:r>
          </w:p>
        </w:tc>
        <w:tc>
          <w:tcPr>
            <w:tcW w:w="1194" w:type="dxa"/>
          </w:tcPr>
          <w:p w14:paraId="19AF9B4C"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0.225</w:t>
            </w:r>
          </w:p>
        </w:tc>
        <w:tc>
          <w:tcPr>
            <w:tcW w:w="1551" w:type="dxa"/>
          </w:tcPr>
          <w:p w14:paraId="00E56B69"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0.225</w:t>
            </w:r>
          </w:p>
        </w:tc>
        <w:tc>
          <w:tcPr>
            <w:tcW w:w="1338" w:type="dxa"/>
          </w:tcPr>
          <w:p w14:paraId="7C56427B"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w:t>
            </w:r>
          </w:p>
        </w:tc>
        <w:tc>
          <w:tcPr>
            <w:tcW w:w="1463" w:type="dxa"/>
          </w:tcPr>
          <w:p w14:paraId="14415063"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w:t>
            </w:r>
          </w:p>
        </w:tc>
        <w:tc>
          <w:tcPr>
            <w:tcW w:w="1465" w:type="dxa"/>
          </w:tcPr>
          <w:p w14:paraId="28B5B3F8"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0.9</w:t>
            </w:r>
          </w:p>
        </w:tc>
      </w:tr>
      <w:tr w:rsidR="003C3402" w:rsidRPr="003C3402" w14:paraId="797660EB" w14:textId="77777777" w:rsidTr="009F3F18">
        <w:trPr>
          <w:trHeight w:val="292"/>
        </w:trPr>
        <w:tc>
          <w:tcPr>
            <w:tcW w:w="2413" w:type="dxa"/>
          </w:tcPr>
          <w:p w14:paraId="0C5FE0E5" w14:textId="77777777" w:rsidR="003C3402" w:rsidRPr="009F3F18" w:rsidRDefault="003C3402" w:rsidP="003C3402">
            <w:pPr>
              <w:rPr>
                <w:rFonts w:ascii="Times New Roman" w:hAnsi="Times New Roman" w:cs="Times New Roman"/>
                <w:i/>
              </w:rPr>
            </w:pPr>
            <w:r w:rsidRPr="009F3F18">
              <w:rPr>
                <w:rFonts w:ascii="Times New Roman" w:hAnsi="Times New Roman" w:cs="Times New Roman"/>
                <w:i/>
              </w:rPr>
              <w:t>Individual Taxes</w:t>
            </w:r>
          </w:p>
        </w:tc>
        <w:tc>
          <w:tcPr>
            <w:tcW w:w="1194" w:type="dxa"/>
          </w:tcPr>
          <w:p w14:paraId="55436A96"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0.12</w:t>
            </w:r>
          </w:p>
        </w:tc>
        <w:tc>
          <w:tcPr>
            <w:tcW w:w="1551" w:type="dxa"/>
          </w:tcPr>
          <w:p w14:paraId="165CDB94"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0.06</w:t>
            </w:r>
          </w:p>
        </w:tc>
        <w:tc>
          <w:tcPr>
            <w:tcW w:w="1338" w:type="dxa"/>
          </w:tcPr>
          <w:p w14:paraId="03608381"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0.06</w:t>
            </w:r>
          </w:p>
        </w:tc>
        <w:tc>
          <w:tcPr>
            <w:tcW w:w="1463" w:type="dxa"/>
          </w:tcPr>
          <w:p w14:paraId="28A18AF6" w14:textId="77777777" w:rsidR="009F3F18" w:rsidRPr="003C3402" w:rsidRDefault="009F3F18" w:rsidP="009F3F18">
            <w:pPr>
              <w:jc w:val="center"/>
              <w:rPr>
                <w:rFonts w:ascii="Times New Roman" w:hAnsi="Times New Roman" w:cs="Times New Roman"/>
              </w:rPr>
            </w:pPr>
            <w:r>
              <w:rPr>
                <w:rFonts w:ascii="Times New Roman" w:hAnsi="Times New Roman" w:cs="Times New Roman"/>
              </w:rPr>
              <w:t>0</w:t>
            </w:r>
          </w:p>
        </w:tc>
        <w:tc>
          <w:tcPr>
            <w:tcW w:w="1465" w:type="dxa"/>
          </w:tcPr>
          <w:p w14:paraId="585CC174"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0.6</w:t>
            </w:r>
          </w:p>
        </w:tc>
      </w:tr>
      <w:tr w:rsidR="003C3402" w:rsidRPr="003C3402" w14:paraId="1B1888D9" w14:textId="77777777" w:rsidTr="009F3F18">
        <w:trPr>
          <w:trHeight w:val="279"/>
        </w:trPr>
        <w:tc>
          <w:tcPr>
            <w:tcW w:w="2413" w:type="dxa"/>
          </w:tcPr>
          <w:p w14:paraId="4D711925" w14:textId="77777777" w:rsidR="003C3402" w:rsidRPr="009F3F18" w:rsidRDefault="003C3402" w:rsidP="003C3402">
            <w:pPr>
              <w:rPr>
                <w:rFonts w:ascii="Times New Roman" w:hAnsi="Times New Roman" w:cs="Times New Roman"/>
                <w:i/>
              </w:rPr>
            </w:pPr>
            <w:r w:rsidRPr="009F3F18">
              <w:rPr>
                <w:rFonts w:ascii="Times New Roman" w:hAnsi="Times New Roman" w:cs="Times New Roman"/>
                <w:i/>
              </w:rPr>
              <w:t>Corporate Taxes</w:t>
            </w:r>
          </w:p>
        </w:tc>
        <w:tc>
          <w:tcPr>
            <w:tcW w:w="1194" w:type="dxa"/>
          </w:tcPr>
          <w:p w14:paraId="06DE915D"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0.033</w:t>
            </w:r>
          </w:p>
        </w:tc>
        <w:tc>
          <w:tcPr>
            <w:tcW w:w="1551" w:type="dxa"/>
          </w:tcPr>
          <w:p w14:paraId="237B45FF"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0.033</w:t>
            </w:r>
          </w:p>
        </w:tc>
        <w:tc>
          <w:tcPr>
            <w:tcW w:w="1338" w:type="dxa"/>
          </w:tcPr>
          <w:p w14:paraId="4B391DBB"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0.033</w:t>
            </w:r>
          </w:p>
        </w:tc>
        <w:tc>
          <w:tcPr>
            <w:tcW w:w="1463" w:type="dxa"/>
          </w:tcPr>
          <w:p w14:paraId="69365D75"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0.033</w:t>
            </w:r>
          </w:p>
        </w:tc>
        <w:tc>
          <w:tcPr>
            <w:tcW w:w="1465" w:type="dxa"/>
          </w:tcPr>
          <w:p w14:paraId="65AC3921" w14:textId="77777777" w:rsidR="003C3402" w:rsidRPr="003C3402" w:rsidRDefault="003C3402" w:rsidP="009F3F18">
            <w:pPr>
              <w:jc w:val="center"/>
              <w:rPr>
                <w:rFonts w:ascii="Times New Roman" w:hAnsi="Times New Roman" w:cs="Times New Roman"/>
              </w:rPr>
            </w:pPr>
            <w:r w:rsidRPr="003C3402">
              <w:rPr>
                <w:rFonts w:ascii="Times New Roman" w:hAnsi="Times New Roman" w:cs="Times New Roman"/>
              </w:rPr>
              <w:t>0.4</w:t>
            </w:r>
          </w:p>
        </w:tc>
      </w:tr>
    </w:tbl>
    <w:p w14:paraId="1746A8DA" w14:textId="77777777" w:rsidR="00070AD0" w:rsidRPr="003C3402" w:rsidRDefault="00197943">
      <w:pPr>
        <w:rPr>
          <w:rFonts w:ascii="Times New Roman" w:hAnsi="Times New Roman" w:cs="Times New Roman"/>
        </w:rPr>
      </w:pPr>
    </w:p>
    <w:sectPr w:rsidR="00070AD0" w:rsidRPr="003C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age Belz" w:date="2019-07-24T16:05:00Z" w:initials="SB">
    <w:p w14:paraId="43CCE3C1" w14:textId="77777777" w:rsidR="003C3402" w:rsidRDefault="003C3402">
      <w:pPr>
        <w:pStyle w:val="CommentText"/>
      </w:pPr>
      <w:r>
        <w:rPr>
          <w:rStyle w:val="CommentReference"/>
        </w:rPr>
        <w:annotationRef/>
      </w:r>
      <w:r>
        <w:t xml:space="preserve">This was a + sign in the </w:t>
      </w:r>
      <w:proofErr w:type="spellStart"/>
      <w:r>
        <w:t>hamilton</w:t>
      </w:r>
      <w:proofErr w:type="spellEnd"/>
      <w:r>
        <w:t xml:space="preserve"> paper. I’m pretty sure it needs to be negative (intuitively, and so that the negative cancels out and you get a positive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CE3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CE3C1" w16cid:durableId="20E300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Photina MT Std">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0E"/>
    <w:rsid w:val="000929AE"/>
    <w:rsid w:val="000C1149"/>
    <w:rsid w:val="000E298A"/>
    <w:rsid w:val="00197943"/>
    <w:rsid w:val="001D2771"/>
    <w:rsid w:val="00231B56"/>
    <w:rsid w:val="003C3402"/>
    <w:rsid w:val="00741530"/>
    <w:rsid w:val="008B0DA3"/>
    <w:rsid w:val="009F3F18"/>
    <w:rsid w:val="00B267F0"/>
    <w:rsid w:val="00C27105"/>
    <w:rsid w:val="00D90198"/>
    <w:rsid w:val="00DA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596E"/>
  <w15:chartTrackingRefBased/>
  <w15:docId w15:val="{031C0DD0-B5B0-4164-83BE-85B3AB80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BodyTextMainText">
    <w:name w:val="Regular Body Text (Main Text)"/>
    <w:basedOn w:val="Normal"/>
    <w:uiPriority w:val="99"/>
    <w:qFormat/>
    <w:rsid w:val="00DA760E"/>
    <w:pPr>
      <w:widowControl w:val="0"/>
      <w:tabs>
        <w:tab w:val="left" w:pos="720"/>
      </w:tabs>
      <w:suppressAutoHyphens/>
      <w:autoSpaceDE w:val="0"/>
      <w:autoSpaceDN w:val="0"/>
      <w:adjustRightInd w:val="0"/>
      <w:spacing w:after="180" w:line="260" w:lineRule="atLeast"/>
      <w:jc w:val="both"/>
      <w:textAlignment w:val="center"/>
    </w:pPr>
    <w:rPr>
      <w:rFonts w:ascii="Minion Pro" w:eastAsia="Times New Roman" w:hAnsi="Minion Pro" w:cs="Minion Pro"/>
      <w:color w:val="000000"/>
      <w:sz w:val="20"/>
      <w:szCs w:val="20"/>
    </w:rPr>
  </w:style>
  <w:style w:type="paragraph" w:customStyle="1" w:styleId="Heading2MainText">
    <w:name w:val="Heading 2 (Main Text)"/>
    <w:basedOn w:val="Normal"/>
    <w:uiPriority w:val="99"/>
    <w:qFormat/>
    <w:rsid w:val="00DA760E"/>
    <w:pPr>
      <w:keepNext/>
      <w:keepLines/>
      <w:widowControl w:val="0"/>
      <w:tabs>
        <w:tab w:val="left" w:pos="720"/>
      </w:tabs>
      <w:suppressAutoHyphens/>
      <w:autoSpaceDE w:val="0"/>
      <w:autoSpaceDN w:val="0"/>
      <w:adjustRightInd w:val="0"/>
      <w:spacing w:after="100" w:line="260" w:lineRule="atLeast"/>
      <w:jc w:val="both"/>
      <w:textAlignment w:val="center"/>
      <w:outlineLvl w:val="1"/>
    </w:pPr>
    <w:rPr>
      <w:rFonts w:ascii="HelveticaNeueLT Std Med" w:eastAsia="Times New Roman" w:hAnsi="HelveticaNeueLT Std Med" w:cs="HelveticaNeueLT Std Med"/>
      <w:caps/>
      <w:color w:val="008079"/>
      <w:spacing w:val="7"/>
      <w:sz w:val="18"/>
      <w:szCs w:val="18"/>
    </w:rPr>
  </w:style>
  <w:style w:type="character" w:styleId="CommentReference">
    <w:name w:val="annotation reference"/>
    <w:basedOn w:val="DefaultParagraphFont"/>
    <w:uiPriority w:val="99"/>
    <w:semiHidden/>
    <w:unhideWhenUsed/>
    <w:rsid w:val="003C3402"/>
    <w:rPr>
      <w:sz w:val="16"/>
      <w:szCs w:val="16"/>
    </w:rPr>
  </w:style>
  <w:style w:type="paragraph" w:styleId="CommentText">
    <w:name w:val="annotation text"/>
    <w:basedOn w:val="Normal"/>
    <w:link w:val="CommentTextChar"/>
    <w:uiPriority w:val="99"/>
    <w:semiHidden/>
    <w:unhideWhenUsed/>
    <w:rsid w:val="003C3402"/>
    <w:pPr>
      <w:spacing w:line="240" w:lineRule="auto"/>
    </w:pPr>
    <w:rPr>
      <w:sz w:val="20"/>
      <w:szCs w:val="20"/>
    </w:rPr>
  </w:style>
  <w:style w:type="character" w:customStyle="1" w:styleId="CommentTextChar">
    <w:name w:val="Comment Text Char"/>
    <w:basedOn w:val="DefaultParagraphFont"/>
    <w:link w:val="CommentText"/>
    <w:uiPriority w:val="99"/>
    <w:semiHidden/>
    <w:rsid w:val="003C3402"/>
    <w:rPr>
      <w:sz w:val="20"/>
      <w:szCs w:val="20"/>
    </w:rPr>
  </w:style>
  <w:style w:type="paragraph" w:styleId="CommentSubject">
    <w:name w:val="annotation subject"/>
    <w:basedOn w:val="CommentText"/>
    <w:next w:val="CommentText"/>
    <w:link w:val="CommentSubjectChar"/>
    <w:uiPriority w:val="99"/>
    <w:semiHidden/>
    <w:unhideWhenUsed/>
    <w:rsid w:val="003C3402"/>
    <w:rPr>
      <w:b/>
      <w:bCs/>
    </w:rPr>
  </w:style>
  <w:style w:type="character" w:customStyle="1" w:styleId="CommentSubjectChar">
    <w:name w:val="Comment Subject Char"/>
    <w:basedOn w:val="CommentTextChar"/>
    <w:link w:val="CommentSubject"/>
    <w:uiPriority w:val="99"/>
    <w:semiHidden/>
    <w:rsid w:val="003C3402"/>
    <w:rPr>
      <w:b/>
      <w:bCs/>
      <w:sz w:val="20"/>
      <w:szCs w:val="20"/>
    </w:rPr>
  </w:style>
  <w:style w:type="paragraph" w:styleId="BalloonText">
    <w:name w:val="Balloon Text"/>
    <w:basedOn w:val="Normal"/>
    <w:link w:val="BalloonTextChar"/>
    <w:uiPriority w:val="99"/>
    <w:semiHidden/>
    <w:unhideWhenUsed/>
    <w:rsid w:val="003C3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402"/>
    <w:rPr>
      <w:rFonts w:ascii="Segoe UI" w:hAnsi="Segoe UI" w:cs="Segoe UI"/>
      <w:sz w:val="18"/>
      <w:szCs w:val="18"/>
    </w:rPr>
  </w:style>
  <w:style w:type="paragraph" w:customStyle="1" w:styleId="FigureTableBoxTitleFiguresTablesBoxes">
    <w:name w:val="Figure/Table/Box Title (Figures/Tables/Boxes)"/>
    <w:basedOn w:val="Normal"/>
    <w:uiPriority w:val="99"/>
    <w:qFormat/>
    <w:rsid w:val="003C3402"/>
    <w:pPr>
      <w:widowControl w:val="0"/>
      <w:tabs>
        <w:tab w:val="left" w:pos="900"/>
      </w:tabs>
      <w:suppressAutoHyphens/>
      <w:autoSpaceDE w:val="0"/>
      <w:autoSpaceDN w:val="0"/>
      <w:adjustRightInd w:val="0"/>
      <w:spacing w:after="180" w:line="320" w:lineRule="atLeast"/>
      <w:textAlignment w:val="center"/>
    </w:pPr>
    <w:rPr>
      <w:rFonts w:ascii="Photina MT Std" w:eastAsia="Times New Roman" w:hAnsi="Photina MT Std" w:cs="Photina MT Std"/>
      <w:color w:val="00AF3D"/>
      <w:sz w:val="28"/>
      <w:szCs w:val="28"/>
    </w:rPr>
  </w:style>
  <w:style w:type="paragraph" w:customStyle="1" w:styleId="FigureTableBoxNumberFiguresTablesBoxes">
    <w:name w:val="Figure/Table/Box Number (Figures/Tables/Boxes)"/>
    <w:basedOn w:val="Normal"/>
    <w:uiPriority w:val="99"/>
    <w:qFormat/>
    <w:rsid w:val="003C3402"/>
    <w:pPr>
      <w:widowControl w:val="0"/>
      <w:tabs>
        <w:tab w:val="left" w:pos="900"/>
      </w:tabs>
      <w:autoSpaceDE w:val="0"/>
      <w:autoSpaceDN w:val="0"/>
      <w:adjustRightInd w:val="0"/>
      <w:spacing w:after="0" w:line="320" w:lineRule="atLeast"/>
      <w:textAlignment w:val="center"/>
      <w:outlineLvl w:val="3"/>
    </w:pPr>
    <w:rPr>
      <w:rFonts w:ascii="HelveticaNeueLT Std Med" w:eastAsia="Times New Roman" w:hAnsi="HelveticaNeueLT Std Med" w:cs="HelveticaNeueLT Std Med"/>
      <w:caps/>
      <w:color w:val="00AF3D"/>
      <w:spacing w:val="5"/>
      <w:sz w:val="13"/>
      <w:szCs w:val="13"/>
    </w:rPr>
  </w:style>
  <w:style w:type="table" w:styleId="TableGrid">
    <w:name w:val="Table Grid"/>
    <w:basedOn w:val="TableNormal"/>
    <w:uiPriority w:val="39"/>
    <w:rsid w:val="003C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2582DD-E335-4C83-AB86-34B1A2F2C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D8A8D-8A03-4B76-B078-5AE7FAB512C0}">
  <ds:schemaRefs>
    <ds:schemaRef ds:uri="http://schemas.microsoft.com/sharepoint/v3/contenttype/forms"/>
  </ds:schemaRefs>
</ds:datastoreItem>
</file>

<file path=customXml/itemProps3.xml><?xml version="1.0" encoding="utf-8"?>
<ds:datastoreItem xmlns:ds="http://schemas.openxmlformats.org/officeDocument/2006/customXml" ds:itemID="{6ECBEF8C-8A92-420F-B387-51B95ABF28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cp:revision>
  <dcterms:created xsi:type="dcterms:W3CDTF">2019-07-24T18:58:00Z</dcterms:created>
  <dcterms:modified xsi:type="dcterms:W3CDTF">2019-07-25T20:56:00Z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