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DB7C0" w14:textId="77777777" w:rsidR="00700B28" w:rsidRPr="00CC52F8" w:rsidRDefault="00700B28" w:rsidP="00700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2F8">
        <w:rPr>
          <w:rFonts w:ascii="Times New Roman" w:hAnsi="Times New Roman" w:cs="Times New Roman"/>
          <w:sz w:val="24"/>
          <w:szCs w:val="24"/>
        </w:rPr>
        <w:t xml:space="preserve">A Guide to the Hutchins Center Fiscal Impact Measure </w:t>
      </w:r>
    </w:p>
    <w:p w14:paraId="72AEF306" w14:textId="77777777" w:rsidR="000D47B7" w:rsidRPr="00CC52F8" w:rsidRDefault="000D47B7" w:rsidP="00252BAF">
      <w:pPr>
        <w:rPr>
          <w:rFonts w:ascii="Times New Roman" w:hAnsi="Times New Roman" w:cs="Times New Roman"/>
          <w:i/>
          <w:sz w:val="20"/>
          <w:szCs w:val="20"/>
        </w:rPr>
      </w:pPr>
      <w:r w:rsidRPr="00CC52F8">
        <w:rPr>
          <w:rFonts w:ascii="Times New Roman" w:hAnsi="Times New Roman" w:cs="Times New Roman"/>
          <w:i/>
          <w:sz w:val="20"/>
          <w:szCs w:val="20"/>
        </w:rPr>
        <w:t>What is the FIM?</w:t>
      </w:r>
    </w:p>
    <w:p w14:paraId="3CAE28D0" w14:textId="64AF0545" w:rsidR="00AD7F75" w:rsidRPr="00CC52F8" w:rsidRDefault="00E21765" w:rsidP="00252BAF">
      <w:pPr>
        <w:rPr>
          <w:rFonts w:ascii="Times New Roman" w:hAnsi="Times New Roman" w:cs="Times New Roman"/>
          <w:sz w:val="20"/>
          <w:szCs w:val="20"/>
        </w:rPr>
      </w:pPr>
      <w:r w:rsidRPr="00CC52F8">
        <w:rPr>
          <w:rFonts w:ascii="Times New Roman" w:hAnsi="Times New Roman" w:cs="Times New Roman"/>
          <w:sz w:val="20"/>
          <w:szCs w:val="20"/>
        </w:rPr>
        <w:t xml:space="preserve">The </w:t>
      </w:r>
      <w:hyperlink r:id="rId7" w:history="1">
        <w:r w:rsidRPr="00CC52F8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Fiscal Impact </w:t>
        </w:r>
        <w:r w:rsidR="00565A77" w:rsidRPr="00CC52F8">
          <w:rPr>
            <w:rStyle w:val="Hyperlink"/>
            <w:rFonts w:ascii="Times New Roman" w:hAnsi="Times New Roman" w:cs="Times New Roman"/>
            <w:sz w:val="20"/>
            <w:szCs w:val="20"/>
          </w:rPr>
          <w:t>Measure</w:t>
        </w:r>
      </w:hyperlink>
      <w:r w:rsidR="00565A77" w:rsidRPr="00CC52F8">
        <w:rPr>
          <w:rFonts w:ascii="Times New Roman" w:hAnsi="Times New Roman" w:cs="Times New Roman"/>
          <w:sz w:val="20"/>
          <w:szCs w:val="20"/>
        </w:rPr>
        <w:t xml:space="preserve"> (FIM) </w:t>
      </w:r>
      <w:r w:rsidR="00252BAF" w:rsidRPr="00CC52F8">
        <w:rPr>
          <w:rFonts w:ascii="Times New Roman" w:hAnsi="Times New Roman" w:cs="Times New Roman"/>
          <w:sz w:val="20"/>
          <w:szCs w:val="20"/>
        </w:rPr>
        <w:t>is a tool created the Hutchins Center to illustrate how much</w:t>
      </w:r>
      <w:r w:rsidR="00D949F1" w:rsidRPr="00CC52F8">
        <w:rPr>
          <w:rFonts w:ascii="Times New Roman" w:hAnsi="Times New Roman" w:cs="Times New Roman"/>
          <w:sz w:val="20"/>
          <w:szCs w:val="20"/>
        </w:rPr>
        <w:t xml:space="preserve"> local, state and federal </w:t>
      </w:r>
      <w:r w:rsidR="00252BAF" w:rsidRPr="00CC52F8">
        <w:rPr>
          <w:rFonts w:ascii="Times New Roman" w:hAnsi="Times New Roman" w:cs="Times New Roman"/>
          <w:sz w:val="20"/>
          <w:szCs w:val="20"/>
        </w:rPr>
        <w:t>fiscal policy adds to or subtracts from overall economic growth.</w:t>
      </w:r>
      <w:r w:rsidR="00565A77" w:rsidRPr="00CC52F8">
        <w:rPr>
          <w:rFonts w:ascii="Times New Roman" w:hAnsi="Times New Roman" w:cs="Times New Roman"/>
          <w:sz w:val="20"/>
          <w:szCs w:val="20"/>
        </w:rPr>
        <w:t xml:space="preserve"> </w:t>
      </w:r>
      <w:r w:rsidR="00930284" w:rsidRPr="00CC52F8">
        <w:rPr>
          <w:rFonts w:ascii="Times New Roman" w:hAnsi="Times New Roman" w:cs="Times New Roman"/>
          <w:sz w:val="20"/>
          <w:szCs w:val="20"/>
        </w:rPr>
        <w:t>When</w:t>
      </w:r>
      <w:r w:rsidR="00786389" w:rsidRPr="00CC52F8">
        <w:rPr>
          <w:rFonts w:ascii="Times New Roman" w:hAnsi="Times New Roman" w:cs="Times New Roman"/>
          <w:sz w:val="20"/>
          <w:szCs w:val="20"/>
        </w:rPr>
        <w:t xml:space="preserve"> the</w:t>
      </w:r>
      <w:r w:rsidR="00930284" w:rsidRPr="00CC52F8">
        <w:rPr>
          <w:rFonts w:ascii="Times New Roman" w:hAnsi="Times New Roman" w:cs="Times New Roman"/>
          <w:sz w:val="20"/>
          <w:szCs w:val="20"/>
        </w:rPr>
        <w:t xml:space="preserve"> FIM is positive, </w:t>
      </w:r>
      <w:r w:rsidR="00517298" w:rsidRPr="00CC52F8">
        <w:rPr>
          <w:rFonts w:ascii="Times New Roman" w:hAnsi="Times New Roman" w:cs="Times New Roman"/>
          <w:sz w:val="20"/>
          <w:szCs w:val="20"/>
        </w:rPr>
        <w:t>policy</w:t>
      </w:r>
      <w:r w:rsidR="00930284" w:rsidRPr="00CC52F8">
        <w:rPr>
          <w:rFonts w:ascii="Times New Roman" w:hAnsi="Times New Roman" w:cs="Times New Roman"/>
          <w:sz w:val="20"/>
          <w:szCs w:val="20"/>
        </w:rPr>
        <w:t xml:space="preserve"> is </w:t>
      </w:r>
      <w:r w:rsidR="007571C7" w:rsidRPr="00CC52F8">
        <w:rPr>
          <w:rFonts w:ascii="Times New Roman" w:hAnsi="Times New Roman" w:cs="Times New Roman"/>
          <w:sz w:val="20"/>
          <w:szCs w:val="20"/>
        </w:rPr>
        <w:t xml:space="preserve">expansionary in the sense that </w:t>
      </w:r>
      <w:r w:rsidR="00403C4E" w:rsidRPr="00CC52F8">
        <w:rPr>
          <w:rFonts w:ascii="Times New Roman" w:hAnsi="Times New Roman" w:cs="Times New Roman"/>
          <w:sz w:val="20"/>
          <w:szCs w:val="20"/>
        </w:rPr>
        <w:t xml:space="preserve">it </w:t>
      </w:r>
      <w:r w:rsidR="007571C7" w:rsidRPr="00CC52F8">
        <w:rPr>
          <w:rFonts w:ascii="Times New Roman" w:hAnsi="Times New Roman" w:cs="Times New Roman"/>
          <w:sz w:val="20"/>
          <w:szCs w:val="20"/>
        </w:rPr>
        <w:t xml:space="preserve">is pushing growth in </w:t>
      </w:r>
      <w:r w:rsidR="00930284" w:rsidRPr="00CC52F8">
        <w:rPr>
          <w:rFonts w:ascii="Times New Roman" w:hAnsi="Times New Roman" w:cs="Times New Roman"/>
          <w:sz w:val="20"/>
          <w:szCs w:val="20"/>
        </w:rPr>
        <w:t>real Gross Domestic Product (GDP)</w:t>
      </w:r>
      <w:r w:rsidR="007571C7" w:rsidRPr="00CC52F8">
        <w:rPr>
          <w:rFonts w:ascii="Times New Roman" w:hAnsi="Times New Roman" w:cs="Times New Roman"/>
          <w:sz w:val="20"/>
          <w:szCs w:val="20"/>
        </w:rPr>
        <w:t xml:space="preserve"> above its longer-run potential. </w:t>
      </w:r>
      <w:r w:rsidR="000A2EE6" w:rsidRPr="00CC52F8">
        <w:rPr>
          <w:rFonts w:ascii="Times New Roman" w:hAnsi="Times New Roman" w:cs="Times New Roman"/>
          <w:sz w:val="20"/>
          <w:szCs w:val="20"/>
        </w:rPr>
        <w:t>When the FIM is negative</w:t>
      </w:r>
      <w:r w:rsidR="00930284" w:rsidRPr="00CC52F8">
        <w:rPr>
          <w:rFonts w:ascii="Times New Roman" w:hAnsi="Times New Roman" w:cs="Times New Roman"/>
          <w:sz w:val="20"/>
          <w:szCs w:val="20"/>
        </w:rPr>
        <w:t xml:space="preserve">, </w:t>
      </w:r>
      <w:r w:rsidR="000A2EE6" w:rsidRPr="00CC52F8">
        <w:rPr>
          <w:rFonts w:ascii="Times New Roman" w:hAnsi="Times New Roman" w:cs="Times New Roman"/>
          <w:sz w:val="20"/>
          <w:szCs w:val="20"/>
        </w:rPr>
        <w:t xml:space="preserve">policy is lowering real GDP growth relative to potential. </w:t>
      </w:r>
      <w:r w:rsidR="00AD7F75" w:rsidRPr="00CC52F8">
        <w:rPr>
          <w:rFonts w:ascii="Times New Roman" w:hAnsi="Times New Roman" w:cs="Times New Roman"/>
          <w:sz w:val="20"/>
          <w:szCs w:val="20"/>
        </w:rPr>
        <w:t xml:space="preserve">The FIM </w:t>
      </w:r>
      <w:r w:rsidR="002C33E6" w:rsidRPr="00CC52F8">
        <w:rPr>
          <w:rFonts w:ascii="Times New Roman" w:hAnsi="Times New Roman" w:cs="Times New Roman"/>
          <w:sz w:val="20"/>
          <w:szCs w:val="20"/>
        </w:rPr>
        <w:t xml:space="preserve">is broader than measures of fiscal impetus that rely on the size of the federal deficit because it includes the </w:t>
      </w:r>
      <w:r w:rsidR="00AD7F75" w:rsidRPr="00CC52F8">
        <w:rPr>
          <w:rFonts w:ascii="Times New Roman" w:hAnsi="Times New Roman" w:cs="Times New Roman"/>
          <w:sz w:val="20"/>
          <w:szCs w:val="20"/>
        </w:rPr>
        <w:t xml:space="preserve">includes the direct effects of </w:t>
      </w:r>
      <w:r w:rsidR="002C33E6" w:rsidRPr="00CC52F8">
        <w:rPr>
          <w:rFonts w:ascii="Times New Roman" w:hAnsi="Times New Roman" w:cs="Times New Roman"/>
          <w:sz w:val="20"/>
          <w:szCs w:val="20"/>
        </w:rPr>
        <w:t xml:space="preserve">federal, state, and local </w:t>
      </w:r>
      <w:r w:rsidR="00AD7F75" w:rsidRPr="00CC52F8">
        <w:rPr>
          <w:rFonts w:ascii="Times New Roman" w:hAnsi="Times New Roman" w:cs="Times New Roman"/>
          <w:sz w:val="20"/>
          <w:szCs w:val="20"/>
        </w:rPr>
        <w:t>government purchases as well as the more indirect effects of government taxes and government transfers</w:t>
      </w:r>
      <w:r w:rsidR="002C33E6" w:rsidRPr="00CC52F8">
        <w:rPr>
          <w:rFonts w:ascii="Times New Roman" w:hAnsi="Times New Roman" w:cs="Times New Roman"/>
          <w:sz w:val="20"/>
          <w:szCs w:val="20"/>
        </w:rPr>
        <w:t>, which affect private consumption</w:t>
      </w:r>
      <w:r w:rsidR="00AD7F75" w:rsidRPr="00CC52F8">
        <w:rPr>
          <w:rFonts w:ascii="Times New Roman" w:hAnsi="Times New Roman" w:cs="Times New Roman"/>
          <w:sz w:val="20"/>
          <w:szCs w:val="20"/>
        </w:rPr>
        <w:t>. The FIM is closely related to a measure of fiscal stance developed by Federal Reserve Board staff (</w:t>
      </w:r>
      <w:hyperlink r:id="rId8" w:history="1">
        <w:r w:rsidR="00AD7F75" w:rsidRPr="00CC52F8">
          <w:rPr>
            <w:rStyle w:val="Hyperlink"/>
            <w:rFonts w:ascii="Times New Roman" w:hAnsi="Times New Roman" w:cs="Times New Roman"/>
            <w:sz w:val="20"/>
            <w:szCs w:val="20"/>
          </w:rPr>
          <w:t>see Cashin et al. 2018</w:t>
        </w:r>
      </w:hyperlink>
      <w:r w:rsidR="00AD7F75" w:rsidRPr="00CC52F8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00608251" w14:textId="381302EC" w:rsidR="00D949F1" w:rsidRPr="00CC52F8" w:rsidRDefault="00842B37" w:rsidP="00252BAF">
      <w:pPr>
        <w:rPr>
          <w:rFonts w:ascii="Times New Roman" w:hAnsi="Times New Roman" w:cs="Times New Roman"/>
          <w:sz w:val="20"/>
          <w:szCs w:val="20"/>
        </w:rPr>
      </w:pPr>
      <w:r w:rsidRPr="00CC52F8">
        <w:rPr>
          <w:rFonts w:ascii="Times New Roman" w:hAnsi="Times New Roman" w:cs="Times New Roman"/>
          <w:sz w:val="20"/>
          <w:szCs w:val="20"/>
        </w:rPr>
        <w:t>As the figure below illustrates, b</w:t>
      </w:r>
      <w:r w:rsidR="007545D2" w:rsidRPr="00CC52F8">
        <w:rPr>
          <w:rFonts w:ascii="Times New Roman" w:hAnsi="Times New Roman" w:cs="Times New Roman"/>
          <w:sz w:val="20"/>
          <w:szCs w:val="20"/>
        </w:rPr>
        <w:t>etween 2008 and 2011,</w:t>
      </w:r>
      <w:r w:rsidR="00D949F1" w:rsidRPr="00CC52F8">
        <w:rPr>
          <w:rFonts w:ascii="Times New Roman" w:hAnsi="Times New Roman" w:cs="Times New Roman"/>
          <w:sz w:val="20"/>
          <w:szCs w:val="20"/>
        </w:rPr>
        <w:t xml:space="preserve"> the years of the Obama stimulus (</w:t>
      </w:r>
      <w:r w:rsidR="00831130">
        <w:rPr>
          <w:rFonts w:ascii="Times New Roman" w:hAnsi="Times New Roman" w:cs="Times New Roman"/>
          <w:sz w:val="20"/>
          <w:szCs w:val="20"/>
        </w:rPr>
        <w:t>The American Recovery and Reinvestment Act</w:t>
      </w:r>
      <w:r w:rsidR="00D949F1" w:rsidRPr="00CC52F8">
        <w:rPr>
          <w:rFonts w:ascii="Times New Roman" w:hAnsi="Times New Roman" w:cs="Times New Roman"/>
          <w:sz w:val="20"/>
          <w:szCs w:val="20"/>
        </w:rPr>
        <w:t xml:space="preserve">) </w:t>
      </w:r>
      <w:r w:rsidR="007545D2" w:rsidRPr="00CC52F8">
        <w:rPr>
          <w:rFonts w:ascii="Times New Roman" w:hAnsi="Times New Roman" w:cs="Times New Roman"/>
          <w:sz w:val="20"/>
          <w:szCs w:val="20"/>
        </w:rPr>
        <w:t xml:space="preserve">fiscal impact was positive, indicating that government policy was </w:t>
      </w:r>
      <w:proofErr w:type="spellStart"/>
      <w:r w:rsidR="007545D2" w:rsidRPr="00CC52F8">
        <w:rPr>
          <w:rFonts w:ascii="Times New Roman" w:hAnsi="Times New Roman" w:cs="Times New Roman"/>
          <w:sz w:val="20"/>
          <w:szCs w:val="20"/>
        </w:rPr>
        <w:t>stimulative</w:t>
      </w:r>
      <w:proofErr w:type="spellEnd"/>
      <w:r w:rsidR="007545D2" w:rsidRPr="00CC52F8">
        <w:rPr>
          <w:rFonts w:ascii="Times New Roman" w:hAnsi="Times New Roman" w:cs="Times New Roman"/>
          <w:sz w:val="20"/>
          <w:szCs w:val="20"/>
        </w:rPr>
        <w:t>. For several years</w:t>
      </w:r>
      <w:r w:rsidR="000A2982" w:rsidRPr="00CC52F8">
        <w:rPr>
          <w:rFonts w:ascii="Times New Roman" w:hAnsi="Times New Roman" w:cs="Times New Roman"/>
          <w:sz w:val="20"/>
          <w:szCs w:val="20"/>
        </w:rPr>
        <w:t xml:space="preserve"> afte</w:t>
      </w:r>
      <w:r w:rsidR="00D949F1" w:rsidRPr="00CC52F8">
        <w:rPr>
          <w:rFonts w:ascii="Times New Roman" w:hAnsi="Times New Roman" w:cs="Times New Roman"/>
          <w:sz w:val="20"/>
          <w:szCs w:val="20"/>
        </w:rPr>
        <w:t xml:space="preserve">r, due to the spending </w:t>
      </w:r>
      <w:r w:rsidR="008945E2" w:rsidRPr="00CC52F8">
        <w:rPr>
          <w:rFonts w:ascii="Times New Roman" w:hAnsi="Times New Roman" w:cs="Times New Roman"/>
          <w:sz w:val="20"/>
          <w:szCs w:val="20"/>
        </w:rPr>
        <w:t>sequesters</w:t>
      </w:r>
      <w:r w:rsidR="007545D2" w:rsidRPr="00CC52F8">
        <w:rPr>
          <w:rFonts w:ascii="Times New Roman" w:hAnsi="Times New Roman" w:cs="Times New Roman"/>
          <w:sz w:val="20"/>
          <w:szCs w:val="20"/>
        </w:rPr>
        <w:t xml:space="preserve">, the fiscal impact was negative, indicating a restraint on growth. In </w:t>
      </w:r>
      <w:r w:rsidR="00EA385C" w:rsidRPr="00CC52F8">
        <w:rPr>
          <w:rFonts w:ascii="Times New Roman" w:hAnsi="Times New Roman" w:cs="Times New Roman"/>
          <w:sz w:val="20"/>
          <w:szCs w:val="20"/>
        </w:rPr>
        <w:t xml:space="preserve">recent </w:t>
      </w:r>
      <w:r w:rsidR="0016177D">
        <w:rPr>
          <w:rFonts w:ascii="Times New Roman" w:hAnsi="Times New Roman" w:cs="Times New Roman"/>
          <w:sz w:val="20"/>
          <w:szCs w:val="20"/>
        </w:rPr>
        <w:t>years</w:t>
      </w:r>
      <w:r w:rsidR="00EA385C" w:rsidRPr="00CC52F8">
        <w:rPr>
          <w:rFonts w:ascii="Times New Roman" w:hAnsi="Times New Roman" w:cs="Times New Roman"/>
          <w:sz w:val="20"/>
          <w:szCs w:val="20"/>
        </w:rPr>
        <w:t xml:space="preserve">, </w:t>
      </w:r>
      <w:r w:rsidR="007545D2" w:rsidRPr="00CC52F8">
        <w:rPr>
          <w:rFonts w:ascii="Times New Roman" w:hAnsi="Times New Roman" w:cs="Times New Roman"/>
          <w:sz w:val="20"/>
          <w:szCs w:val="20"/>
        </w:rPr>
        <w:t xml:space="preserve">government spending and taxes have moved from being </w:t>
      </w:r>
      <w:r w:rsidR="006765BF" w:rsidRPr="00CC52F8">
        <w:rPr>
          <w:rFonts w:ascii="Times New Roman" w:hAnsi="Times New Roman" w:cs="Times New Roman"/>
          <w:sz w:val="20"/>
          <w:szCs w:val="20"/>
        </w:rPr>
        <w:t>around zero</w:t>
      </w:r>
      <w:r w:rsidR="007545D2" w:rsidRPr="00CC52F8">
        <w:rPr>
          <w:rFonts w:ascii="Times New Roman" w:hAnsi="Times New Roman" w:cs="Times New Roman"/>
          <w:sz w:val="20"/>
          <w:szCs w:val="20"/>
        </w:rPr>
        <w:t xml:space="preserve"> (neither stimulating nor restraining growth) to slightly </w:t>
      </w:r>
      <w:r w:rsidR="00CF3C36" w:rsidRPr="00CC52F8">
        <w:rPr>
          <w:rFonts w:ascii="Times New Roman" w:hAnsi="Times New Roman" w:cs="Times New Roman"/>
          <w:sz w:val="20"/>
          <w:szCs w:val="20"/>
        </w:rPr>
        <w:t xml:space="preserve">positive. </w:t>
      </w:r>
    </w:p>
    <w:p w14:paraId="11740D3C" w14:textId="77777777" w:rsidR="00C67967" w:rsidRPr="00CC52F8" w:rsidRDefault="00AF32A3" w:rsidP="00252BAF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C67967" w:rsidRPr="00CC52F8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To </w:t>
        </w:r>
        <w:r w:rsidR="00CE70C3" w:rsidRPr="00CC52F8">
          <w:rPr>
            <w:rStyle w:val="Hyperlink"/>
            <w:rFonts w:ascii="Times New Roman" w:hAnsi="Times New Roman" w:cs="Times New Roman"/>
            <w:sz w:val="20"/>
            <w:szCs w:val="20"/>
          </w:rPr>
          <w:t>learn</w:t>
        </w:r>
        <w:r w:rsidR="00C67967" w:rsidRPr="00CC52F8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more about interpret</w:t>
        </w:r>
        <w:r w:rsidR="00CE70C3" w:rsidRPr="00CC52F8">
          <w:rPr>
            <w:rStyle w:val="Hyperlink"/>
            <w:rFonts w:ascii="Times New Roman" w:hAnsi="Times New Roman" w:cs="Times New Roman"/>
            <w:sz w:val="20"/>
            <w:szCs w:val="20"/>
          </w:rPr>
          <w:t>ing</w:t>
        </w:r>
        <w:r w:rsidR="00C67967" w:rsidRPr="00CC52F8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the FIM, read our methodology.</w:t>
        </w:r>
      </w:hyperlink>
      <w:r w:rsidR="00C67967" w:rsidRPr="00CC52F8">
        <w:rPr>
          <w:rFonts w:ascii="Times New Roman" w:hAnsi="Times New Roman" w:cs="Times New Roman"/>
          <w:sz w:val="20"/>
          <w:szCs w:val="20"/>
        </w:rPr>
        <w:t xml:space="preserve"> </w:t>
      </w:r>
      <w:r w:rsidR="00D949F1" w:rsidRPr="00CC52F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2C65EE" w14:textId="4C63ECDA" w:rsidR="007D45FF" w:rsidRPr="00CC52F8" w:rsidRDefault="00ED468B" w:rsidP="007D45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FIM is updated monthly alongside each GDP release from the Bureau of Economic Analysis. </w:t>
      </w:r>
    </w:p>
    <w:p w14:paraId="3E4F26F8" w14:textId="03C4F7FD" w:rsidR="00842B37" w:rsidRPr="00CC52F8" w:rsidRDefault="00405071" w:rsidP="00700B2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6A675F" wp14:editId="14D45CE3">
            <wp:extent cx="3664915" cy="274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93" cy="27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B2E7" w14:textId="3BD005FD" w:rsidR="002C7F30" w:rsidRDefault="002C7F30" w:rsidP="007D45FF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How is the FIM different from the size of the federal deficit?</w:t>
      </w:r>
    </w:p>
    <w:p w14:paraId="72209350" w14:textId="6AB49642" w:rsidR="00432D02" w:rsidRDefault="002C7F30" w:rsidP="007D45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FIM is a broader and more timely measure of the effects of fiscal policy on the economy</w:t>
      </w:r>
      <w:r w:rsidR="009D356F">
        <w:rPr>
          <w:rFonts w:ascii="Times New Roman" w:hAnsi="Times New Roman" w:cs="Times New Roman"/>
          <w:sz w:val="20"/>
          <w:szCs w:val="20"/>
        </w:rPr>
        <w:t xml:space="preserve"> than is the </w:t>
      </w:r>
      <w:r w:rsidR="00F716FC">
        <w:rPr>
          <w:rFonts w:ascii="Times New Roman" w:hAnsi="Times New Roman" w:cs="Times New Roman"/>
          <w:sz w:val="20"/>
          <w:szCs w:val="20"/>
        </w:rPr>
        <w:t>federal deficit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40CD6" w:rsidRPr="00F40CD6">
        <w:rPr>
          <w:rFonts w:ascii="Times New Roman" w:hAnsi="Times New Roman" w:cs="Times New Roman"/>
          <w:sz w:val="20"/>
          <w:szCs w:val="20"/>
        </w:rPr>
        <w:t xml:space="preserve">The deficit is the difference between the flow of federal government spending and the flow of government revenues (taxes). </w:t>
      </w:r>
      <w:r w:rsidR="00945890">
        <w:rPr>
          <w:rFonts w:ascii="Times New Roman" w:hAnsi="Times New Roman" w:cs="Times New Roman"/>
          <w:sz w:val="20"/>
          <w:szCs w:val="20"/>
        </w:rPr>
        <w:t>The FIM is broader because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4EF7">
        <w:rPr>
          <w:rFonts w:ascii="Times New Roman" w:hAnsi="Times New Roman" w:cs="Times New Roman"/>
          <w:sz w:val="20"/>
          <w:szCs w:val="20"/>
        </w:rPr>
        <w:t xml:space="preserve">encompasses the effects of </w:t>
      </w:r>
      <w:r w:rsidR="003D514A">
        <w:rPr>
          <w:rFonts w:ascii="Times New Roman" w:hAnsi="Times New Roman" w:cs="Times New Roman"/>
          <w:sz w:val="20"/>
          <w:szCs w:val="20"/>
        </w:rPr>
        <w:t>spending and tax</w:t>
      </w:r>
      <w:r w:rsidR="00B64EF7">
        <w:rPr>
          <w:rFonts w:ascii="Times New Roman" w:hAnsi="Times New Roman" w:cs="Times New Roman"/>
          <w:sz w:val="20"/>
          <w:szCs w:val="20"/>
        </w:rPr>
        <w:t xml:space="preserve"> polic</w:t>
      </w:r>
      <w:r w:rsidR="003D514A">
        <w:rPr>
          <w:rFonts w:ascii="Times New Roman" w:hAnsi="Times New Roman" w:cs="Times New Roman"/>
          <w:sz w:val="20"/>
          <w:szCs w:val="20"/>
        </w:rPr>
        <w:t>ies</w:t>
      </w:r>
      <w:r w:rsidR="000435EA">
        <w:rPr>
          <w:rFonts w:ascii="Times New Roman" w:hAnsi="Times New Roman" w:cs="Times New Roman"/>
          <w:sz w:val="20"/>
          <w:szCs w:val="20"/>
        </w:rPr>
        <w:t xml:space="preserve"> at the state and local level as well as the </w:t>
      </w:r>
      <w:r w:rsidR="00B64EF7">
        <w:rPr>
          <w:rFonts w:ascii="Times New Roman" w:hAnsi="Times New Roman" w:cs="Times New Roman"/>
          <w:sz w:val="20"/>
          <w:szCs w:val="20"/>
        </w:rPr>
        <w:t>federal</w:t>
      </w:r>
      <w:r w:rsidR="000435EA">
        <w:rPr>
          <w:rFonts w:ascii="Times New Roman" w:hAnsi="Times New Roman" w:cs="Times New Roman"/>
          <w:sz w:val="20"/>
          <w:szCs w:val="20"/>
        </w:rPr>
        <w:t xml:space="preserve"> government</w:t>
      </w:r>
      <w:r w:rsidR="00B64EF7">
        <w:rPr>
          <w:rFonts w:ascii="Times New Roman" w:hAnsi="Times New Roman" w:cs="Times New Roman"/>
          <w:sz w:val="20"/>
          <w:szCs w:val="20"/>
        </w:rPr>
        <w:t xml:space="preserve">. </w:t>
      </w:r>
      <w:r w:rsidR="009E15DF">
        <w:rPr>
          <w:rFonts w:ascii="Times New Roman" w:hAnsi="Times New Roman" w:cs="Times New Roman"/>
          <w:sz w:val="20"/>
          <w:szCs w:val="20"/>
        </w:rPr>
        <w:t>In addition</w:t>
      </w:r>
      <w:r w:rsidR="00B64EF7">
        <w:rPr>
          <w:rFonts w:ascii="Times New Roman" w:hAnsi="Times New Roman" w:cs="Times New Roman"/>
          <w:sz w:val="20"/>
          <w:szCs w:val="20"/>
        </w:rPr>
        <w:t xml:space="preserve">, the </w:t>
      </w:r>
      <w:r w:rsidR="003D514A">
        <w:rPr>
          <w:rFonts w:ascii="Times New Roman" w:hAnsi="Times New Roman" w:cs="Times New Roman"/>
          <w:sz w:val="20"/>
          <w:szCs w:val="20"/>
        </w:rPr>
        <w:t>FIM</w:t>
      </w:r>
      <w:r w:rsidR="00B14A37">
        <w:rPr>
          <w:rFonts w:ascii="Times New Roman" w:hAnsi="Times New Roman" w:cs="Times New Roman"/>
          <w:sz w:val="20"/>
          <w:szCs w:val="20"/>
        </w:rPr>
        <w:t xml:space="preserve"> estimates how </w:t>
      </w:r>
      <w:r w:rsidR="00451934">
        <w:rPr>
          <w:rFonts w:ascii="Times New Roman" w:hAnsi="Times New Roman" w:cs="Times New Roman"/>
          <w:sz w:val="20"/>
          <w:szCs w:val="20"/>
        </w:rPr>
        <w:t xml:space="preserve">tax and transfer policies </w:t>
      </w:r>
      <w:r w:rsidR="00B14A37">
        <w:rPr>
          <w:rFonts w:ascii="Times New Roman" w:hAnsi="Times New Roman" w:cs="Times New Roman"/>
          <w:sz w:val="20"/>
          <w:szCs w:val="20"/>
        </w:rPr>
        <w:t xml:space="preserve">affect </w:t>
      </w:r>
      <w:r w:rsidR="00451934">
        <w:rPr>
          <w:rFonts w:ascii="Times New Roman" w:hAnsi="Times New Roman" w:cs="Times New Roman"/>
          <w:sz w:val="20"/>
          <w:szCs w:val="20"/>
        </w:rPr>
        <w:t xml:space="preserve">private consumption, </w:t>
      </w:r>
      <w:r w:rsidR="00B14A37">
        <w:rPr>
          <w:rFonts w:ascii="Times New Roman" w:hAnsi="Times New Roman" w:cs="Times New Roman"/>
          <w:sz w:val="20"/>
          <w:szCs w:val="20"/>
        </w:rPr>
        <w:t xml:space="preserve">whereas the federal deficit </w:t>
      </w:r>
      <w:r w:rsidR="005E5B32">
        <w:rPr>
          <w:rFonts w:ascii="Times New Roman" w:hAnsi="Times New Roman" w:cs="Times New Roman"/>
          <w:sz w:val="20"/>
          <w:szCs w:val="20"/>
        </w:rPr>
        <w:t xml:space="preserve">simply reports </w:t>
      </w:r>
      <w:r w:rsidR="009E15DF">
        <w:rPr>
          <w:rFonts w:ascii="Times New Roman" w:hAnsi="Times New Roman" w:cs="Times New Roman"/>
          <w:sz w:val="20"/>
          <w:szCs w:val="20"/>
        </w:rPr>
        <w:t>the dollars transferred from the government to households</w:t>
      </w:r>
      <w:r w:rsidR="00B95C14">
        <w:rPr>
          <w:rFonts w:ascii="Times New Roman" w:hAnsi="Times New Roman" w:cs="Times New Roman"/>
          <w:sz w:val="20"/>
          <w:szCs w:val="20"/>
        </w:rPr>
        <w:t xml:space="preserve"> and businesses</w:t>
      </w:r>
      <w:r w:rsidR="00451934">
        <w:rPr>
          <w:rFonts w:ascii="Times New Roman" w:hAnsi="Times New Roman" w:cs="Times New Roman"/>
          <w:sz w:val="20"/>
          <w:szCs w:val="20"/>
        </w:rPr>
        <w:t xml:space="preserve">. </w:t>
      </w:r>
      <w:r w:rsidR="004E586B">
        <w:rPr>
          <w:rFonts w:ascii="Times New Roman" w:hAnsi="Times New Roman" w:cs="Times New Roman"/>
          <w:sz w:val="20"/>
          <w:szCs w:val="20"/>
        </w:rPr>
        <w:t xml:space="preserve">Finally, the FIM more precisely captures the timing of </w:t>
      </w:r>
      <w:r w:rsidR="00C564D8">
        <w:rPr>
          <w:rFonts w:ascii="Times New Roman" w:hAnsi="Times New Roman" w:cs="Times New Roman"/>
          <w:sz w:val="20"/>
          <w:szCs w:val="20"/>
        </w:rPr>
        <w:t xml:space="preserve">realized </w:t>
      </w:r>
      <w:r w:rsidR="005C46F9">
        <w:rPr>
          <w:rFonts w:ascii="Times New Roman" w:hAnsi="Times New Roman" w:cs="Times New Roman"/>
          <w:sz w:val="20"/>
          <w:szCs w:val="20"/>
        </w:rPr>
        <w:t xml:space="preserve">government expenditures on </w:t>
      </w:r>
      <w:r w:rsidR="00C564D8">
        <w:rPr>
          <w:rFonts w:ascii="Times New Roman" w:hAnsi="Times New Roman" w:cs="Times New Roman"/>
          <w:sz w:val="20"/>
          <w:szCs w:val="20"/>
        </w:rPr>
        <w:t xml:space="preserve">near-term measures </w:t>
      </w:r>
      <w:r w:rsidR="005C46F9">
        <w:rPr>
          <w:rFonts w:ascii="Times New Roman" w:hAnsi="Times New Roman" w:cs="Times New Roman"/>
          <w:sz w:val="20"/>
          <w:szCs w:val="20"/>
        </w:rPr>
        <w:t xml:space="preserve">of economic growth, relative to </w:t>
      </w:r>
      <w:r w:rsidR="00C564D8">
        <w:rPr>
          <w:rFonts w:ascii="Times New Roman" w:hAnsi="Times New Roman" w:cs="Times New Roman"/>
          <w:sz w:val="20"/>
          <w:szCs w:val="20"/>
        </w:rPr>
        <w:t>the slower-moving and budget-focused measure of the deficit</w:t>
      </w:r>
      <w:r w:rsidR="005C46F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F54F39" w14:textId="6331589D" w:rsidR="00DB51BF" w:rsidRPr="00DB51BF" w:rsidRDefault="00DB51BF" w:rsidP="007D45FF">
      <w:pPr>
        <w:rPr>
          <w:rFonts w:ascii="Times New Roman" w:hAnsi="Times New Roman" w:cs="Times New Roman"/>
          <w:i/>
          <w:sz w:val="20"/>
          <w:szCs w:val="20"/>
        </w:rPr>
      </w:pPr>
      <w:r w:rsidRPr="00DB51BF">
        <w:rPr>
          <w:rFonts w:ascii="Times New Roman" w:hAnsi="Times New Roman" w:cs="Times New Roman"/>
          <w:i/>
          <w:sz w:val="20"/>
          <w:szCs w:val="20"/>
        </w:rPr>
        <w:t xml:space="preserve">How is the FIM different from </w:t>
      </w:r>
      <w:r>
        <w:rPr>
          <w:rFonts w:ascii="Times New Roman" w:hAnsi="Times New Roman" w:cs="Times New Roman"/>
          <w:i/>
          <w:sz w:val="20"/>
          <w:szCs w:val="20"/>
        </w:rPr>
        <w:t>BEA</w:t>
      </w:r>
      <w:r w:rsidRPr="00DB51BF">
        <w:rPr>
          <w:rFonts w:ascii="Times New Roman" w:hAnsi="Times New Roman" w:cs="Times New Roman"/>
          <w:i/>
          <w:sz w:val="20"/>
          <w:szCs w:val="20"/>
        </w:rPr>
        <w:t>’</w:t>
      </w:r>
      <w:r w:rsidR="00311DB6">
        <w:rPr>
          <w:rFonts w:ascii="Times New Roman" w:hAnsi="Times New Roman" w:cs="Times New Roman"/>
          <w:i/>
          <w:sz w:val="20"/>
          <w:szCs w:val="20"/>
        </w:rPr>
        <w:t>s</w:t>
      </w:r>
      <w:r w:rsidRPr="00DB51BF">
        <w:rPr>
          <w:rFonts w:ascii="Times New Roman" w:hAnsi="Times New Roman" w:cs="Times New Roman"/>
          <w:i/>
          <w:sz w:val="20"/>
          <w:szCs w:val="20"/>
        </w:rPr>
        <w:t xml:space="preserve"> numbers?</w:t>
      </w:r>
    </w:p>
    <w:p w14:paraId="706D32B9" w14:textId="54E0C0B5" w:rsidR="009737CD" w:rsidRPr="00465053" w:rsidRDefault="00311DB6" w:rsidP="007D45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Each quarter</w:t>
      </w:r>
      <w:r w:rsidR="00F31637">
        <w:rPr>
          <w:rFonts w:ascii="Times New Roman" w:hAnsi="Times New Roman" w:cs="Times New Roman"/>
          <w:sz w:val="20"/>
          <w:szCs w:val="20"/>
        </w:rPr>
        <w:t>, the</w:t>
      </w:r>
      <w:r w:rsidR="00DB51B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Bureau of Economic Analysis (BEA) measures how much </w:t>
      </w:r>
      <w:r w:rsidR="00DA1974">
        <w:rPr>
          <w:rFonts w:ascii="Times New Roman" w:hAnsi="Times New Roman" w:cs="Times New Roman"/>
          <w:sz w:val="20"/>
          <w:szCs w:val="20"/>
        </w:rPr>
        <w:t>local, state, and federal governments spend on goods and services</w:t>
      </w:r>
      <w:r w:rsidR="00F31637">
        <w:rPr>
          <w:rFonts w:ascii="Times New Roman" w:hAnsi="Times New Roman" w:cs="Times New Roman"/>
          <w:sz w:val="20"/>
          <w:szCs w:val="20"/>
        </w:rPr>
        <w:t xml:space="preserve"> </w:t>
      </w:r>
      <w:r w:rsidR="00DA1974">
        <w:rPr>
          <w:rFonts w:ascii="Times New Roman" w:hAnsi="Times New Roman" w:cs="Times New Roman"/>
          <w:sz w:val="20"/>
          <w:szCs w:val="20"/>
        </w:rPr>
        <w:t xml:space="preserve">and reports </w:t>
      </w:r>
      <w:r w:rsidR="009737CD">
        <w:rPr>
          <w:rFonts w:ascii="Times New Roman" w:hAnsi="Times New Roman" w:cs="Times New Roman"/>
          <w:sz w:val="20"/>
          <w:szCs w:val="20"/>
        </w:rPr>
        <w:t>what contribution those expenditures made to the headline GDP number</w:t>
      </w:r>
      <w:r w:rsidR="007D460C">
        <w:rPr>
          <w:rFonts w:ascii="Times New Roman" w:hAnsi="Times New Roman" w:cs="Times New Roman"/>
          <w:sz w:val="20"/>
          <w:szCs w:val="20"/>
        </w:rPr>
        <w:t xml:space="preserve"> (see Table 1.1.2 in the GDP release, for example)</w:t>
      </w:r>
      <w:r w:rsidR="009737CD">
        <w:rPr>
          <w:rFonts w:ascii="Times New Roman" w:hAnsi="Times New Roman" w:cs="Times New Roman"/>
          <w:sz w:val="20"/>
          <w:szCs w:val="20"/>
        </w:rPr>
        <w:t>. The FIM is related to this measure</w:t>
      </w:r>
      <w:r w:rsidR="007D460C">
        <w:rPr>
          <w:rFonts w:ascii="Times New Roman" w:hAnsi="Times New Roman" w:cs="Times New Roman"/>
          <w:sz w:val="20"/>
          <w:szCs w:val="20"/>
        </w:rPr>
        <w:t xml:space="preserve">, but </w:t>
      </w:r>
      <w:r w:rsidR="0006070C">
        <w:rPr>
          <w:rFonts w:ascii="Times New Roman" w:hAnsi="Times New Roman" w:cs="Times New Roman"/>
          <w:sz w:val="20"/>
          <w:szCs w:val="20"/>
        </w:rPr>
        <w:t xml:space="preserve">estimates instead the contribution that government policies are making to GDP </w:t>
      </w:r>
      <w:r w:rsidR="0006070C" w:rsidRPr="00FD6586">
        <w:rPr>
          <w:rFonts w:ascii="Times New Roman" w:hAnsi="Times New Roman" w:cs="Times New Roman"/>
          <w:i/>
          <w:sz w:val="20"/>
          <w:szCs w:val="20"/>
        </w:rPr>
        <w:t>beyond</w:t>
      </w:r>
      <w:r w:rsidR="00FD658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D6586">
        <w:rPr>
          <w:rFonts w:ascii="Times New Roman" w:hAnsi="Times New Roman" w:cs="Times New Roman"/>
          <w:sz w:val="20"/>
          <w:szCs w:val="20"/>
        </w:rPr>
        <w:t xml:space="preserve">the contribution they would make if they were growing in line with the longer-run, potential path of the economy. </w:t>
      </w:r>
      <w:r w:rsidR="00E009B9">
        <w:rPr>
          <w:rFonts w:ascii="Times New Roman" w:hAnsi="Times New Roman" w:cs="Times New Roman"/>
          <w:sz w:val="20"/>
          <w:szCs w:val="20"/>
        </w:rPr>
        <w:t xml:space="preserve">The FIM can be interpreted as a measure of how expansionary or contractionary fiscal policy is relative to </w:t>
      </w:r>
      <w:r w:rsidR="009627D8">
        <w:rPr>
          <w:rFonts w:ascii="Times New Roman" w:hAnsi="Times New Roman" w:cs="Times New Roman"/>
          <w:sz w:val="20"/>
          <w:szCs w:val="20"/>
        </w:rPr>
        <w:t xml:space="preserve">the potential path of the economy. </w:t>
      </w:r>
    </w:p>
    <w:p w14:paraId="7EA31DDE" w14:textId="77777777" w:rsidR="00C17575" w:rsidRPr="00CC52F8" w:rsidRDefault="00C17575" w:rsidP="00071265">
      <w:pPr>
        <w:rPr>
          <w:rFonts w:ascii="Times New Roman" w:hAnsi="Times New Roman" w:cs="Times New Roman"/>
          <w:i/>
          <w:sz w:val="20"/>
          <w:szCs w:val="20"/>
        </w:rPr>
      </w:pPr>
      <w:r w:rsidRPr="00CC52F8">
        <w:rPr>
          <w:rFonts w:ascii="Times New Roman" w:hAnsi="Times New Roman" w:cs="Times New Roman"/>
          <w:i/>
          <w:sz w:val="20"/>
          <w:szCs w:val="20"/>
        </w:rPr>
        <w:t>How does the Hutchins Center construct its FIM Forecast?</w:t>
      </w:r>
    </w:p>
    <w:p w14:paraId="52BDDC29" w14:textId="77777777" w:rsidR="00C17575" w:rsidRPr="00CC52F8" w:rsidRDefault="00C17575" w:rsidP="00C17575">
      <w:pPr>
        <w:rPr>
          <w:rFonts w:ascii="Times New Roman" w:hAnsi="Times New Roman" w:cs="Times New Roman"/>
          <w:sz w:val="20"/>
          <w:szCs w:val="20"/>
        </w:rPr>
      </w:pPr>
      <w:r w:rsidRPr="00CC52F8">
        <w:rPr>
          <w:rFonts w:ascii="Times New Roman" w:hAnsi="Times New Roman" w:cs="Times New Roman"/>
          <w:sz w:val="20"/>
          <w:szCs w:val="20"/>
        </w:rPr>
        <w:t xml:space="preserve">The FIM Forecast takes a projected path for spending and tax revenues and projections of the economy and translates them into quarterly estimates of those policies’ contributions to GDP growth. </w:t>
      </w:r>
      <w:r w:rsidR="008A4B21" w:rsidRPr="00CC52F8">
        <w:rPr>
          <w:rFonts w:ascii="Times New Roman" w:hAnsi="Times New Roman" w:cs="Times New Roman"/>
          <w:sz w:val="20"/>
          <w:szCs w:val="20"/>
        </w:rPr>
        <w:t xml:space="preserve">The Hutchins Center uses </w:t>
      </w:r>
      <w:r w:rsidRPr="00CC52F8">
        <w:rPr>
          <w:rFonts w:ascii="Times New Roman" w:hAnsi="Times New Roman" w:cs="Times New Roman"/>
          <w:sz w:val="20"/>
          <w:szCs w:val="20"/>
        </w:rPr>
        <w:t>budgetary and economic projections from the Congressional Budget Office</w:t>
      </w:r>
      <w:r w:rsidR="008A4B21" w:rsidRPr="00CC52F8">
        <w:rPr>
          <w:rFonts w:ascii="Times New Roman" w:hAnsi="Times New Roman" w:cs="Times New Roman"/>
          <w:sz w:val="20"/>
          <w:szCs w:val="20"/>
        </w:rPr>
        <w:t xml:space="preserve"> to </w:t>
      </w:r>
      <w:r w:rsidR="008218D0" w:rsidRPr="00CC52F8">
        <w:rPr>
          <w:rFonts w:ascii="Times New Roman" w:hAnsi="Times New Roman" w:cs="Times New Roman"/>
          <w:sz w:val="20"/>
          <w:szCs w:val="20"/>
        </w:rPr>
        <w:t>inform</w:t>
      </w:r>
      <w:r w:rsidR="008A4B21" w:rsidRPr="00CC52F8">
        <w:rPr>
          <w:rFonts w:ascii="Times New Roman" w:hAnsi="Times New Roman" w:cs="Times New Roman"/>
          <w:sz w:val="20"/>
          <w:szCs w:val="20"/>
        </w:rPr>
        <w:t xml:space="preserve"> these </w:t>
      </w:r>
      <w:r w:rsidR="008218D0" w:rsidRPr="00CC52F8">
        <w:rPr>
          <w:rFonts w:ascii="Times New Roman" w:hAnsi="Times New Roman" w:cs="Times New Roman"/>
          <w:sz w:val="20"/>
          <w:szCs w:val="20"/>
        </w:rPr>
        <w:t>forecasts</w:t>
      </w:r>
      <w:r w:rsidRPr="00CC52F8">
        <w:rPr>
          <w:rFonts w:ascii="Times New Roman" w:hAnsi="Times New Roman" w:cs="Times New Roman"/>
          <w:sz w:val="20"/>
          <w:szCs w:val="20"/>
        </w:rPr>
        <w:t>.</w:t>
      </w:r>
      <w:r w:rsidR="004E0BC7" w:rsidRPr="00CC52F8">
        <w:rPr>
          <w:rFonts w:ascii="Times New Roman" w:hAnsi="Times New Roman" w:cs="Times New Roman"/>
          <w:sz w:val="20"/>
          <w:szCs w:val="20"/>
        </w:rPr>
        <w:t xml:space="preserve"> In most cases, we assume that current laws will remain in place over the projection period, but in some instances, we deviate from this assumption. </w:t>
      </w:r>
      <w:r w:rsidRPr="00CC52F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B3FD51" w14:textId="77777777" w:rsidR="00E43F40" w:rsidRPr="00CC52F8" w:rsidRDefault="00D74380" w:rsidP="00E43F40">
      <w:pPr>
        <w:rPr>
          <w:rFonts w:ascii="Times New Roman" w:hAnsi="Times New Roman" w:cs="Times New Roman"/>
          <w:i/>
          <w:sz w:val="20"/>
          <w:szCs w:val="20"/>
        </w:rPr>
      </w:pPr>
      <w:r w:rsidRPr="00CC52F8">
        <w:rPr>
          <w:rFonts w:ascii="Times New Roman" w:hAnsi="Times New Roman" w:cs="Times New Roman"/>
          <w:i/>
          <w:sz w:val="20"/>
          <w:szCs w:val="20"/>
        </w:rPr>
        <w:t xml:space="preserve">Do you actually </w:t>
      </w:r>
      <w:r w:rsidR="00E43F40" w:rsidRPr="00CC52F8">
        <w:rPr>
          <w:rFonts w:ascii="Times New Roman" w:hAnsi="Times New Roman" w:cs="Times New Roman"/>
          <w:i/>
          <w:sz w:val="20"/>
          <w:szCs w:val="20"/>
        </w:rPr>
        <w:t xml:space="preserve">forecast </w:t>
      </w:r>
      <w:r w:rsidRPr="00CC52F8">
        <w:rPr>
          <w:rFonts w:ascii="Times New Roman" w:hAnsi="Times New Roman" w:cs="Times New Roman"/>
          <w:i/>
          <w:sz w:val="20"/>
          <w:szCs w:val="20"/>
        </w:rPr>
        <w:t xml:space="preserve">tax and spending </w:t>
      </w:r>
      <w:r w:rsidR="00E43F40" w:rsidRPr="00CC52F8">
        <w:rPr>
          <w:rFonts w:ascii="Times New Roman" w:hAnsi="Times New Roman" w:cs="Times New Roman"/>
          <w:i/>
          <w:sz w:val="20"/>
          <w:szCs w:val="20"/>
        </w:rPr>
        <w:t>policy at the state and local level?</w:t>
      </w:r>
    </w:p>
    <w:p w14:paraId="0DDF1FE7" w14:textId="1C297996" w:rsidR="00AF32A3" w:rsidRDefault="00D74380" w:rsidP="00E43F40">
      <w:pPr>
        <w:rPr>
          <w:rFonts w:ascii="Times New Roman" w:hAnsi="Times New Roman" w:cs="Times New Roman"/>
          <w:sz w:val="20"/>
          <w:szCs w:val="20"/>
        </w:rPr>
      </w:pPr>
      <w:r w:rsidRPr="00CC52F8">
        <w:rPr>
          <w:rFonts w:ascii="Times New Roman" w:hAnsi="Times New Roman" w:cs="Times New Roman"/>
          <w:sz w:val="20"/>
          <w:szCs w:val="20"/>
        </w:rPr>
        <w:t xml:space="preserve">No. We </w:t>
      </w:r>
      <w:r w:rsidR="00E43F40" w:rsidRPr="00CC52F8">
        <w:rPr>
          <w:rFonts w:ascii="Times New Roman" w:hAnsi="Times New Roman" w:cs="Times New Roman"/>
          <w:sz w:val="20"/>
          <w:szCs w:val="20"/>
        </w:rPr>
        <w:t xml:space="preserve">assume that </w:t>
      </w:r>
      <w:r w:rsidR="00403C4E" w:rsidRPr="00CC52F8">
        <w:rPr>
          <w:rFonts w:ascii="Times New Roman" w:hAnsi="Times New Roman" w:cs="Times New Roman"/>
          <w:sz w:val="20"/>
          <w:szCs w:val="20"/>
        </w:rPr>
        <w:t xml:space="preserve">nominal </w:t>
      </w:r>
      <w:r w:rsidR="00E43F40" w:rsidRPr="00CC52F8">
        <w:rPr>
          <w:rFonts w:ascii="Times New Roman" w:hAnsi="Times New Roman" w:cs="Times New Roman"/>
          <w:sz w:val="20"/>
          <w:szCs w:val="20"/>
        </w:rPr>
        <w:t xml:space="preserve">spending, taxes, and transfers at </w:t>
      </w:r>
      <w:r w:rsidR="00403C4E" w:rsidRPr="00CC52F8">
        <w:rPr>
          <w:rFonts w:ascii="Times New Roman" w:hAnsi="Times New Roman" w:cs="Times New Roman"/>
          <w:sz w:val="20"/>
          <w:szCs w:val="20"/>
        </w:rPr>
        <w:t>the state and local level</w:t>
      </w:r>
      <w:r w:rsidR="00E43F40" w:rsidRPr="00CC52F8">
        <w:rPr>
          <w:rFonts w:ascii="Times New Roman" w:hAnsi="Times New Roman" w:cs="Times New Roman"/>
          <w:sz w:val="20"/>
          <w:szCs w:val="20"/>
        </w:rPr>
        <w:t xml:space="preserve"> will </w:t>
      </w:r>
      <w:r w:rsidR="00403C4E" w:rsidRPr="00CC52F8">
        <w:rPr>
          <w:rFonts w:ascii="Times New Roman" w:hAnsi="Times New Roman" w:cs="Times New Roman"/>
          <w:sz w:val="20"/>
          <w:szCs w:val="20"/>
        </w:rPr>
        <w:t>rise</w:t>
      </w:r>
      <w:r w:rsidR="00E43F40" w:rsidRPr="00CC52F8">
        <w:rPr>
          <w:rFonts w:ascii="Times New Roman" w:hAnsi="Times New Roman" w:cs="Times New Roman"/>
          <w:sz w:val="20"/>
          <w:szCs w:val="20"/>
        </w:rPr>
        <w:t xml:space="preserve"> about in line with our projections of overall GDP growth</w:t>
      </w:r>
      <w:r w:rsidR="00403C4E" w:rsidRPr="00CC52F8">
        <w:rPr>
          <w:rFonts w:ascii="Times New Roman" w:hAnsi="Times New Roman" w:cs="Times New Roman"/>
          <w:sz w:val="20"/>
          <w:szCs w:val="20"/>
        </w:rPr>
        <w:t>, and then apply appropriate</w:t>
      </w:r>
      <w:r w:rsidR="009705E5">
        <w:rPr>
          <w:rFonts w:ascii="Times New Roman" w:hAnsi="Times New Roman" w:cs="Times New Roman"/>
          <w:sz w:val="20"/>
          <w:szCs w:val="20"/>
        </w:rPr>
        <w:t xml:space="preserve"> price</w:t>
      </w:r>
      <w:r w:rsidR="00403C4E" w:rsidRPr="00CC52F8">
        <w:rPr>
          <w:rFonts w:ascii="Times New Roman" w:hAnsi="Times New Roman" w:cs="Times New Roman"/>
          <w:sz w:val="20"/>
          <w:szCs w:val="20"/>
        </w:rPr>
        <w:t xml:space="preserve"> deflators</w:t>
      </w:r>
      <w:r w:rsidR="002757E3" w:rsidRPr="00CC52F8"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</w:p>
    <w:p w14:paraId="608508EF" w14:textId="77777777" w:rsidR="00DB51BF" w:rsidRPr="00CC52F8" w:rsidRDefault="00DB51BF" w:rsidP="00E43F40">
      <w:pPr>
        <w:rPr>
          <w:rFonts w:ascii="Times New Roman" w:hAnsi="Times New Roman" w:cs="Times New Roman"/>
          <w:sz w:val="20"/>
          <w:szCs w:val="20"/>
        </w:rPr>
      </w:pPr>
    </w:p>
    <w:p w14:paraId="0D59A861" w14:textId="0F2BCC28" w:rsidR="00F6706D" w:rsidRPr="00CC52F8" w:rsidRDefault="002C33E6" w:rsidP="003D63DA">
      <w:pPr>
        <w:rPr>
          <w:rFonts w:ascii="Times New Roman" w:hAnsi="Times New Roman" w:cs="Times New Roman"/>
          <w:sz w:val="20"/>
          <w:szCs w:val="20"/>
        </w:rPr>
      </w:pPr>
      <w:r w:rsidRPr="00CC52F8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F6706D" w:rsidRPr="00CC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82"/>
    <w:rsid w:val="000125CD"/>
    <w:rsid w:val="00025CA5"/>
    <w:rsid w:val="00040C7E"/>
    <w:rsid w:val="000435EA"/>
    <w:rsid w:val="00047E81"/>
    <w:rsid w:val="0006070C"/>
    <w:rsid w:val="000630BF"/>
    <w:rsid w:val="00066FDC"/>
    <w:rsid w:val="00071265"/>
    <w:rsid w:val="00090546"/>
    <w:rsid w:val="000A2982"/>
    <w:rsid w:val="000A2EE6"/>
    <w:rsid w:val="000A7AA3"/>
    <w:rsid w:val="000B27FB"/>
    <w:rsid w:val="000D47B7"/>
    <w:rsid w:val="000E298A"/>
    <w:rsid w:val="000E5ED2"/>
    <w:rsid w:val="001032C5"/>
    <w:rsid w:val="00110329"/>
    <w:rsid w:val="0012358C"/>
    <w:rsid w:val="00123F22"/>
    <w:rsid w:val="00134316"/>
    <w:rsid w:val="001409EE"/>
    <w:rsid w:val="0016177D"/>
    <w:rsid w:val="001707E8"/>
    <w:rsid w:val="00173234"/>
    <w:rsid w:val="00175A53"/>
    <w:rsid w:val="00176DD3"/>
    <w:rsid w:val="00183EDF"/>
    <w:rsid w:val="00191407"/>
    <w:rsid w:val="001C3449"/>
    <w:rsid w:val="001F0E2D"/>
    <w:rsid w:val="002007CB"/>
    <w:rsid w:val="00205A8A"/>
    <w:rsid w:val="00212804"/>
    <w:rsid w:val="00247693"/>
    <w:rsid w:val="00252BAF"/>
    <w:rsid w:val="0026191F"/>
    <w:rsid w:val="002757E3"/>
    <w:rsid w:val="00291459"/>
    <w:rsid w:val="002B79A3"/>
    <w:rsid w:val="002C33E6"/>
    <w:rsid w:val="002C7F30"/>
    <w:rsid w:val="002D4482"/>
    <w:rsid w:val="002E4227"/>
    <w:rsid w:val="002F73B8"/>
    <w:rsid w:val="00300F55"/>
    <w:rsid w:val="00307135"/>
    <w:rsid w:val="00311A4B"/>
    <w:rsid w:val="00311C4A"/>
    <w:rsid w:val="00311DB6"/>
    <w:rsid w:val="00356BC9"/>
    <w:rsid w:val="00360401"/>
    <w:rsid w:val="003635C3"/>
    <w:rsid w:val="00383509"/>
    <w:rsid w:val="0039580B"/>
    <w:rsid w:val="003D47C4"/>
    <w:rsid w:val="003D514A"/>
    <w:rsid w:val="003D63DA"/>
    <w:rsid w:val="003E0582"/>
    <w:rsid w:val="003F5967"/>
    <w:rsid w:val="00403C4E"/>
    <w:rsid w:val="00405071"/>
    <w:rsid w:val="004222A5"/>
    <w:rsid w:val="00431D0B"/>
    <w:rsid w:val="00432D02"/>
    <w:rsid w:val="00433C81"/>
    <w:rsid w:val="00441FA8"/>
    <w:rsid w:val="00450C1C"/>
    <w:rsid w:val="00451934"/>
    <w:rsid w:val="00465053"/>
    <w:rsid w:val="004674C6"/>
    <w:rsid w:val="00473071"/>
    <w:rsid w:val="004831D1"/>
    <w:rsid w:val="0049218F"/>
    <w:rsid w:val="004A4404"/>
    <w:rsid w:val="004B0BE2"/>
    <w:rsid w:val="004C57E6"/>
    <w:rsid w:val="004D74C4"/>
    <w:rsid w:val="004E0BC7"/>
    <w:rsid w:val="004E586B"/>
    <w:rsid w:val="004F1F37"/>
    <w:rsid w:val="00503A00"/>
    <w:rsid w:val="00514214"/>
    <w:rsid w:val="00517298"/>
    <w:rsid w:val="00520779"/>
    <w:rsid w:val="00532A46"/>
    <w:rsid w:val="005450A6"/>
    <w:rsid w:val="0056187C"/>
    <w:rsid w:val="0056589F"/>
    <w:rsid w:val="00565A77"/>
    <w:rsid w:val="00577B6A"/>
    <w:rsid w:val="005C3599"/>
    <w:rsid w:val="005C46F9"/>
    <w:rsid w:val="005D78FD"/>
    <w:rsid w:val="005E5B32"/>
    <w:rsid w:val="005F487A"/>
    <w:rsid w:val="005F6112"/>
    <w:rsid w:val="00625E77"/>
    <w:rsid w:val="00630F28"/>
    <w:rsid w:val="00650119"/>
    <w:rsid w:val="006560C5"/>
    <w:rsid w:val="006765BF"/>
    <w:rsid w:val="006A04B4"/>
    <w:rsid w:val="006B502B"/>
    <w:rsid w:val="00700B28"/>
    <w:rsid w:val="00707B0A"/>
    <w:rsid w:val="007545D2"/>
    <w:rsid w:val="007571C7"/>
    <w:rsid w:val="00762510"/>
    <w:rsid w:val="00786389"/>
    <w:rsid w:val="00793055"/>
    <w:rsid w:val="00796644"/>
    <w:rsid w:val="00797469"/>
    <w:rsid w:val="007D45FF"/>
    <w:rsid w:val="007D460C"/>
    <w:rsid w:val="007D6C7C"/>
    <w:rsid w:val="007D6F95"/>
    <w:rsid w:val="007F6F41"/>
    <w:rsid w:val="00803ACA"/>
    <w:rsid w:val="00812DEC"/>
    <w:rsid w:val="008218D0"/>
    <w:rsid w:val="008219A0"/>
    <w:rsid w:val="00831130"/>
    <w:rsid w:val="00842B37"/>
    <w:rsid w:val="00857323"/>
    <w:rsid w:val="00871E7A"/>
    <w:rsid w:val="00890A42"/>
    <w:rsid w:val="008945E2"/>
    <w:rsid w:val="008A4B21"/>
    <w:rsid w:val="008B6348"/>
    <w:rsid w:val="008F27F0"/>
    <w:rsid w:val="008F4D8F"/>
    <w:rsid w:val="0090220A"/>
    <w:rsid w:val="00902E12"/>
    <w:rsid w:val="00911834"/>
    <w:rsid w:val="009141CA"/>
    <w:rsid w:val="00916C2C"/>
    <w:rsid w:val="00924FAD"/>
    <w:rsid w:val="00926942"/>
    <w:rsid w:val="00930284"/>
    <w:rsid w:val="00930724"/>
    <w:rsid w:val="00935F93"/>
    <w:rsid w:val="00945890"/>
    <w:rsid w:val="009627D8"/>
    <w:rsid w:val="009705E5"/>
    <w:rsid w:val="009737CD"/>
    <w:rsid w:val="009812AF"/>
    <w:rsid w:val="00982404"/>
    <w:rsid w:val="00996594"/>
    <w:rsid w:val="009A3815"/>
    <w:rsid w:val="009B614A"/>
    <w:rsid w:val="009C4B21"/>
    <w:rsid w:val="009D356F"/>
    <w:rsid w:val="009E15DF"/>
    <w:rsid w:val="009F2830"/>
    <w:rsid w:val="00A0160F"/>
    <w:rsid w:val="00A45549"/>
    <w:rsid w:val="00A51AB6"/>
    <w:rsid w:val="00A53782"/>
    <w:rsid w:val="00A60E9E"/>
    <w:rsid w:val="00A60F47"/>
    <w:rsid w:val="00A6110D"/>
    <w:rsid w:val="00AB2E5A"/>
    <w:rsid w:val="00AB4363"/>
    <w:rsid w:val="00AB5D6A"/>
    <w:rsid w:val="00AC7B43"/>
    <w:rsid w:val="00AD5441"/>
    <w:rsid w:val="00AD7F75"/>
    <w:rsid w:val="00AF32A3"/>
    <w:rsid w:val="00AF38C7"/>
    <w:rsid w:val="00B077AD"/>
    <w:rsid w:val="00B14A37"/>
    <w:rsid w:val="00B14B27"/>
    <w:rsid w:val="00B47B49"/>
    <w:rsid w:val="00B64EF7"/>
    <w:rsid w:val="00B65FEF"/>
    <w:rsid w:val="00B95C14"/>
    <w:rsid w:val="00BB1E13"/>
    <w:rsid w:val="00BC4174"/>
    <w:rsid w:val="00BE6A35"/>
    <w:rsid w:val="00C04ED2"/>
    <w:rsid w:val="00C17575"/>
    <w:rsid w:val="00C564D8"/>
    <w:rsid w:val="00C67967"/>
    <w:rsid w:val="00C8092C"/>
    <w:rsid w:val="00CC1DC3"/>
    <w:rsid w:val="00CC4D7C"/>
    <w:rsid w:val="00CC52F8"/>
    <w:rsid w:val="00CD3BD4"/>
    <w:rsid w:val="00CE4248"/>
    <w:rsid w:val="00CE70C3"/>
    <w:rsid w:val="00CF3C36"/>
    <w:rsid w:val="00D03CC6"/>
    <w:rsid w:val="00D0427D"/>
    <w:rsid w:val="00D13B1C"/>
    <w:rsid w:val="00D30869"/>
    <w:rsid w:val="00D47B38"/>
    <w:rsid w:val="00D524BE"/>
    <w:rsid w:val="00D56CE3"/>
    <w:rsid w:val="00D56FEE"/>
    <w:rsid w:val="00D574F8"/>
    <w:rsid w:val="00D63CED"/>
    <w:rsid w:val="00D64B1A"/>
    <w:rsid w:val="00D74380"/>
    <w:rsid w:val="00D75E18"/>
    <w:rsid w:val="00D81A8F"/>
    <w:rsid w:val="00D90198"/>
    <w:rsid w:val="00D942C6"/>
    <w:rsid w:val="00D949F1"/>
    <w:rsid w:val="00DA1974"/>
    <w:rsid w:val="00DA496E"/>
    <w:rsid w:val="00DB2FE3"/>
    <w:rsid w:val="00DB51BF"/>
    <w:rsid w:val="00DD2116"/>
    <w:rsid w:val="00DF1A54"/>
    <w:rsid w:val="00E009B9"/>
    <w:rsid w:val="00E02E2B"/>
    <w:rsid w:val="00E04B6E"/>
    <w:rsid w:val="00E0522B"/>
    <w:rsid w:val="00E07BA2"/>
    <w:rsid w:val="00E14059"/>
    <w:rsid w:val="00E21765"/>
    <w:rsid w:val="00E318C2"/>
    <w:rsid w:val="00E35E4D"/>
    <w:rsid w:val="00E43F40"/>
    <w:rsid w:val="00E44A62"/>
    <w:rsid w:val="00E539AD"/>
    <w:rsid w:val="00E73823"/>
    <w:rsid w:val="00E94195"/>
    <w:rsid w:val="00E96F5D"/>
    <w:rsid w:val="00EA385C"/>
    <w:rsid w:val="00EB6123"/>
    <w:rsid w:val="00EC3488"/>
    <w:rsid w:val="00EC4936"/>
    <w:rsid w:val="00EC75FA"/>
    <w:rsid w:val="00ED468B"/>
    <w:rsid w:val="00EE080A"/>
    <w:rsid w:val="00EF1C81"/>
    <w:rsid w:val="00EF6273"/>
    <w:rsid w:val="00F30D10"/>
    <w:rsid w:val="00F31637"/>
    <w:rsid w:val="00F40CD6"/>
    <w:rsid w:val="00F6706D"/>
    <w:rsid w:val="00F716FC"/>
    <w:rsid w:val="00F86FDE"/>
    <w:rsid w:val="00FC6F31"/>
    <w:rsid w:val="00FD596F"/>
    <w:rsid w:val="00FD6586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E75A"/>
  <w15:chartTrackingRefBased/>
  <w15:docId w15:val="{A8E906EF-FF80-4C84-8B8A-4CD6F2CD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BAF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4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9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9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9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1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econres/feds/files/2017061pap.pdf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brookings.edu/interactives/hutchins-center-fiscal-impact-measure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tiff"/><Relationship Id="rId4" Type="http://schemas.openxmlformats.org/officeDocument/2006/relationships/styles" Target="styles.xml"/><Relationship Id="rId9" Type="http://schemas.openxmlformats.org/officeDocument/2006/relationships/hyperlink" Target="https://www.brookings.edu/research/the-hutchins-centers-fiscal-impact-meas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804CC-E110-457B-BDA5-8B13F98DF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6E9E84-3B63-42FE-B4BC-1E8A3119A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5d118-ba7b-4807-b700-df6f95cfff50"/>
    <ds:schemaRef ds:uri="66951ee6-cd93-49c7-9437-e871b2a11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E28B9-193F-4F53-AB58-3BCD400EF0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39</cp:revision>
  <cp:lastPrinted>2019-07-17T21:19:00Z</cp:lastPrinted>
  <dcterms:created xsi:type="dcterms:W3CDTF">2019-07-24T17:39:00Z</dcterms:created>
  <dcterms:modified xsi:type="dcterms:W3CDTF">2019-07-24T18:05:00Z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