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E8A7" w14:textId="77777777" w:rsidR="001737B8" w:rsidRDefault="001737B8" w:rsidP="000C0A0B">
      <w:pPr>
        <w:jc w:val="center"/>
        <w:rPr>
          <w:rFonts w:asciiTheme="majorHAnsi" w:eastAsiaTheme="majorEastAsia" w:hAnsiTheme="majorHAnsi" w:cstheme="majorBidi"/>
          <w:spacing w:val="-10"/>
          <w:kern w:val="28"/>
          <w:sz w:val="56"/>
          <w:szCs w:val="56"/>
        </w:rPr>
      </w:pPr>
    </w:p>
    <w:p w14:paraId="4FDBC332" w14:textId="77777777" w:rsidR="001737B8" w:rsidRDefault="001737B8" w:rsidP="000C0A0B">
      <w:pPr>
        <w:jc w:val="center"/>
        <w:rPr>
          <w:rFonts w:asciiTheme="majorHAnsi" w:eastAsiaTheme="majorEastAsia" w:hAnsiTheme="majorHAnsi" w:cstheme="majorBidi"/>
          <w:spacing w:val="-10"/>
          <w:kern w:val="28"/>
          <w:sz w:val="56"/>
          <w:szCs w:val="56"/>
        </w:rPr>
      </w:pPr>
    </w:p>
    <w:p w14:paraId="77222924" w14:textId="0DAA0DB0" w:rsidR="000C0A0B" w:rsidRPr="000B1685" w:rsidRDefault="00A11AF6" w:rsidP="000C0A0B">
      <w:pPr>
        <w:jc w:val="center"/>
        <w:rPr>
          <w:szCs w:val="24"/>
        </w:rPr>
      </w:pPr>
      <w:r w:rsidRPr="00A11AF6">
        <w:rPr>
          <w:rFonts w:asciiTheme="majorHAnsi" w:eastAsiaTheme="majorEastAsia" w:hAnsiTheme="majorHAnsi" w:cstheme="majorBidi"/>
          <w:spacing w:val="-10"/>
          <w:kern w:val="28"/>
          <w:sz w:val="56"/>
          <w:szCs w:val="56"/>
        </w:rPr>
        <w:t>How Stabilizing Has Fiscal Policy Been?</w:t>
      </w:r>
    </w:p>
    <w:p w14:paraId="74913A51" w14:textId="77777777" w:rsidR="000C0A0B" w:rsidRPr="000B1685" w:rsidRDefault="000C0A0B" w:rsidP="000C0A0B">
      <w:pPr>
        <w:jc w:val="center"/>
        <w:rPr>
          <w:szCs w:val="24"/>
        </w:rPr>
      </w:pPr>
      <w:r w:rsidRPr="000B1685">
        <w:rPr>
          <w:szCs w:val="24"/>
        </w:rPr>
        <w:t>Louise Sheiner</w:t>
      </w:r>
    </w:p>
    <w:p w14:paraId="02773987" w14:textId="77777777" w:rsidR="000C0A0B" w:rsidRPr="000B1685" w:rsidRDefault="000C0A0B" w:rsidP="000C0A0B">
      <w:pPr>
        <w:jc w:val="center"/>
        <w:rPr>
          <w:szCs w:val="24"/>
        </w:rPr>
      </w:pPr>
      <w:r w:rsidRPr="000B1685">
        <w:rPr>
          <w:szCs w:val="24"/>
        </w:rPr>
        <w:t>Hutchins Center on Fiscal and Monetary Policy</w:t>
      </w:r>
    </w:p>
    <w:p w14:paraId="32E6AC83" w14:textId="77777777" w:rsidR="000C0A0B" w:rsidRPr="000B1685" w:rsidRDefault="000C0A0B" w:rsidP="000C0A0B">
      <w:pPr>
        <w:jc w:val="center"/>
        <w:rPr>
          <w:szCs w:val="24"/>
        </w:rPr>
      </w:pPr>
      <w:r w:rsidRPr="000B1685">
        <w:rPr>
          <w:szCs w:val="24"/>
        </w:rPr>
        <w:t>The Brookings Institution</w:t>
      </w:r>
    </w:p>
    <w:p w14:paraId="5674E778" w14:textId="77777777" w:rsidR="000C0A0B" w:rsidRPr="000B1685" w:rsidRDefault="000C0A0B" w:rsidP="000C0A0B">
      <w:pPr>
        <w:jc w:val="center"/>
        <w:rPr>
          <w:szCs w:val="24"/>
        </w:rPr>
      </w:pPr>
    </w:p>
    <w:p w14:paraId="5DE0DB2E" w14:textId="77777777" w:rsidR="000C0A0B" w:rsidRPr="000B1685" w:rsidRDefault="000C0A0B" w:rsidP="000C0A0B">
      <w:pPr>
        <w:jc w:val="center"/>
        <w:rPr>
          <w:szCs w:val="24"/>
        </w:rPr>
      </w:pPr>
      <w:r w:rsidRPr="000B1685">
        <w:rPr>
          <w:szCs w:val="24"/>
        </w:rPr>
        <w:t>Michael Ng</w:t>
      </w:r>
    </w:p>
    <w:p w14:paraId="164565D4" w14:textId="77777777" w:rsidR="000C0A0B" w:rsidRPr="000B1685" w:rsidRDefault="000C0A0B" w:rsidP="000C0A0B">
      <w:pPr>
        <w:jc w:val="center"/>
        <w:rPr>
          <w:szCs w:val="24"/>
        </w:rPr>
      </w:pPr>
      <w:r w:rsidRPr="000B1685">
        <w:rPr>
          <w:szCs w:val="24"/>
        </w:rPr>
        <w:t>Hutchins Center on Fiscal and Monetary Policy</w:t>
      </w:r>
    </w:p>
    <w:p w14:paraId="1395CFAB" w14:textId="5CE3CAA5" w:rsidR="000C0A0B" w:rsidRDefault="000C0A0B" w:rsidP="000C0A0B">
      <w:pPr>
        <w:jc w:val="center"/>
        <w:rPr>
          <w:szCs w:val="24"/>
        </w:rPr>
      </w:pPr>
      <w:r w:rsidRPr="000B1685">
        <w:rPr>
          <w:szCs w:val="24"/>
        </w:rPr>
        <w:t>The Brookings Institution</w:t>
      </w:r>
    </w:p>
    <w:p w14:paraId="29E20DD6" w14:textId="77777777" w:rsidR="00DD44FC" w:rsidRPr="000C0A0B" w:rsidRDefault="00DD44FC" w:rsidP="000C0A0B">
      <w:pPr>
        <w:jc w:val="center"/>
        <w:rPr>
          <w:szCs w:val="24"/>
        </w:rPr>
      </w:pPr>
    </w:p>
    <w:p w14:paraId="0B686A6E" w14:textId="3D1CC3F1" w:rsidR="0017728E" w:rsidRDefault="00BD0ED3" w:rsidP="00B81860">
      <w:pPr>
        <w:pStyle w:val="SectionTitleMainText"/>
      </w:pPr>
      <w:r>
        <w:t>Abstract</w:t>
      </w:r>
    </w:p>
    <w:p w14:paraId="70143596" w14:textId="5CDF67BA" w:rsidR="000C0A0B" w:rsidRPr="000C0A0B" w:rsidRDefault="000C0A0B" w:rsidP="000C0A0B">
      <w:pPr>
        <w:pStyle w:val="RegularBodyTextMainText"/>
        <w:rPr>
          <w:b/>
        </w:rPr>
      </w:pPr>
      <w:r w:rsidRPr="000C0A0B">
        <w:t xml:space="preserve">This paper investigates the cyclicality of fiscal policy over the past </w:t>
      </w:r>
      <w:r w:rsidR="000E3694">
        <w:t>4</w:t>
      </w:r>
      <w:r w:rsidRPr="000C0A0B">
        <w:t xml:space="preserve">0 years, using a measure that weights the changes in the components of fiscal policy by their likely impact on the economy. Fiscal policy has been strongly countercyclical over the past </w:t>
      </w:r>
      <w:r w:rsidR="000E3694">
        <w:t>four</w:t>
      </w:r>
      <w:r w:rsidRPr="000C0A0B">
        <w:t xml:space="preserve"> decades, with the degree of cyclicality somewhat stronger in the past 20 years than the previous </w:t>
      </w:r>
      <w:r w:rsidR="000E3694">
        <w:t>2</w:t>
      </w:r>
      <w:r w:rsidRPr="000C0A0B">
        <w:t>0. Automatic stabilizers, mostly through the tax system and unemployment insurance, provide roughly half the stabilization, with discretionary fiscal policy in the form of enacted tax cuts and increased spending accounting for the other half. Fiscal policy at the federal level accounts for all the stabilization. State fiscal policy has been very mildly procyclical in downturns, on average, as declines in state and local purchases have more than offset the stimulus provided by state and local tax systems.</w:t>
      </w:r>
    </w:p>
    <w:p w14:paraId="5C97A84C" w14:textId="77777777" w:rsidR="001737B8" w:rsidRDefault="001737B8">
      <w:pPr>
        <w:spacing w:after="0" w:line="240" w:lineRule="auto"/>
        <w:rPr>
          <w:rFonts w:ascii="Photina MT Std" w:hAnsi="Photina MT Std" w:cs="Photina MT Std"/>
          <w:color w:val="00AF3D"/>
          <w:spacing w:val="-5"/>
          <w:sz w:val="48"/>
          <w:szCs w:val="48"/>
        </w:rPr>
      </w:pPr>
      <w:bookmarkStart w:id="0" w:name="_Toc6305135"/>
      <w:r>
        <w:br w:type="page"/>
      </w:r>
    </w:p>
    <w:p w14:paraId="7FF74832" w14:textId="0EEAB112" w:rsidR="00824BE9" w:rsidRPr="00824BE9" w:rsidRDefault="00824BE9" w:rsidP="00824BE9">
      <w:pPr>
        <w:pStyle w:val="SectionTitleMainText"/>
      </w:pPr>
      <w:r w:rsidRPr="00824BE9">
        <w:lastRenderedPageBreak/>
        <w:t>Introduction</w:t>
      </w:r>
      <w:bookmarkEnd w:id="0"/>
    </w:p>
    <w:p w14:paraId="3F78477F" w14:textId="77777777" w:rsidR="009336D3" w:rsidRDefault="00C97668" w:rsidP="009336D3">
      <w:pPr>
        <w:pStyle w:val="RegularBodyTextMainText"/>
      </w:pPr>
      <w:r w:rsidRPr="00C97668">
        <w:t xml:space="preserve">Government tax and spending policies naturally affect the macroeconomy. </w:t>
      </w:r>
      <w:r w:rsidR="009336D3">
        <w:t>Because these policies tend to increase aggregate demand during recessions and restrain it during booms, fiscal policy is in general a stabilizing economic force. Lower taxes and larger transfer payments during recessions help cushion the blow of a lower income and help people maintain their consumption. Higher government spending during economic downturns increases aggregate demand directly, since governments either hire more people or spend more money at private businesses that, in turn, increase employment.</w:t>
      </w:r>
    </w:p>
    <w:p w14:paraId="59CCEA94" w14:textId="4182CD5C" w:rsidR="00C97668" w:rsidRPr="00C97668" w:rsidRDefault="0041080D" w:rsidP="00C97668">
      <w:pPr>
        <w:pStyle w:val="RegularBodyTextMainText"/>
      </w:pPr>
      <w:r>
        <w:t>Economists have</w:t>
      </w:r>
      <w:r w:rsidR="00C97668" w:rsidRPr="00C97668">
        <w:t xml:space="preserve"> long debate</w:t>
      </w:r>
      <w:r>
        <w:t>d</w:t>
      </w:r>
      <w:r w:rsidR="00C97668" w:rsidRPr="00C97668">
        <w:t xml:space="preserve"> the relative benefits of fiscal policy versus monetary policy at fighting recessions. Many economists believe that monetary policy is more effective at economic stabilization—because the Federal Reserve can act more quickly than Congress and because it is more insulated from political considerations (Elmendorf and Furman 2008). With the secular decline in interest rates observed over the past few decades, however, it seems likely that monetary policy will have more-limited firepower than in previous recessions.</w:t>
      </w:r>
      <w:r w:rsidR="002F1EF4">
        <w:rPr>
          <w:rStyle w:val="EndnoteReference"/>
        </w:rPr>
        <w:endnoteReference w:id="1"/>
      </w:r>
      <w:r w:rsidR="00C97668" w:rsidRPr="00C97668">
        <w:t xml:space="preserve"> Because interest rates are likely to be lower than they have been in the past and cannot be lowered much below zero, the need for countercyclical fiscal policy is likely to be higher in the future than it has been in the past (Rachel and Summers 2019).</w:t>
      </w:r>
    </w:p>
    <w:p w14:paraId="25502734" w14:textId="77777777" w:rsidR="00C97668" w:rsidRPr="00C97668" w:rsidRDefault="00C97668" w:rsidP="00C97668">
      <w:pPr>
        <w:pStyle w:val="RegularBodyTextMainText"/>
      </w:pPr>
      <w:r w:rsidRPr="00C97668">
        <w:tab/>
        <w:t>As a backdrop to the debate about increasing fiscal stabilizers, it is useful to address a few questions:</w:t>
      </w:r>
    </w:p>
    <w:p w14:paraId="0EFCBDE6" w14:textId="6012E2E1" w:rsidR="00C97668" w:rsidRPr="00C97668" w:rsidRDefault="00C97668" w:rsidP="00A86D21">
      <w:pPr>
        <w:pStyle w:val="RegularBodyTextMainText"/>
        <w:ind w:left="1440"/>
      </w:pPr>
      <w:r w:rsidRPr="00C97668">
        <w:t xml:space="preserve">1. How countercyclical has U.S. fiscal policy been over the past </w:t>
      </w:r>
      <w:r w:rsidR="000E3694">
        <w:t>forty years</w:t>
      </w:r>
      <w:r w:rsidRPr="00C97668">
        <w:t>?</w:t>
      </w:r>
    </w:p>
    <w:p w14:paraId="110DE963" w14:textId="77777777" w:rsidR="00C97668" w:rsidRPr="00C97668" w:rsidRDefault="00C97668" w:rsidP="00A86D21">
      <w:pPr>
        <w:pStyle w:val="RegularBodyTextMainText"/>
        <w:ind w:left="1440"/>
      </w:pPr>
      <w:r w:rsidRPr="00C97668">
        <w:t>2. What types of policies provide the greatest amount of stabilization?</w:t>
      </w:r>
    </w:p>
    <w:p w14:paraId="5DBF43B8" w14:textId="77777777" w:rsidR="00C97668" w:rsidRPr="00C97668" w:rsidRDefault="00C97668" w:rsidP="00A86D21">
      <w:pPr>
        <w:pStyle w:val="RegularBodyTextMainText"/>
        <w:ind w:left="1440"/>
      </w:pPr>
      <w:r w:rsidRPr="00C97668">
        <w:t>3. What has been more important to stabilization—changes in policy that happen automatically, or changes brought about through legislation?</w:t>
      </w:r>
    </w:p>
    <w:p w14:paraId="0D95D1FF" w14:textId="77777777" w:rsidR="00C97668" w:rsidRPr="00C97668" w:rsidRDefault="00C97668" w:rsidP="00A86D21">
      <w:pPr>
        <w:pStyle w:val="RegularBodyTextMainText"/>
        <w:ind w:left="1440"/>
      </w:pPr>
      <w:r w:rsidRPr="00C97668">
        <w:t>4. What are the contributions of federal versus state and local fiscal policies to stabilization?</w:t>
      </w:r>
    </w:p>
    <w:p w14:paraId="47A5E98B" w14:textId="77777777" w:rsidR="00C97668" w:rsidRPr="00C97668" w:rsidRDefault="00C97668" w:rsidP="00A86D21">
      <w:pPr>
        <w:pStyle w:val="RegularBodyTextMainText"/>
        <w:ind w:left="1440"/>
      </w:pPr>
      <w:r w:rsidRPr="00C97668">
        <w:t>5. How has fiscal stabilization changed over time?</w:t>
      </w:r>
    </w:p>
    <w:p w14:paraId="42FD6565" w14:textId="63944F2D" w:rsidR="00C97668" w:rsidRDefault="00C97668" w:rsidP="00C97668">
      <w:pPr>
        <w:pStyle w:val="RegularBodyTextMainText"/>
      </w:pPr>
      <w:r w:rsidRPr="00C97668">
        <w:t xml:space="preserve">In short, fiscal policy has been strongly countercyclical over the past five decades, with the degree of cyclicality somewhat stronger in the past 20 years than the previous </w:t>
      </w:r>
      <w:r w:rsidR="008C718E">
        <w:t>2</w:t>
      </w:r>
      <w:r w:rsidRPr="00C97668">
        <w:t>0. Almost all the stabilization is accounted for by the federal government—especially when</w:t>
      </w:r>
      <w:r w:rsidRPr="00C97668">
        <w:rPr>
          <w:b/>
          <w:bCs/>
        </w:rPr>
        <w:t xml:space="preserve"> </w:t>
      </w:r>
      <w:r w:rsidRPr="00C97668">
        <w:rPr>
          <w:bCs/>
        </w:rPr>
        <w:t>we include</w:t>
      </w:r>
      <w:r w:rsidRPr="00C97668">
        <w:rPr>
          <w:b/>
          <w:bCs/>
        </w:rPr>
        <w:t xml:space="preserve"> </w:t>
      </w:r>
      <w:r w:rsidRPr="00C97668">
        <w:t xml:space="preserve">federal transfers to states and localities. The automatic stabilizers and discretionary fiscal policy are about equally important to macroeconomic stabilization. During economic downturns, taxes </w:t>
      </w:r>
      <w:proofErr w:type="gramStart"/>
      <w:r w:rsidRPr="00C97668">
        <w:t>fall</w:t>
      </w:r>
      <w:proofErr w:type="gramEnd"/>
      <w:r w:rsidRPr="00C97668">
        <w:t xml:space="preserve"> and transfers increase both automatically and in response to legislation, and the federal government also increases purchases. State fiscal policy is very mildly procyclical, because declines in state and local purchases more than offset stimulus provided by state automatic stabilizers.</w:t>
      </w:r>
    </w:p>
    <w:p w14:paraId="062BAD56" w14:textId="77777777" w:rsidR="00F86C18" w:rsidRPr="000B1685" w:rsidRDefault="00F86C18" w:rsidP="00F86C18">
      <w:pPr>
        <w:pStyle w:val="Heading2MainText"/>
      </w:pPr>
      <w:bookmarkStart w:id="1" w:name="_Toc6305136"/>
      <w:r w:rsidRPr="000B1685">
        <w:t>Measuring the Direct Effects of Fiscal Policy on the Macroeconomy</w:t>
      </w:r>
      <w:bookmarkEnd w:id="1"/>
    </w:p>
    <w:p w14:paraId="54A5799C" w14:textId="77777777" w:rsidR="00F86C18" w:rsidRPr="000B1685" w:rsidRDefault="00F86C18" w:rsidP="00F86C18">
      <w:pPr>
        <w:pStyle w:val="RegularBodyTextMainText"/>
      </w:pPr>
      <w:r w:rsidRPr="000B1685">
        <w:t>While increases in government budget deficits boost aggregate demand, the composition of the deficit changes can matter for both the duration and the degree of economic stabilization arising from these policies.</w:t>
      </w:r>
    </w:p>
    <w:p w14:paraId="6B372671" w14:textId="40BC7293" w:rsidR="00F86C18" w:rsidRPr="000B1685" w:rsidRDefault="00F86C18" w:rsidP="00F86C18">
      <w:pPr>
        <w:pStyle w:val="RegularBodyTextMainText"/>
      </w:pPr>
      <w:r w:rsidRPr="000B1685">
        <w:t xml:space="preserve">The </w:t>
      </w:r>
      <w:bookmarkStart w:id="2" w:name="_Hlk6220553"/>
      <w:r w:rsidRPr="000B1685">
        <w:t xml:space="preserve">Hutchins Center on Fiscal and Monetary Policy </w:t>
      </w:r>
      <w:bookmarkEnd w:id="2"/>
      <w:r w:rsidRPr="000B1685">
        <w:t>(Hutchins Center) created its Fiscal Impact Measure (FIM) as a rough gauge of how fiscal policies of federal, state, and local governments affect near-term changes in output—measured by gross domestic product (GDP).</w:t>
      </w:r>
      <w:r w:rsidR="002F1EF4">
        <w:rPr>
          <w:rStyle w:val="EndnoteReference"/>
        </w:rPr>
        <w:endnoteReference w:id="2"/>
      </w:r>
      <w:r w:rsidRPr="000B1685">
        <w:t xml:space="preserve"> Rather than simply examining changes in government deficits over time, the FIM weights the changes in the various components of government budgets—purchases, </w:t>
      </w:r>
      <w:r>
        <w:t xml:space="preserve">individual and corporate </w:t>
      </w:r>
      <w:r w:rsidRPr="000B1685">
        <w:t>taxes, and transfers—by their likely impact on the economy.</w:t>
      </w:r>
      <w:r w:rsidR="00DE08A8">
        <w:rPr>
          <w:rStyle w:val="EndnoteReference"/>
        </w:rPr>
        <w:endnoteReference w:id="3"/>
      </w:r>
    </w:p>
    <w:p w14:paraId="3DCAB5E9" w14:textId="219A9F72" w:rsidR="00F86C18" w:rsidRPr="000B1685" w:rsidRDefault="00F86C18" w:rsidP="00F86C18">
      <w:pPr>
        <w:pStyle w:val="RegularBodyTextMainText"/>
      </w:pPr>
      <w:r w:rsidRPr="000B1685">
        <w:t>Direct government purchases include spending on employee compensation and benefits, payments to contracts for defense and nondefense purposes, and other government expenditures that represent an exchange of government money for goods and services. These are counted directly in output, so have a one-for-one immediate impact on GDP.</w:t>
      </w:r>
    </w:p>
    <w:p w14:paraId="24B18509" w14:textId="1697C2CF" w:rsidR="00F86C18" w:rsidRPr="000B1685" w:rsidRDefault="00F86C18" w:rsidP="00F86C18">
      <w:pPr>
        <w:pStyle w:val="RegularBodyTextMainText"/>
      </w:pPr>
      <w:r w:rsidRPr="000B1685">
        <w:t>Assessing the impact of changes in transfers (such as Social Security and Medicaid) and changes in taxes is more complicated, because these</w:t>
      </w:r>
      <w:r w:rsidR="0039622C">
        <w:t xml:space="preserve"> changes</w:t>
      </w:r>
      <w:r w:rsidRPr="000B1685">
        <w:t xml:space="preserve"> affect GDP only to the extent that they increase or lower consumption. Because some changes in taxes </w:t>
      </w:r>
      <w:r w:rsidRPr="000B1685">
        <w:lastRenderedPageBreak/>
        <w:t xml:space="preserve">and transfers may lead to changes in saving rather than in consumption, and because people may adjust their consumption only slowly, the FIM assumes that the direct effect of changes in taxes and transfers is less than one for one and takes place slowly over time. </w:t>
      </w:r>
      <w:r w:rsidRPr="002B55F5">
        <w:t>The specific assumptions for each type of tax and transfer are detailed in online appendix A.</w:t>
      </w:r>
      <w:r w:rsidR="0037234F">
        <w:rPr>
          <w:rStyle w:val="EndnoteReference"/>
        </w:rPr>
        <w:endnoteReference w:id="4"/>
      </w:r>
    </w:p>
    <w:p w14:paraId="4949787F" w14:textId="440FD33A" w:rsidR="00F86C18" w:rsidRPr="000B1685" w:rsidRDefault="00F86C18" w:rsidP="00F86C18">
      <w:pPr>
        <w:pStyle w:val="RegularBodyTextMainText"/>
      </w:pPr>
      <w:r w:rsidRPr="000B1685">
        <w:t>The FIM includes only the direct effect of fiscal policy on the economy. It measures the first-order effects of government policy on GDP, but not any second-round effects whereby higher GDP in one year stimulates hiring that then boosts GDP further. Because these effects are likely to be positive, particularly during downturns, the FIM probably understates the stabilizing effects of fiscal policy on the economy. On the other hand, the FIM also excludes potential offsets from monetary policy. For example, a surge in government spending when unemployment rates are low could induce the Federal Reserve to raise interest rates, a response that might undo the effects captured by the FIM.</w:t>
      </w:r>
      <w:bookmarkStart w:id="3" w:name="_Hlk5465692"/>
    </w:p>
    <w:bookmarkEnd w:id="3"/>
    <w:p w14:paraId="22A06BE4" w14:textId="34E5DB87" w:rsidR="00F86C18" w:rsidRPr="000B1685" w:rsidRDefault="00F86C18" w:rsidP="00F86C18">
      <w:pPr>
        <w:pStyle w:val="RegularBodyTextMainText"/>
      </w:pPr>
      <w:r w:rsidRPr="000B1685">
        <w:t xml:space="preserve">As explained in </w:t>
      </w:r>
      <w:r>
        <w:t xml:space="preserve">online </w:t>
      </w:r>
      <w:r w:rsidRPr="00C6004E">
        <w:t>appendix A, i</w:t>
      </w:r>
      <w:r w:rsidRPr="000B1685">
        <w:t xml:space="preserve">n order to calculate the effects of government policy on the economy it is necessary to specify a counterfactual; </w:t>
      </w:r>
      <w:r>
        <w:t>in other words</w:t>
      </w:r>
      <w:r w:rsidRPr="000B1685">
        <w:t xml:space="preserve">, we need to know what the effects of a particular set of policies are compared to some alternative. The counterfactual assumed by the FIM is that taxes and spending rise with potential GDP—the gross domestic output that would be obtained if the economy were at full employment. When the FIM is positive, fiscal policy is </w:t>
      </w:r>
      <w:proofErr w:type="spellStart"/>
      <w:r w:rsidRPr="000B1685">
        <w:t>stimulative</w:t>
      </w:r>
      <w:proofErr w:type="spellEnd"/>
      <w:r w:rsidRPr="000B1685">
        <w:t xml:space="preserve">, in the sense that it is a force that is pushing GDP growth above potential growth. When the FIM is negative, policy is contractionary, in the sense that it is </w:t>
      </w:r>
      <w:r>
        <w:t>lowering</w:t>
      </w:r>
      <w:r w:rsidRPr="000B1685">
        <w:t xml:space="preserve"> real GDP growth </w:t>
      </w:r>
      <w:r>
        <w:t>relative to</w:t>
      </w:r>
      <w:r w:rsidRPr="000B1685">
        <w:t xml:space="preserve"> potential growth.</w:t>
      </w:r>
    </w:p>
    <w:p w14:paraId="7F57D5CD" w14:textId="398CBF5C" w:rsidR="00F86C18" w:rsidRPr="000B1685" w:rsidRDefault="00F86C18" w:rsidP="00F86C18">
      <w:pPr>
        <w:pStyle w:val="RegularBodyTextMainText"/>
      </w:pPr>
      <w:r w:rsidRPr="000B1685">
        <w:t xml:space="preserve">To get a better sense of the FIM, consider the effects of a temporary tax cut enacted to spur growth in a recession. When the tax cut goes into effect, the FIM would increase. But once consumers had adjusted their consumption to reflect the lower taxes, the FIM would fall—even though the tax cut was still supporting the </w:t>
      </w:r>
      <w:r>
        <w:t xml:space="preserve">new </w:t>
      </w:r>
      <w:r w:rsidRPr="000B1685">
        <w:t>level of consumption. Finally, when the temporary tax cut expires, the FIM would become negative, because changes in fiscal policy would be curtailing consumption growth.</w:t>
      </w:r>
    </w:p>
    <w:p w14:paraId="67B220B7" w14:textId="712388D5" w:rsidR="00F86C18" w:rsidRPr="000B1685" w:rsidRDefault="00F86C18" w:rsidP="00F86C18">
      <w:pPr>
        <w:pStyle w:val="RegularBodyTextMainText"/>
      </w:pPr>
      <w:r w:rsidRPr="000B1685">
        <w:t>The FIM is closely related to a measure of fiscal stance developed by Federal Reserve Board staff (see Cashin et al. 2018). Their measure is somewhat more detailed, and more carefully tracks specific changes in federal fiscal policy, but the overall measure looks quite similar to the FIM.</w:t>
      </w:r>
    </w:p>
    <w:p w14:paraId="506B9B2F" w14:textId="77777777" w:rsidR="00230056" w:rsidRPr="000B1685" w:rsidRDefault="00230056" w:rsidP="007D412A">
      <w:pPr>
        <w:pStyle w:val="SectionTitleMainText"/>
      </w:pPr>
      <w:bookmarkStart w:id="4" w:name="_Toc6305137"/>
      <w:r w:rsidRPr="000B1685">
        <w:t>Data</w:t>
      </w:r>
      <w:bookmarkEnd w:id="4"/>
    </w:p>
    <w:p w14:paraId="4B2D4CF0" w14:textId="173498FE" w:rsidR="00230056" w:rsidRPr="000B1685" w:rsidRDefault="00230056" w:rsidP="00230056">
      <w:pPr>
        <w:pStyle w:val="RegularBodyTextMainText"/>
      </w:pPr>
      <w:r w:rsidRPr="000B1685">
        <w:t xml:space="preserve">Most of the data are from the </w:t>
      </w:r>
      <w:bookmarkStart w:id="5" w:name="_Hlk6218844"/>
      <w:r w:rsidRPr="000B1685">
        <w:t xml:space="preserve">Bureau of Economic Analysis’s (BEA’s) </w:t>
      </w:r>
      <w:bookmarkStart w:id="6" w:name="_Hlk6218707"/>
      <w:r w:rsidRPr="000B1685">
        <w:t>National Income and Product Accounts (NIPA)</w:t>
      </w:r>
      <w:bookmarkEnd w:id="5"/>
      <w:bookmarkEnd w:id="6"/>
      <w:r w:rsidRPr="000B1685">
        <w:t>. In the NIPA, government spending is attributed to the level of government that spends the money rather than to the level of government that finances the spending. For example, total expenditures on Medicaid, a program that is jointly financed by states and the federal government (with the federal government paying roughly 60 percent) are labeled by BEA as state and local government transfers, whereas the federal Medicaid expenditures are recorded as grants to state and local governments.</w:t>
      </w:r>
    </w:p>
    <w:p w14:paraId="23ED7E7D" w14:textId="2537DB80" w:rsidR="00230056" w:rsidRPr="000B1685" w:rsidRDefault="00230056" w:rsidP="00230056">
      <w:pPr>
        <w:pStyle w:val="RegularBodyTextMainText"/>
      </w:pPr>
      <w:r w:rsidRPr="000B1685">
        <w:t xml:space="preserve">To better attribute spending to the entity that made the policy decision, we reallocate to the federal government state and local spending </w:t>
      </w:r>
      <w:r>
        <w:t xml:space="preserve">that is </w:t>
      </w:r>
      <w:r w:rsidRPr="000B1685">
        <w:t>financed by the federal government. In particular, we use data on the federal share of Medicaid spending to split Medicaid expenditures into federal and state expenditures and to categorize the remainder of federal grants to states (i.e., for purposes other than Medicaid) as federal purchases.</w:t>
      </w:r>
      <w:r w:rsidR="0037234F">
        <w:rPr>
          <w:rStyle w:val="EndnoteReference"/>
        </w:rPr>
        <w:endnoteReference w:id="5"/>
      </w:r>
    </w:p>
    <w:p w14:paraId="691A3914" w14:textId="1423C6DD" w:rsidR="00230056" w:rsidRPr="000B1685" w:rsidRDefault="00230056" w:rsidP="00230056">
      <w:pPr>
        <w:pStyle w:val="RegularBodyTextMainText"/>
      </w:pPr>
      <w:r w:rsidRPr="000B1685">
        <w:t>Apart from the NIPA data, we use the Congressional Budget Office’s (CBO’s) estimates of potential GDP and the natural rate of unemployment to calculate output gaps and unemployment gaps. We also use their estimate of the automatic stabilization associated with federal revenues. We calculate our own automatic stabilizers for state and local taxes, and federal and state spending.</w:t>
      </w:r>
    </w:p>
    <w:p w14:paraId="2E0CB2E5" w14:textId="040179E0" w:rsidR="00230056" w:rsidRPr="000B1685" w:rsidRDefault="00230056" w:rsidP="007D412A">
      <w:pPr>
        <w:pStyle w:val="SectionTitleMainText"/>
      </w:pPr>
      <w:bookmarkStart w:id="7" w:name="_Toc6305138"/>
      <w:r w:rsidRPr="000B1685">
        <w:lastRenderedPageBreak/>
        <w:t>The Cyclicality of Fiscal Policy</w:t>
      </w:r>
      <w:bookmarkEnd w:id="7"/>
    </w:p>
    <w:p w14:paraId="3837D3FB" w14:textId="39CCEBBA" w:rsidR="00230056" w:rsidRPr="000B1685" w:rsidRDefault="00230056" w:rsidP="00230056">
      <w:pPr>
        <w:pStyle w:val="RegularBodyTextMainText"/>
      </w:pPr>
      <w:r w:rsidRPr="000B1685">
        <w:t xml:space="preserve">Figure 1 plots the four-quarter moving average of the FIM and the four-quarter change in the unemployment gap (defined as the difference between the actual unemployment rate and CBO’s estimate of the natural rate of unemployment). Fiscal policy is clearly countercyclical, with the FIM rising when the unemployment rate increases, and falling when it decreases, though sometimes the fiscal policy shifts lag the unemployment rate changes slightly. (Other measures of the business cycle, like the output gap, also fit, but not quite as well.) Fiscal policy responded quite strongly to changes in the unemployment gap in the Great Recession, boosting GDP growth </w:t>
      </w:r>
      <w:r w:rsidR="00362D25">
        <w:t xml:space="preserve">over </w:t>
      </w:r>
      <w:r w:rsidR="004B3FDE">
        <w:t xml:space="preserve">four quarters </w:t>
      </w:r>
      <w:r w:rsidRPr="000B1685">
        <w:t>by almost 3 percentage points at its peak, but turned sharply contractionary from 2011 to 2014. Indeed, fiscal policy was more contractionary in those years than it was in any of the preceding 40 years, even though the unemployment gap remained substantial, as can be seen in figure 2. As we show below, had policy followed the pattern of previous business cycles, fiscal policy would have been closer to neutral from 2011 to 2014.</w:t>
      </w:r>
    </w:p>
    <w:p w14:paraId="0B03EC81" w14:textId="77777777" w:rsidR="00C64763" w:rsidRDefault="00C64763" w:rsidP="00C64763">
      <w:pPr>
        <w:pStyle w:val="FigureTableBoxNumberFiguresTablesBoxes"/>
      </w:pPr>
      <w:bookmarkStart w:id="8" w:name="_Toc6305139"/>
      <w:r w:rsidRPr="000B1685">
        <w:t xml:space="preserve">Figure 1. </w:t>
      </w:r>
    </w:p>
    <w:p w14:paraId="3094D7AC" w14:textId="056DBE10" w:rsidR="00C64763" w:rsidRDefault="00C64763" w:rsidP="00C64763">
      <w:pPr>
        <w:pStyle w:val="FigureTableBoxTitleFiguresTablesBoxes"/>
      </w:pPr>
      <w:r w:rsidRPr="000B1685">
        <w:t xml:space="preserve">Fiscal Impact Measure and Change in the Unemployment </w:t>
      </w:r>
      <w:r>
        <w:t xml:space="preserve">Rate </w:t>
      </w:r>
      <w:r w:rsidRPr="000B1685">
        <w:t>Gap, 1980–2018</w:t>
      </w:r>
      <w:bookmarkEnd w:id="8"/>
    </w:p>
    <w:p w14:paraId="5922ADE9" w14:textId="77777777" w:rsidR="00C64763" w:rsidRPr="00440689" w:rsidRDefault="00C64763" w:rsidP="00C64763">
      <w:r>
        <w:rPr>
          <w:noProof/>
        </w:rPr>
        <w:drawing>
          <wp:inline distT="0" distB="0" distL="0" distR="0" wp14:anchorId="3140A7ED" wp14:editId="18770B69">
            <wp:extent cx="6663690" cy="3017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3690" cy="3017520"/>
                    </a:xfrm>
                    <a:prstGeom prst="rect">
                      <a:avLst/>
                    </a:prstGeom>
                    <a:noFill/>
                  </pic:spPr>
                </pic:pic>
              </a:graphicData>
            </a:graphic>
          </wp:inline>
        </w:drawing>
      </w:r>
    </w:p>
    <w:p w14:paraId="2276A7FA" w14:textId="26F86701" w:rsidR="00C64763" w:rsidRPr="00826E67" w:rsidDel="00C801C5" w:rsidRDefault="00C64763" w:rsidP="00C64763">
      <w:pPr>
        <w:spacing w:after="0" w:line="240" w:lineRule="auto"/>
        <w:rPr>
          <w:sz w:val="18"/>
          <w:szCs w:val="18"/>
        </w:rPr>
      </w:pPr>
      <w:r w:rsidRPr="00826E67">
        <w:rPr>
          <w:i/>
          <w:sz w:val="18"/>
          <w:szCs w:val="18"/>
        </w:rPr>
        <w:t>Source:</w:t>
      </w:r>
      <w:r w:rsidRPr="00826E67">
        <w:rPr>
          <w:sz w:val="18"/>
          <w:szCs w:val="18"/>
        </w:rPr>
        <w:t xml:space="preserve"> </w:t>
      </w:r>
      <w:r w:rsidR="005B5D96">
        <w:rPr>
          <w:sz w:val="18"/>
          <w:szCs w:val="18"/>
        </w:rPr>
        <w:t>Bureau of Labor Statistics [BLS] 1980–201</w:t>
      </w:r>
      <w:r w:rsidR="00602FA9">
        <w:rPr>
          <w:sz w:val="18"/>
          <w:szCs w:val="18"/>
        </w:rPr>
        <w:t>8</w:t>
      </w:r>
      <w:r w:rsidR="005B5D96">
        <w:rPr>
          <w:sz w:val="18"/>
          <w:szCs w:val="18"/>
        </w:rPr>
        <w:t>; Congressional Budget Office [CBO] 1980–201</w:t>
      </w:r>
      <w:r w:rsidR="00602FA9">
        <w:rPr>
          <w:sz w:val="18"/>
          <w:szCs w:val="18"/>
        </w:rPr>
        <w:t>8</w:t>
      </w:r>
      <w:r w:rsidR="005B5D96">
        <w:rPr>
          <w:sz w:val="18"/>
          <w:szCs w:val="18"/>
        </w:rPr>
        <w:t>; a</w:t>
      </w:r>
      <w:r w:rsidR="005B5D96" w:rsidRPr="007B7ECF">
        <w:rPr>
          <w:sz w:val="18"/>
          <w:szCs w:val="18"/>
        </w:rPr>
        <w:t>uthors' calculations; see online appendix A for more details</w:t>
      </w:r>
      <w:r w:rsidR="005B5D96">
        <w:rPr>
          <w:sz w:val="18"/>
          <w:szCs w:val="18"/>
        </w:rPr>
        <w:t xml:space="preserve"> on FIM.</w:t>
      </w:r>
    </w:p>
    <w:p w14:paraId="3D16DD9D" w14:textId="257F417F" w:rsidR="00C64763" w:rsidRDefault="00C64763" w:rsidP="00C64763">
      <w:pPr>
        <w:spacing w:after="0" w:line="240" w:lineRule="auto"/>
        <w:rPr>
          <w:sz w:val="18"/>
          <w:szCs w:val="18"/>
        </w:rPr>
      </w:pPr>
      <w:r w:rsidRPr="00826E67" w:rsidDel="00C801C5">
        <w:rPr>
          <w:i/>
          <w:sz w:val="18"/>
          <w:szCs w:val="18"/>
        </w:rPr>
        <w:t>Note:</w:t>
      </w:r>
      <w:r w:rsidRPr="00826E67" w:rsidDel="00C801C5">
        <w:rPr>
          <w:sz w:val="18"/>
          <w:szCs w:val="18"/>
        </w:rPr>
        <w:t xml:space="preserve"> </w:t>
      </w:r>
      <w:r>
        <w:rPr>
          <w:sz w:val="18"/>
          <w:szCs w:val="18"/>
        </w:rPr>
        <w:t xml:space="preserve">The Hutchins Center </w:t>
      </w:r>
      <w:r w:rsidRPr="00640BC4">
        <w:rPr>
          <w:sz w:val="18"/>
          <w:szCs w:val="18"/>
        </w:rPr>
        <w:t xml:space="preserve">Fiscal Impact Measure (FIM) </w:t>
      </w:r>
      <w:r>
        <w:rPr>
          <w:sz w:val="18"/>
          <w:szCs w:val="18"/>
        </w:rPr>
        <w:t>i</w:t>
      </w:r>
      <w:r w:rsidRPr="00640BC4">
        <w:rPr>
          <w:sz w:val="18"/>
          <w:szCs w:val="18"/>
        </w:rPr>
        <w:t>s a gauge of how the fiscal policies of federal, state, and local</w:t>
      </w:r>
      <w:r>
        <w:rPr>
          <w:sz w:val="18"/>
          <w:szCs w:val="18"/>
        </w:rPr>
        <w:t xml:space="preserve"> </w:t>
      </w:r>
      <w:r w:rsidRPr="00640BC4">
        <w:rPr>
          <w:sz w:val="18"/>
          <w:szCs w:val="18"/>
        </w:rPr>
        <w:t xml:space="preserve">governments affect near-term changes in </w:t>
      </w:r>
      <w:r>
        <w:rPr>
          <w:sz w:val="18"/>
          <w:szCs w:val="18"/>
        </w:rPr>
        <w:t>GDP</w:t>
      </w:r>
      <w:r w:rsidRPr="00826E67" w:rsidDel="00C801C5">
        <w:rPr>
          <w:sz w:val="18"/>
          <w:szCs w:val="18"/>
        </w:rPr>
        <w:t>.</w:t>
      </w:r>
      <w:r>
        <w:rPr>
          <w:sz w:val="18"/>
          <w:szCs w:val="18"/>
        </w:rPr>
        <w:t xml:space="preserve"> The unemployment rate gap is the actual unemployment rate minus the CBO’s estimate of the natural rate of unemployment. Both series are four-quarter moving averages.</w:t>
      </w:r>
    </w:p>
    <w:p w14:paraId="13300546" w14:textId="77777777" w:rsidR="00C64763" w:rsidRDefault="00C64763" w:rsidP="00C64763">
      <w:pPr>
        <w:spacing w:after="0" w:line="240" w:lineRule="auto"/>
        <w:rPr>
          <w:sz w:val="18"/>
          <w:szCs w:val="18"/>
        </w:rPr>
      </w:pPr>
    </w:p>
    <w:p w14:paraId="6266AA23" w14:textId="65D9329F" w:rsidR="00230056" w:rsidRDefault="00230056" w:rsidP="002F7955">
      <w:pPr>
        <w:pStyle w:val="RegularBodyTextMainText"/>
      </w:pPr>
      <w:r w:rsidRPr="000B1685">
        <w:t xml:space="preserve">One question is whether following the fiscal stance of previous business cycles would still have been too contractionary. Because fiscal stimulus responds to changes in the unemployment rate, it diminishes when the economy starts to improve, even if unemployment remains high. While this might seem counterintuitive, it is analogous to how monetary policy responds to a decline in the unemployment gap under a Taylor-type rule and should be interpreted similarly: when the FIM is falling but is still above zero, fiscal policy remains </w:t>
      </w:r>
      <w:proofErr w:type="spellStart"/>
      <w:r w:rsidRPr="000B1685">
        <w:t>stimulative</w:t>
      </w:r>
      <w:proofErr w:type="spellEnd"/>
      <w:r w:rsidRPr="000B1685">
        <w:t>, but to a lessening degree. Thus, the cyclicality of fiscal policy seems reasonable overall</w:t>
      </w:r>
      <w:r w:rsidR="007D412A">
        <w:t xml:space="preserve"> (Taylor 2000)</w:t>
      </w:r>
      <w:r w:rsidRPr="000B1685">
        <w:t xml:space="preserve">. In the recovery from the Great Recession, however, with monetary policy still constrained by the </w:t>
      </w:r>
      <w:proofErr w:type="gramStart"/>
      <w:r w:rsidRPr="000B1685">
        <w:t>zero lower</w:t>
      </w:r>
      <w:proofErr w:type="gramEnd"/>
      <w:r w:rsidRPr="000B1685">
        <w:t xml:space="preserve"> bound, keeping fiscal policy </w:t>
      </w:r>
      <w:proofErr w:type="spellStart"/>
      <w:r w:rsidRPr="000B1685">
        <w:t>stimulative</w:t>
      </w:r>
      <w:proofErr w:type="spellEnd"/>
      <w:r w:rsidRPr="000B1685">
        <w:t xml:space="preserve"> for longer might have been warranted. Certainly the move to contractionary fiscal policy in 2011–14 impeded the pace of the recovery and was far from optimal.</w:t>
      </w:r>
      <w:r w:rsidR="00DE08A8">
        <w:rPr>
          <w:rStyle w:val="EndnoteReference"/>
        </w:rPr>
        <w:endnoteReference w:id="6"/>
      </w:r>
    </w:p>
    <w:p w14:paraId="1799ED4A" w14:textId="77777777" w:rsidR="00230056" w:rsidRPr="000B1685" w:rsidRDefault="00230056" w:rsidP="00436F02">
      <w:pPr>
        <w:pStyle w:val="Heading2MainText"/>
      </w:pPr>
      <w:bookmarkStart w:id="9" w:name="_Toc6305141"/>
      <w:r w:rsidRPr="000B1685">
        <w:t>Components of Stabilization</w:t>
      </w:r>
      <w:bookmarkEnd w:id="9"/>
    </w:p>
    <w:p w14:paraId="0730EAEE" w14:textId="15CBACB3" w:rsidR="00230056" w:rsidRDefault="00230056" w:rsidP="00B501FF">
      <w:pPr>
        <w:pStyle w:val="RegularBodyTextMainText"/>
      </w:pPr>
      <w:r w:rsidRPr="000B1685">
        <w:t xml:space="preserve">Figure </w:t>
      </w:r>
      <w:r w:rsidR="008367B4">
        <w:t>3</w:t>
      </w:r>
      <w:r w:rsidR="008367B4" w:rsidRPr="000B1685">
        <w:t xml:space="preserve"> </w:t>
      </w:r>
      <w:r w:rsidRPr="000B1685">
        <w:t xml:space="preserve">decomposes the FIM into its three main components: purchases, taxes, and transfers. Of the three, taxes and transfers </w:t>
      </w:r>
      <w:r w:rsidRPr="000B1685">
        <w:lastRenderedPageBreak/>
        <w:t>are about equally countercyclical, but purchases also appear to be important stabilizers.</w:t>
      </w:r>
    </w:p>
    <w:p w14:paraId="38969981" w14:textId="77777777" w:rsidR="00B501FF" w:rsidRDefault="00B501FF" w:rsidP="00B501FF">
      <w:pPr>
        <w:pStyle w:val="FigureTableBoxNumberFiguresTablesBoxes"/>
      </w:pPr>
      <w:bookmarkStart w:id="10" w:name="_Toc6305140"/>
      <w:r w:rsidRPr="000B1685">
        <w:t>Figure 2.</w:t>
      </w:r>
    </w:p>
    <w:p w14:paraId="5D8C264B" w14:textId="2531C171" w:rsidR="00B501FF" w:rsidRPr="000B1685" w:rsidRDefault="00B501FF" w:rsidP="00B501FF">
      <w:pPr>
        <w:pStyle w:val="FigureTableBoxTitleFiguresTablesBoxes"/>
      </w:pPr>
      <w:r w:rsidRPr="000B1685">
        <w:t xml:space="preserve">Fiscal Impact Measure and the Unemployment </w:t>
      </w:r>
      <w:r>
        <w:t xml:space="preserve">Rate </w:t>
      </w:r>
      <w:r w:rsidRPr="000B1685">
        <w:t>Gap, 1980–2018</w:t>
      </w:r>
      <w:bookmarkEnd w:id="10"/>
    </w:p>
    <w:p w14:paraId="64A5FAE3" w14:textId="1DEA031D" w:rsidR="00B501FF" w:rsidRPr="00826E67" w:rsidDel="00C801C5" w:rsidRDefault="00B501FF" w:rsidP="00B501FF">
      <w:pPr>
        <w:spacing w:after="0" w:line="240" w:lineRule="auto"/>
        <w:rPr>
          <w:sz w:val="18"/>
          <w:szCs w:val="18"/>
        </w:rPr>
      </w:pPr>
      <w:r>
        <w:rPr>
          <w:i/>
          <w:noProof/>
          <w:sz w:val="18"/>
          <w:szCs w:val="18"/>
        </w:rPr>
        <w:drawing>
          <wp:inline distT="0" distB="0" distL="0" distR="0" wp14:anchorId="75F560D6" wp14:editId="66679477">
            <wp:extent cx="6544136" cy="30003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4136" cy="3000375"/>
                    </a:xfrm>
                    <a:prstGeom prst="rect">
                      <a:avLst/>
                    </a:prstGeom>
                    <a:noFill/>
                  </pic:spPr>
                </pic:pic>
              </a:graphicData>
            </a:graphic>
          </wp:inline>
        </w:drawing>
      </w:r>
      <w:r w:rsidRPr="00826E67">
        <w:rPr>
          <w:i/>
          <w:sz w:val="18"/>
          <w:szCs w:val="18"/>
        </w:rPr>
        <w:t>Source:</w:t>
      </w:r>
      <w:r w:rsidRPr="00826E67">
        <w:rPr>
          <w:sz w:val="18"/>
          <w:szCs w:val="18"/>
        </w:rPr>
        <w:t xml:space="preserve"> </w:t>
      </w:r>
      <w:r w:rsidR="00AB0AEF">
        <w:rPr>
          <w:sz w:val="18"/>
          <w:szCs w:val="18"/>
        </w:rPr>
        <w:t>BLS 1980–201</w:t>
      </w:r>
      <w:r w:rsidR="00602FA9">
        <w:rPr>
          <w:sz w:val="18"/>
          <w:szCs w:val="18"/>
        </w:rPr>
        <w:t>8</w:t>
      </w:r>
      <w:r w:rsidR="00AB0AEF">
        <w:rPr>
          <w:sz w:val="18"/>
          <w:szCs w:val="18"/>
        </w:rPr>
        <w:t>; CBO 1980–201</w:t>
      </w:r>
      <w:r w:rsidR="00602FA9">
        <w:rPr>
          <w:sz w:val="18"/>
          <w:szCs w:val="18"/>
        </w:rPr>
        <w:t>8</w:t>
      </w:r>
      <w:r w:rsidR="00AB0AEF">
        <w:rPr>
          <w:sz w:val="18"/>
          <w:szCs w:val="18"/>
        </w:rPr>
        <w:t>; a</w:t>
      </w:r>
      <w:r w:rsidR="00AB0AEF" w:rsidRPr="007B7ECF">
        <w:rPr>
          <w:sz w:val="18"/>
          <w:szCs w:val="18"/>
        </w:rPr>
        <w:t>uthors' calculations; see online appendix A for more details</w:t>
      </w:r>
      <w:r w:rsidR="00AB0AEF">
        <w:rPr>
          <w:sz w:val="18"/>
          <w:szCs w:val="18"/>
        </w:rPr>
        <w:t xml:space="preserve"> on FIM.</w:t>
      </w:r>
    </w:p>
    <w:p w14:paraId="4E96C908" w14:textId="00D6DBEE" w:rsidR="00B501FF" w:rsidRDefault="00B501FF" w:rsidP="00B501FF">
      <w:pPr>
        <w:spacing w:after="0" w:line="240" w:lineRule="auto"/>
        <w:rPr>
          <w:sz w:val="18"/>
          <w:szCs w:val="18"/>
        </w:rPr>
      </w:pPr>
      <w:r w:rsidRPr="00826E67" w:rsidDel="00C801C5">
        <w:rPr>
          <w:i/>
          <w:sz w:val="18"/>
          <w:szCs w:val="18"/>
        </w:rPr>
        <w:t>Note:</w:t>
      </w:r>
      <w:r w:rsidRPr="00826E67" w:rsidDel="00C801C5">
        <w:rPr>
          <w:sz w:val="18"/>
          <w:szCs w:val="18"/>
        </w:rPr>
        <w:t xml:space="preserve"> </w:t>
      </w:r>
      <w:r>
        <w:rPr>
          <w:sz w:val="18"/>
          <w:szCs w:val="18"/>
        </w:rPr>
        <w:t xml:space="preserve">The Hutchins Center </w:t>
      </w:r>
      <w:r w:rsidRPr="00640BC4">
        <w:rPr>
          <w:sz w:val="18"/>
          <w:szCs w:val="18"/>
        </w:rPr>
        <w:t xml:space="preserve">Fiscal Impact Measure (FIM) </w:t>
      </w:r>
      <w:r>
        <w:rPr>
          <w:sz w:val="18"/>
          <w:szCs w:val="18"/>
        </w:rPr>
        <w:t>i</w:t>
      </w:r>
      <w:r w:rsidRPr="00640BC4">
        <w:rPr>
          <w:sz w:val="18"/>
          <w:szCs w:val="18"/>
        </w:rPr>
        <w:t>s a gauge of how the fiscal policies of federal, state, and local</w:t>
      </w:r>
      <w:r>
        <w:rPr>
          <w:sz w:val="18"/>
          <w:szCs w:val="18"/>
        </w:rPr>
        <w:t xml:space="preserve"> </w:t>
      </w:r>
      <w:r w:rsidRPr="00640BC4">
        <w:rPr>
          <w:sz w:val="18"/>
          <w:szCs w:val="18"/>
        </w:rPr>
        <w:t xml:space="preserve">governments affect near-term changes in </w:t>
      </w:r>
      <w:r>
        <w:rPr>
          <w:sz w:val="18"/>
          <w:szCs w:val="18"/>
        </w:rPr>
        <w:t>GDP</w:t>
      </w:r>
      <w:r w:rsidRPr="00826E67" w:rsidDel="00C801C5">
        <w:rPr>
          <w:sz w:val="18"/>
          <w:szCs w:val="18"/>
        </w:rPr>
        <w:t>.</w:t>
      </w:r>
      <w:r>
        <w:rPr>
          <w:sz w:val="18"/>
          <w:szCs w:val="18"/>
        </w:rPr>
        <w:t xml:space="preserve"> It is shown as a four-quarter moving average. The unemployment rate gap is the actual unemployment rate minus the CBO’s estimate of the natural rate of unemployment.</w:t>
      </w:r>
    </w:p>
    <w:p w14:paraId="09AB0755" w14:textId="77777777" w:rsidR="00B501FF" w:rsidRPr="00826E67" w:rsidRDefault="00B501FF" w:rsidP="00B501FF">
      <w:pPr>
        <w:spacing w:after="0" w:line="240" w:lineRule="auto"/>
        <w:rPr>
          <w:sz w:val="18"/>
          <w:szCs w:val="18"/>
        </w:rPr>
      </w:pPr>
    </w:p>
    <w:p w14:paraId="0145100A" w14:textId="4DBFDEB3" w:rsidR="00B501FF" w:rsidRPr="000B1685" w:rsidRDefault="00B501FF" w:rsidP="00B501FF">
      <w:pPr>
        <w:pStyle w:val="RegularBodyTextMainText"/>
      </w:pPr>
      <w:r w:rsidRPr="000B1685">
        <w:t xml:space="preserve">To be more precise about the relationships between FIM components and the business cycle, we run a regression that relates the FIM to the size of the change in the unemployment gap. (The regression results are reported in </w:t>
      </w:r>
      <w:r>
        <w:t xml:space="preserve">online </w:t>
      </w:r>
      <w:r w:rsidRPr="000B1685">
        <w:t>appendix table A-</w:t>
      </w:r>
      <w:r w:rsidR="0086555B">
        <w:t>2</w:t>
      </w:r>
      <w:r w:rsidRPr="000B1685">
        <w:t>.) We run the regression for the years 1980 through 2018, and then also split the sample into four periods, using the labor market cycles defined by Aaronson et al. (2019). The FIM is defined as the contribution of fiscal policy to GDP growth, so if taxes decline when the unemployment rate rises, thereby boosting consumption, the FIM will show up as positive. Thus, a positive coefficient on the unemployment gap is countercyclical and stabilizing, whereas a negative coefficient is procyclical and destabilizing.</w:t>
      </w:r>
    </w:p>
    <w:p w14:paraId="51850009" w14:textId="54CF5D6E" w:rsidR="00B501FF" w:rsidRPr="000B1685" w:rsidRDefault="00B501FF" w:rsidP="00B501FF">
      <w:pPr>
        <w:pStyle w:val="RegularBodyTextMainText"/>
      </w:pPr>
      <w:r w:rsidRPr="000B1685">
        <w:t xml:space="preserve">Figure </w:t>
      </w:r>
      <w:r w:rsidR="00D01630">
        <w:t>4</w:t>
      </w:r>
      <w:r w:rsidR="00D01630" w:rsidRPr="000B1685">
        <w:t xml:space="preserve"> </w:t>
      </w:r>
      <w:r w:rsidRPr="000B1685">
        <w:t>plots the responsiveness of each components of the FIM to a 1-percentage-point increase in the four-quarter change in the unemployment gap</w:t>
      </w:r>
      <w:r w:rsidR="00D01630">
        <w:t xml:space="preserve"> over different time horizons</w:t>
      </w:r>
      <w:r w:rsidRPr="000B1685">
        <w:t>. Over the entire 1980–2018 period, a 1-percentage-point</w:t>
      </w:r>
      <w:r w:rsidRPr="000B1685" w:rsidDel="003927FC">
        <w:t xml:space="preserve"> </w:t>
      </w:r>
      <w:r w:rsidRPr="000B1685">
        <w:t xml:space="preserve">increase in the unemployment gap over the previous four quarters raises the FIM by 0.6 percentage point, meaning that quarterly real GDP growth is </w:t>
      </w:r>
      <w:r w:rsidRPr="000B1685">
        <w:rPr>
          <w:color w:val="000000" w:themeColor="text1"/>
        </w:rPr>
        <w:t xml:space="preserve">0.6 percentage point </w:t>
      </w:r>
      <w:r w:rsidRPr="000B1685">
        <w:t xml:space="preserve">higher, at an annual rate, </w:t>
      </w:r>
      <w:proofErr w:type="gramStart"/>
      <w:r w:rsidRPr="000B1685">
        <w:t>than</w:t>
      </w:r>
      <w:proofErr w:type="gramEnd"/>
      <w:r w:rsidRPr="000B1685">
        <w:t xml:space="preserve"> it would otherwise be.</w:t>
      </w:r>
    </w:p>
    <w:p w14:paraId="3CEF8D9B" w14:textId="77777777" w:rsidR="00B501FF" w:rsidRDefault="00B501FF" w:rsidP="00B501FF">
      <w:pPr>
        <w:pStyle w:val="FigureTableBoxNumberFiguresTablesBoxes"/>
      </w:pPr>
      <w:bookmarkStart w:id="11" w:name="_Toc6305142"/>
      <w:r w:rsidRPr="000B1685">
        <w:t xml:space="preserve">Figure 3. </w:t>
      </w:r>
    </w:p>
    <w:p w14:paraId="765F4025" w14:textId="2D8DA869" w:rsidR="00B501FF" w:rsidRPr="00603148" w:rsidRDefault="00B501FF" w:rsidP="00B501FF">
      <w:pPr>
        <w:pStyle w:val="FigureTableBoxTitleFiguresTablesBoxes"/>
      </w:pPr>
      <w:r w:rsidRPr="000B1685">
        <w:t>Fiscal Impact Measur</w:t>
      </w:r>
      <w:r>
        <w:t>e</w:t>
      </w:r>
      <w:r w:rsidRPr="000B1685">
        <w:t>: Contribution</w:t>
      </w:r>
      <w:r>
        <w:t>s</w:t>
      </w:r>
      <w:r w:rsidRPr="000B1685">
        <w:t xml:space="preserve"> of Purchases, Taxes, and Transfers, 1980–2018</w:t>
      </w:r>
      <w:bookmarkEnd w:id="11"/>
    </w:p>
    <w:p w14:paraId="3F2CBFCE" w14:textId="77777777" w:rsidR="00B501FF" w:rsidRPr="000B1685" w:rsidRDefault="00B501FF" w:rsidP="00B501FF">
      <w:pPr>
        <w:rPr>
          <w:szCs w:val="24"/>
        </w:rPr>
      </w:pPr>
      <w:r>
        <w:rPr>
          <w:noProof/>
          <w:szCs w:val="24"/>
        </w:rPr>
        <w:lastRenderedPageBreak/>
        <w:drawing>
          <wp:inline distT="0" distB="0" distL="0" distR="0" wp14:anchorId="103FC702" wp14:editId="1812B3F8">
            <wp:extent cx="6706517" cy="3667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6517" cy="3667125"/>
                    </a:xfrm>
                    <a:prstGeom prst="rect">
                      <a:avLst/>
                    </a:prstGeom>
                    <a:noFill/>
                  </pic:spPr>
                </pic:pic>
              </a:graphicData>
            </a:graphic>
          </wp:inline>
        </w:drawing>
      </w:r>
    </w:p>
    <w:p w14:paraId="32C71F1F" w14:textId="3A1E4C9B" w:rsidR="00B501FF" w:rsidRPr="00826E67" w:rsidRDefault="00B501FF" w:rsidP="00B501FF">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1C01C793" w14:textId="77777777" w:rsidR="00B501FF" w:rsidRDefault="00B501FF" w:rsidP="00B501FF">
      <w:pPr>
        <w:spacing w:after="0" w:line="240" w:lineRule="auto"/>
        <w:rPr>
          <w:sz w:val="18"/>
          <w:szCs w:val="18"/>
        </w:rPr>
      </w:pPr>
      <w:r w:rsidRPr="00826E67">
        <w:rPr>
          <w:i/>
          <w:sz w:val="18"/>
          <w:szCs w:val="18"/>
        </w:rPr>
        <w:t>Note:</w:t>
      </w:r>
      <w:r w:rsidRPr="00826E67">
        <w:rPr>
          <w:sz w:val="18"/>
          <w:szCs w:val="18"/>
        </w:rPr>
        <w:t xml:space="preserve"> Data show the four-quarter moving average of each FIM component.</w:t>
      </w:r>
      <w:r>
        <w:rPr>
          <w:sz w:val="18"/>
          <w:szCs w:val="18"/>
        </w:rPr>
        <w:t xml:space="preserve"> Data are for all levels of government.</w:t>
      </w:r>
    </w:p>
    <w:p w14:paraId="0B5207AE" w14:textId="77777777" w:rsidR="00B501FF" w:rsidRDefault="00B501FF" w:rsidP="00B501FF">
      <w:pPr>
        <w:spacing w:after="0" w:line="240" w:lineRule="auto"/>
        <w:rPr>
          <w:sz w:val="18"/>
          <w:szCs w:val="18"/>
        </w:rPr>
      </w:pPr>
    </w:p>
    <w:p w14:paraId="64FD574E" w14:textId="70C089F0" w:rsidR="00B501FF" w:rsidRDefault="00B501FF" w:rsidP="00B501FF">
      <w:pPr>
        <w:pStyle w:val="RegularBodyTextMainText"/>
      </w:pPr>
      <w:r w:rsidRPr="008F37F7">
        <w:t>As expected, taxes are the most important fiscal stabilizer, but transfers (like unemployment insurance and Medicaid) and even purchases are quite responsive as well.</w:t>
      </w:r>
    </w:p>
    <w:p w14:paraId="2CD47FB7" w14:textId="77777777" w:rsidR="00B501FF" w:rsidRDefault="00B501FF" w:rsidP="00B501FF">
      <w:pPr>
        <w:pStyle w:val="FigureTableBoxNumberFiguresTablesBoxes"/>
      </w:pPr>
      <w:bookmarkStart w:id="12" w:name="_Toc6305143"/>
      <w:r w:rsidRPr="000B1685">
        <w:t xml:space="preserve">Figure 4. </w:t>
      </w:r>
    </w:p>
    <w:p w14:paraId="5AAD88BE" w14:textId="5FE84BA8" w:rsidR="00B501FF" w:rsidRDefault="00B501FF" w:rsidP="00B501FF">
      <w:pPr>
        <w:pStyle w:val="FigureTableBoxTitleFiguresTablesBoxes"/>
        <w:rPr>
          <w:rStyle w:val="CommentReference"/>
          <w:rFonts w:eastAsiaTheme="minorHAnsi" w:cstheme="minorBidi"/>
        </w:rPr>
      </w:pPr>
      <w:r w:rsidRPr="000B1685">
        <w:t>Fiscal Impact Measure Response to a Higher Unemployment</w:t>
      </w:r>
      <w:r>
        <w:t xml:space="preserve"> Rate</w:t>
      </w:r>
      <w:r w:rsidRPr="000B1685">
        <w:t xml:space="preserve"> Gap, </w:t>
      </w:r>
      <w:r w:rsidRPr="00B501FF">
        <w:t>1980–2018</w:t>
      </w:r>
      <w:bookmarkEnd w:id="12"/>
    </w:p>
    <w:p w14:paraId="660B34E8" w14:textId="30EEF804" w:rsidR="00B501FF" w:rsidRPr="000B1685" w:rsidRDefault="00B501FF" w:rsidP="00B501FF">
      <w:pPr>
        <w:pStyle w:val="RegularBodyTextMainText"/>
      </w:pPr>
      <w:r>
        <w:rPr>
          <w:noProof/>
        </w:rPr>
        <w:drawing>
          <wp:inline distT="0" distB="0" distL="0" distR="0" wp14:anchorId="2D33826B" wp14:editId="2C1F1093">
            <wp:extent cx="6642890" cy="34385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171" cy="3439188"/>
                    </a:xfrm>
                    <a:prstGeom prst="rect">
                      <a:avLst/>
                    </a:prstGeom>
                    <a:noFill/>
                  </pic:spPr>
                </pic:pic>
              </a:graphicData>
            </a:graphic>
          </wp:inline>
        </w:drawing>
      </w:r>
    </w:p>
    <w:p w14:paraId="56F9A5DC" w14:textId="7411AAE2" w:rsidR="00B501FF" w:rsidRPr="00826E67" w:rsidRDefault="00B501FF" w:rsidP="00B501FF">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425CD33F" w14:textId="64F98BB3" w:rsidR="00B501FF" w:rsidRDefault="00B501FF" w:rsidP="00B501FF">
      <w:pPr>
        <w:spacing w:after="0" w:line="240" w:lineRule="auto"/>
        <w:rPr>
          <w:sz w:val="18"/>
          <w:szCs w:val="18"/>
        </w:rPr>
      </w:pPr>
      <w:r w:rsidRPr="00826E67">
        <w:rPr>
          <w:i/>
          <w:sz w:val="18"/>
          <w:szCs w:val="18"/>
        </w:rPr>
        <w:t>Note:</w:t>
      </w:r>
      <w:r w:rsidRPr="00826E67">
        <w:rPr>
          <w:sz w:val="18"/>
          <w:szCs w:val="18"/>
        </w:rPr>
        <w:t xml:space="preserve"> Data show the regression coefficients of each FIM component regressed on the four-quarter change in the unemployment gap from 1980 to 2018.</w:t>
      </w:r>
      <w:r w:rsidR="00EF3849">
        <w:rPr>
          <w:sz w:val="18"/>
          <w:szCs w:val="18"/>
        </w:rPr>
        <w:t xml:space="preserve"> </w:t>
      </w:r>
      <w:r>
        <w:rPr>
          <w:sz w:val="18"/>
          <w:szCs w:val="18"/>
        </w:rPr>
        <w:t>Coefficients are for a one</w:t>
      </w:r>
      <w:r w:rsidR="003D0F1D">
        <w:rPr>
          <w:sz w:val="18"/>
          <w:szCs w:val="18"/>
        </w:rPr>
        <w:t>-</w:t>
      </w:r>
      <w:r>
        <w:rPr>
          <w:sz w:val="18"/>
          <w:szCs w:val="18"/>
        </w:rPr>
        <w:t>percentage</w:t>
      </w:r>
      <w:r w:rsidR="003D0F1D">
        <w:rPr>
          <w:sz w:val="18"/>
          <w:szCs w:val="18"/>
        </w:rPr>
        <w:t>-</w:t>
      </w:r>
      <w:r>
        <w:rPr>
          <w:sz w:val="18"/>
          <w:szCs w:val="18"/>
        </w:rPr>
        <w:t>point</w:t>
      </w:r>
      <w:r w:rsidR="003D0F1D">
        <w:rPr>
          <w:sz w:val="18"/>
          <w:szCs w:val="18"/>
        </w:rPr>
        <w:t xml:space="preserve"> </w:t>
      </w:r>
      <w:r>
        <w:rPr>
          <w:sz w:val="18"/>
          <w:szCs w:val="18"/>
        </w:rPr>
        <w:t>change in the unemployment rate gap.</w:t>
      </w:r>
    </w:p>
    <w:p w14:paraId="7E20E80E" w14:textId="77777777" w:rsidR="00B501FF" w:rsidRDefault="00B501FF" w:rsidP="00B501FF">
      <w:pPr>
        <w:spacing w:after="0" w:line="240" w:lineRule="auto"/>
        <w:rPr>
          <w:sz w:val="18"/>
          <w:szCs w:val="18"/>
        </w:rPr>
      </w:pPr>
    </w:p>
    <w:p w14:paraId="1A734E18" w14:textId="14E18DE8" w:rsidR="00B501FF" w:rsidRPr="00B501FF" w:rsidRDefault="00B501FF" w:rsidP="00B501FF">
      <w:pPr>
        <w:pStyle w:val="RegularBodyTextMainText"/>
      </w:pPr>
      <w:r w:rsidRPr="000B1685">
        <w:t xml:space="preserve">One way to put these coefficients into context is to consider the rule of thumb coined by Arthur Okun known as Okun’s </w:t>
      </w:r>
      <w:r>
        <w:t>l</w:t>
      </w:r>
      <w:r w:rsidRPr="000B1685">
        <w:t xml:space="preserve">aw. Okun’s </w:t>
      </w:r>
      <w:r>
        <w:t>l</w:t>
      </w:r>
      <w:r w:rsidRPr="000B1685">
        <w:t>aw suggests that lowering the unemployment rate 1 percentage point requires GDP growth 2 percentage points above trend. Thus, these fiscal coefficients, ranging from 0.3 to 1.3, suggest policy was providing between 15 percent and 65 percent of the GDP growth needed to offset the increases in unemployment.</w:t>
      </w:r>
    </w:p>
    <w:p w14:paraId="5487B9F2" w14:textId="231DA157" w:rsidR="00B501FF" w:rsidRDefault="00B501FF" w:rsidP="00B501FF">
      <w:pPr>
        <w:pStyle w:val="RegularBodyTextMainText"/>
      </w:pPr>
      <w:r>
        <w:t>The relatively small effect of fiscal policy during the 1980 to 1990 period may be surprising,</w:t>
      </w:r>
      <w:r w:rsidRPr="00242909">
        <w:t xml:space="preserve"> </w:t>
      </w:r>
      <w:r>
        <w:t xml:space="preserve">given the 1981 tax cuts and Reagan-era defense buildup, which seemed to fortuitously coincide with the 1981/1982 recession. Indeed, Follette and Lutz (2013) find that </w:t>
      </w:r>
      <w:r w:rsidRPr="00483D8E">
        <w:rPr>
          <w:u w:val="single"/>
        </w:rPr>
        <w:t>enacted</w:t>
      </w:r>
      <w:r>
        <w:t xml:space="preserve"> legislation around the time of the 1981 recession did have sizable positive effects on aggregate demand. But, high inflation during the early 1980s pushed taxpayers into higher tax brackets (the tax system was not indexed for inflation until 1985), effectively raising tax rates during the 1980 recession, and partially offsetting the effects of the 1981 tax cuts during the 1981/1982 recession (CBO 1986). Furthermore, many of the effects of the 1981 tax cuts appeared in later years, when the economy was already recovering.</w:t>
      </w:r>
    </w:p>
    <w:p w14:paraId="25BD93F7" w14:textId="77777777" w:rsidR="000029AE" w:rsidRPr="000B1685" w:rsidRDefault="000029AE" w:rsidP="000029AE">
      <w:pPr>
        <w:pStyle w:val="Heading2MainText"/>
      </w:pPr>
      <w:bookmarkStart w:id="13" w:name="_Toc6305144"/>
      <w:r w:rsidRPr="000B1685">
        <w:t>Fiscal Policy in the Recovery from the Great Recession</w:t>
      </w:r>
      <w:bookmarkEnd w:id="13"/>
    </w:p>
    <w:p w14:paraId="74E21FB4" w14:textId="281771AA" w:rsidR="000029AE" w:rsidRPr="000B1685" w:rsidRDefault="000029AE" w:rsidP="000029AE">
      <w:pPr>
        <w:pStyle w:val="RegularBodyTextMainText"/>
      </w:pPr>
      <w:r w:rsidRPr="000B1685">
        <w:t xml:space="preserve">As noted above, fiscal policy became unusually contractionary in the 2011–14 period, a </w:t>
      </w:r>
      <w:r>
        <w:t>development</w:t>
      </w:r>
      <w:r w:rsidRPr="000B1685">
        <w:t xml:space="preserve"> that was widely viewed as holding back the recovery. Had the policies reflected in the FIM been as responsive to unemployment in that period as they had been through 2010, fiscal policy would have been much less contractionary. Figure 5 compares the actual FIM (blue line) with the FIM that would be predicted using a regression of the FIM on the change of the unemployment rate through 2010. Had policy reacted after 2010 as it did before, the FIM would have hovered near zero in the 2011–14 period.</w:t>
      </w:r>
    </w:p>
    <w:p w14:paraId="201AA6AD" w14:textId="77777777" w:rsidR="002F1EF4" w:rsidRDefault="000029AE" w:rsidP="002F1EF4">
      <w:pPr>
        <w:pStyle w:val="FigureTableBoxNumberFiguresTablesBoxes"/>
      </w:pPr>
      <w:bookmarkStart w:id="14" w:name="_Toc6305145"/>
      <w:r w:rsidRPr="000B1685">
        <w:t xml:space="preserve">Figure 5. </w:t>
      </w:r>
    </w:p>
    <w:p w14:paraId="21E72657" w14:textId="32B68BB6" w:rsidR="000029AE" w:rsidRPr="000B1685" w:rsidRDefault="000029AE" w:rsidP="002F1EF4">
      <w:pPr>
        <w:pStyle w:val="FigureTableBoxTitleFiguresTablesBoxes"/>
        <w:rPr>
          <w:noProof/>
        </w:rPr>
      </w:pPr>
      <w:r w:rsidRPr="000B1685">
        <w:t xml:space="preserve">Actual </w:t>
      </w:r>
      <w:r>
        <w:t>and</w:t>
      </w:r>
      <w:r w:rsidRPr="000B1685">
        <w:t xml:space="preserve"> Predicted Fiscal Impact Measure, 1980–2018</w:t>
      </w:r>
      <w:bookmarkEnd w:id="14"/>
      <w:r w:rsidRPr="000B1685">
        <w:rPr>
          <w:noProof/>
        </w:rPr>
        <w:t xml:space="preserve"> </w:t>
      </w:r>
      <w:r>
        <w:rPr>
          <w:noProof/>
        </w:rPr>
        <w:drawing>
          <wp:inline distT="0" distB="0" distL="0" distR="0" wp14:anchorId="3264DA50" wp14:editId="6217F067">
            <wp:extent cx="6705600" cy="3469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2580" cy="3472730"/>
                    </a:xfrm>
                    <a:prstGeom prst="rect">
                      <a:avLst/>
                    </a:prstGeom>
                    <a:noFill/>
                  </pic:spPr>
                </pic:pic>
              </a:graphicData>
            </a:graphic>
          </wp:inline>
        </w:drawing>
      </w:r>
      <w:r w:rsidRPr="000B1685" w:rsidDel="00C801C5">
        <w:t xml:space="preserve"> </w:t>
      </w:r>
    </w:p>
    <w:p w14:paraId="3BB6AB73" w14:textId="7131B091" w:rsidR="000029AE" w:rsidRPr="00826E67" w:rsidRDefault="000029AE" w:rsidP="000029AE">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69DC3E6E" w14:textId="27E818C3" w:rsidR="000029AE" w:rsidRDefault="000029AE" w:rsidP="000029AE">
      <w:pPr>
        <w:spacing w:after="0" w:line="240" w:lineRule="auto"/>
        <w:rPr>
          <w:sz w:val="18"/>
          <w:szCs w:val="18"/>
        </w:rPr>
      </w:pPr>
      <w:r w:rsidRPr="00826E67">
        <w:rPr>
          <w:i/>
          <w:sz w:val="18"/>
          <w:szCs w:val="18"/>
        </w:rPr>
        <w:t>Note:</w:t>
      </w:r>
      <w:r w:rsidRPr="00826E67">
        <w:rPr>
          <w:sz w:val="18"/>
          <w:szCs w:val="18"/>
        </w:rPr>
        <w:t xml:space="preserve"> This graph shows the four-quarter moving average of the FIM and the four-quarter moving average of the predicted FIM, using a regression of the FIM on the four-quarter change in the unemployment gap from 1980 through 2010 to predict the FIM from 2011 to 2018.</w:t>
      </w:r>
    </w:p>
    <w:p w14:paraId="0E0ACA4F" w14:textId="77777777" w:rsidR="000029AE" w:rsidRPr="00826E67" w:rsidRDefault="000029AE" w:rsidP="000029AE">
      <w:pPr>
        <w:spacing w:after="0" w:line="240" w:lineRule="auto"/>
        <w:rPr>
          <w:sz w:val="18"/>
          <w:szCs w:val="18"/>
        </w:rPr>
      </w:pPr>
    </w:p>
    <w:p w14:paraId="4153F221" w14:textId="77777777" w:rsidR="000029AE" w:rsidRPr="000B1685" w:rsidRDefault="000029AE" w:rsidP="000029AE">
      <w:pPr>
        <w:pStyle w:val="Heading2MainText"/>
      </w:pPr>
      <w:bookmarkStart w:id="15" w:name="_Toc6305146"/>
      <w:r w:rsidRPr="000B1685">
        <w:t>Discretionary or Automatic?</w:t>
      </w:r>
      <w:bookmarkEnd w:id="15"/>
    </w:p>
    <w:p w14:paraId="4C7CB29B" w14:textId="2CC46239" w:rsidR="000029AE" w:rsidRPr="000B1685" w:rsidRDefault="000029AE" w:rsidP="000029AE">
      <w:pPr>
        <w:pStyle w:val="RegularBodyTextMainText"/>
      </w:pPr>
      <w:r w:rsidRPr="000B1685">
        <w:t>Another way to split these data is according to whether the policy changes are automatic or discretionary. Automatic stabilizers are those that occur without legislative changes. The tax system is an automatic stabilizer because taxes fall when income falls—both because taxes are calculated as a share of income and because the tax system—particularly the federal tax system—is progressive, meaning that when people’s incomes fall, they fall into a lower tax bracket and thus face a lower tax rate.</w:t>
      </w:r>
    </w:p>
    <w:p w14:paraId="66DCBD3F" w14:textId="24418FC9" w:rsidR="000029AE" w:rsidRPr="000B1685" w:rsidRDefault="000029AE" w:rsidP="000029AE">
      <w:pPr>
        <w:pStyle w:val="RegularBodyTextMainText"/>
      </w:pPr>
      <w:r w:rsidRPr="000B1685">
        <w:t xml:space="preserve">We use CBO’s estimates of the automatic stabilizers for federal taxes, which CBO defines as the difference between actual taxes </w:t>
      </w:r>
      <w:r w:rsidRPr="000B1685">
        <w:lastRenderedPageBreak/>
        <w:t>and the taxes that would have been collected had the economy been operating at its potential given the existing tax system.</w:t>
      </w:r>
      <w:r w:rsidR="00DE08A8">
        <w:rPr>
          <w:rStyle w:val="EndnoteReference"/>
        </w:rPr>
        <w:endnoteReference w:id="7"/>
      </w:r>
      <w:r w:rsidRPr="000B1685" w:rsidDel="00582E35">
        <w:t xml:space="preserve"> </w:t>
      </w:r>
      <w:r w:rsidRPr="000B1685">
        <w:t>For state and local taxes, we calculate the automatic stabilizers as the difference between actual and potential multiplied by the state and local tax rate, which we assume is equal to the ratio of tax collections to GDP in the previous quarter.</w:t>
      </w:r>
      <w:r w:rsidR="00DE08A8">
        <w:rPr>
          <w:rStyle w:val="EndnoteReference"/>
        </w:rPr>
        <w:endnoteReference w:id="8"/>
      </w:r>
    </w:p>
    <w:p w14:paraId="3D550B07" w14:textId="0D92EB4A" w:rsidR="000029AE" w:rsidRPr="000B1685" w:rsidRDefault="000029AE" w:rsidP="000029AE">
      <w:pPr>
        <w:pStyle w:val="RegularBodyTextMainText"/>
      </w:pPr>
      <w:r w:rsidRPr="000B1685">
        <w:t>Some transfers also move automatically with the business cycle. In particular, when the unemployment rate increases, more people are unemployed and so UI benefits increase. Similarly, when income declines, more people become eligible for Medicaid, boosting Medicaid expenditures (unless those expenditures are offset by changes to Medicaid rules). To calculate the automatic stabilizers for transfers, we follow a version of the method in CBO (2015).</w:t>
      </w:r>
      <w:r w:rsidR="00A475B8">
        <w:rPr>
          <w:rStyle w:val="EndnoteReference"/>
        </w:rPr>
        <w:endnoteReference w:id="9"/>
      </w:r>
    </w:p>
    <w:p w14:paraId="0294F007" w14:textId="0AD0702B" w:rsidR="000029AE" w:rsidRPr="000B1685" w:rsidRDefault="000029AE" w:rsidP="000029AE">
      <w:pPr>
        <w:pStyle w:val="RegularBodyTextMainText"/>
      </w:pPr>
      <w:r w:rsidRPr="000B1685">
        <w:t>Other cyclical changes in taxes and transfers are discretionary. For example, Congress sometimes enacts tax cuts to counter recessions, as it did during the Great Recession, whereas states and localities might boost certain taxes to help balance their budgets. Basic unemployment benefits are automatic, but most extended benefits provided in recent years (benefits that allow people to stay on UI for longer than the standard 26 weeks) require legislation.</w:t>
      </w:r>
      <w:r w:rsidR="00A475B8">
        <w:rPr>
          <w:rStyle w:val="EndnoteReference"/>
        </w:rPr>
        <w:endnoteReference w:id="10"/>
      </w:r>
      <w:r w:rsidRPr="000B1685">
        <w:t xml:space="preserve"> Stimulus packages enacted by the federal government may include increased infrastructure spending, either directly or via increases in transfers to state governments. At the same time, and due to their balanced budget requirements, state and local governments often cut purchases during downturns to reduce their deficits.</w:t>
      </w:r>
      <w:r w:rsidR="00DE08A8">
        <w:rPr>
          <w:rStyle w:val="EndnoteReference"/>
        </w:rPr>
        <w:endnoteReference w:id="11"/>
      </w:r>
    </w:p>
    <w:p w14:paraId="26C8DFE9" w14:textId="66E5F4D4" w:rsidR="000029AE" w:rsidRPr="000B1685" w:rsidRDefault="000029AE" w:rsidP="000029AE">
      <w:pPr>
        <w:pStyle w:val="RegularBodyTextMainText"/>
      </w:pPr>
      <w:r w:rsidRPr="000B1685">
        <w:t xml:space="preserve">Many changes in tax and spending are </w:t>
      </w:r>
      <w:proofErr w:type="spellStart"/>
      <w:r w:rsidRPr="000B1685">
        <w:t>acyclical</w:t>
      </w:r>
      <w:proofErr w:type="spellEnd"/>
      <w:r w:rsidRPr="000B1685">
        <w:t xml:space="preserve"> or at least </w:t>
      </w:r>
      <w:r>
        <w:t xml:space="preserve">are </w:t>
      </w:r>
      <w:r w:rsidRPr="000B1685">
        <w:t>not intended to be cyclical. Examples are changes in Social Security and Medicare that occur over time because of increases in health spending and population aging, boosts in taxes that are the result of a stock market boom, and defense buildups in response to increased threats to national security.</w:t>
      </w:r>
      <w:r w:rsidR="00DE08A8">
        <w:rPr>
          <w:rStyle w:val="EndnoteReference"/>
        </w:rPr>
        <w:endnoteReference w:id="12"/>
      </w:r>
      <w:r w:rsidRPr="000B1685">
        <w:t xml:space="preserve"> These types of spending increases are unlikely to be responsive to changes in the unemployment gap</w:t>
      </w:r>
      <w:r>
        <w:t>, and can</w:t>
      </w:r>
      <w:r w:rsidRPr="008F37F7">
        <w:t xml:space="preserve"> reduce the measured countercyclicality of fiscal policy.</w:t>
      </w:r>
      <w:r>
        <w:t xml:space="preserve"> </w:t>
      </w:r>
      <w:r w:rsidRPr="000B1685">
        <w:t>Note that, in this paper, we call all these changes discretionary, even though some of them—like changes in tax revenues fueled by increases in the stock market—occur without any legislative changes.</w:t>
      </w:r>
      <w:r w:rsidR="00DE08A8">
        <w:rPr>
          <w:rStyle w:val="EndnoteReference"/>
        </w:rPr>
        <w:endnoteReference w:id="13"/>
      </w:r>
    </w:p>
    <w:p w14:paraId="0342BD4D" w14:textId="52522A5C" w:rsidR="000029AE" w:rsidRDefault="000029AE" w:rsidP="000029AE">
      <w:pPr>
        <w:pStyle w:val="RegularBodyTextMainText"/>
      </w:pPr>
      <w:r w:rsidRPr="000B1685">
        <w:t xml:space="preserve">Figure 6 decomposes the FIM into its automatic and discretionary portions, where the term discretionary encompasses all changes in the FIM other than the automatic stabilizers. Figure 7 presents the results from the regression of each component on the four-quarter change in the unemployment gap. Automatic stabilizers (the green shaded portions of the bars in figure 7) account for about one-half of the total stabilization over the entire period—with automatic changes in taxes being somewhat more important than automatic changes in transfers. But about one-half of the stabilization provided by fiscal policy has come from discretionary changes, with discretionary changes in purchases, taxes, and transfers all contributing. These discretionary changes have been particularly large since 2001, and account for most of the difference between the responsiveness of fiscal policy over time. Thus, even while some economists might have </w:t>
      </w:r>
      <w:r>
        <w:t xml:space="preserve">dismissed </w:t>
      </w:r>
      <w:r w:rsidRPr="000B1685">
        <w:t>the value of countercyclical discretionary fiscal policy, governments continued enacting it.</w:t>
      </w:r>
    </w:p>
    <w:p w14:paraId="76CDF8A6" w14:textId="77777777" w:rsidR="00C06278" w:rsidRDefault="00C06278" w:rsidP="00C06278">
      <w:pPr>
        <w:pStyle w:val="FigureTableBoxNumberFiguresTablesBoxes"/>
      </w:pPr>
      <w:bookmarkStart w:id="16" w:name="_Toc6305147"/>
      <w:r w:rsidRPr="000B1685">
        <w:t xml:space="preserve">Figure 6. </w:t>
      </w:r>
    </w:p>
    <w:p w14:paraId="3FE6CF53" w14:textId="0A21C584" w:rsidR="00C06278" w:rsidRPr="000B1685" w:rsidRDefault="00C06278" w:rsidP="00C06278">
      <w:pPr>
        <w:pStyle w:val="FigureTableBoxTitleFiguresTablesBoxes"/>
      </w:pPr>
      <w:r w:rsidRPr="000B1685">
        <w:t>Fiscal Impact Measure: Contribution</w:t>
      </w:r>
      <w:r>
        <w:t>s</w:t>
      </w:r>
      <w:r w:rsidRPr="000B1685">
        <w:t xml:space="preserve"> of Automatic </w:t>
      </w:r>
      <w:r>
        <w:t>and</w:t>
      </w:r>
      <w:r w:rsidRPr="000B1685">
        <w:t xml:space="preserve"> Discretionary Policy, 1980–2018</w:t>
      </w:r>
      <w:bookmarkEnd w:id="16"/>
    </w:p>
    <w:p w14:paraId="14AC7C9F" w14:textId="77777777" w:rsidR="00C06278" w:rsidRPr="000B1685" w:rsidRDefault="00C06278" w:rsidP="00C06278">
      <w:pPr>
        <w:rPr>
          <w:szCs w:val="24"/>
        </w:rPr>
      </w:pPr>
      <w:r>
        <w:rPr>
          <w:noProof/>
          <w:szCs w:val="24"/>
        </w:rPr>
        <w:lastRenderedPageBreak/>
        <w:drawing>
          <wp:inline distT="0" distB="0" distL="0" distR="0" wp14:anchorId="7DC87938" wp14:editId="0EDF5521">
            <wp:extent cx="6772275" cy="38480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7733" cy="3851172"/>
                    </a:xfrm>
                    <a:prstGeom prst="rect">
                      <a:avLst/>
                    </a:prstGeom>
                    <a:noFill/>
                  </pic:spPr>
                </pic:pic>
              </a:graphicData>
            </a:graphic>
          </wp:inline>
        </w:drawing>
      </w:r>
    </w:p>
    <w:p w14:paraId="38358E98" w14:textId="78C3A073" w:rsidR="00C06278" w:rsidRPr="00826E67" w:rsidRDefault="00C06278" w:rsidP="00C06278">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5C0E8B8C" w14:textId="2F82DD8B" w:rsidR="00C06278" w:rsidRDefault="00C06278" w:rsidP="00DB5A34">
      <w:pPr>
        <w:spacing w:after="0" w:line="240" w:lineRule="auto"/>
        <w:rPr>
          <w:sz w:val="18"/>
          <w:szCs w:val="18"/>
        </w:rPr>
      </w:pPr>
      <w:r w:rsidRPr="00826E67">
        <w:rPr>
          <w:i/>
          <w:sz w:val="18"/>
          <w:szCs w:val="18"/>
        </w:rPr>
        <w:t>Note:</w:t>
      </w:r>
      <w:r w:rsidRPr="00826E67">
        <w:rPr>
          <w:sz w:val="18"/>
          <w:szCs w:val="18"/>
        </w:rPr>
        <w:t xml:space="preserve"> Data show the four-quarter moving average of each FIM component.</w:t>
      </w:r>
    </w:p>
    <w:p w14:paraId="0308AF23" w14:textId="77777777" w:rsidR="00DB5A34" w:rsidRPr="00DB5A34" w:rsidRDefault="00DB5A34" w:rsidP="00DB5A34">
      <w:pPr>
        <w:spacing w:after="0" w:line="240" w:lineRule="auto"/>
        <w:rPr>
          <w:sz w:val="18"/>
          <w:szCs w:val="18"/>
        </w:rPr>
      </w:pPr>
    </w:p>
    <w:p w14:paraId="353CE577" w14:textId="77777777" w:rsidR="00C06278" w:rsidRDefault="00C06278" w:rsidP="00C06278">
      <w:pPr>
        <w:pStyle w:val="FigureTableBoxNumberFiguresTablesBoxes"/>
      </w:pPr>
      <w:bookmarkStart w:id="17" w:name="_Toc6305148"/>
      <w:r w:rsidRPr="000B1685">
        <w:t xml:space="preserve">Figure 7. </w:t>
      </w:r>
    </w:p>
    <w:p w14:paraId="1D04E743" w14:textId="2CCE1585" w:rsidR="00C06278" w:rsidRDefault="00C06278" w:rsidP="00C06278">
      <w:pPr>
        <w:pStyle w:val="FigureTableBoxTitleFiguresTablesBoxes"/>
      </w:pPr>
      <w:r w:rsidRPr="000B1685">
        <w:t>Automatic and Discretionary</w:t>
      </w:r>
      <w:r>
        <w:t xml:space="preserve"> Policy Responses</w:t>
      </w:r>
      <w:r w:rsidRPr="000B1685">
        <w:t xml:space="preserve"> to a Higher Unemployment </w:t>
      </w:r>
      <w:r>
        <w:t xml:space="preserve">Rate </w:t>
      </w:r>
      <w:r w:rsidRPr="000B1685">
        <w:t>Gap, 1980–2018</w:t>
      </w:r>
      <w:bookmarkEnd w:id="17"/>
    </w:p>
    <w:p w14:paraId="350C574C" w14:textId="6D3483C4" w:rsidR="00C06278" w:rsidRPr="000B1685" w:rsidRDefault="00C06278" w:rsidP="00C06278">
      <w:pPr>
        <w:pStyle w:val="FigureTableBoxTitleFiguresTablesBoxes"/>
      </w:pPr>
      <w:r w:rsidRPr="000B1685">
        <w:rPr>
          <w:noProof/>
        </w:rPr>
        <w:t xml:space="preserve"> </w:t>
      </w:r>
      <w:r w:rsidR="000A01BB">
        <w:rPr>
          <w:noProof/>
        </w:rPr>
        <w:drawing>
          <wp:inline distT="0" distB="0" distL="0" distR="0" wp14:anchorId="283F2070" wp14:editId="323D0D84">
            <wp:extent cx="6166596" cy="301936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0282" cy="3026067"/>
                    </a:xfrm>
                    <a:prstGeom prst="rect">
                      <a:avLst/>
                    </a:prstGeom>
                    <a:noFill/>
                  </pic:spPr>
                </pic:pic>
              </a:graphicData>
            </a:graphic>
          </wp:inline>
        </w:drawing>
      </w:r>
    </w:p>
    <w:p w14:paraId="357DC57E" w14:textId="124F0AFF" w:rsidR="00C06278" w:rsidRPr="00826E67" w:rsidRDefault="00C06278" w:rsidP="00C06278">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350E462B" w14:textId="791C5D2A" w:rsidR="00C06278" w:rsidRDefault="00C06278" w:rsidP="00C06278">
      <w:pPr>
        <w:spacing w:after="0" w:line="240" w:lineRule="auto"/>
        <w:rPr>
          <w:sz w:val="18"/>
          <w:szCs w:val="18"/>
        </w:rPr>
      </w:pPr>
      <w:r w:rsidRPr="00826E67">
        <w:rPr>
          <w:i/>
          <w:sz w:val="18"/>
          <w:szCs w:val="18"/>
        </w:rPr>
        <w:t>Note:</w:t>
      </w:r>
      <w:r w:rsidRPr="00826E67">
        <w:rPr>
          <w:sz w:val="18"/>
          <w:szCs w:val="18"/>
        </w:rPr>
        <w:t xml:space="preserve"> Data show the regression coefficients of each FIM component regressed on the four-quarter change in the unemployment gap u</w:t>
      </w:r>
      <w:r w:rsidR="000A447F">
        <w:rPr>
          <w:sz w:val="18"/>
          <w:szCs w:val="18"/>
        </w:rPr>
        <w:t>s</w:t>
      </w:r>
      <w:r w:rsidRPr="00826E67">
        <w:rPr>
          <w:sz w:val="18"/>
          <w:szCs w:val="18"/>
        </w:rPr>
        <w:t>ing data from 1980 to 2018.</w:t>
      </w:r>
      <w:r>
        <w:rPr>
          <w:sz w:val="18"/>
          <w:szCs w:val="18"/>
        </w:rPr>
        <w:t xml:space="preserve"> Automatic policies are shown in blue and discretionary policies are shown in green.</w:t>
      </w:r>
    </w:p>
    <w:p w14:paraId="7FA6BFD3" w14:textId="77777777" w:rsidR="00C06278" w:rsidRPr="00826E67" w:rsidRDefault="00C06278" w:rsidP="00C06278">
      <w:pPr>
        <w:spacing w:after="0" w:line="240" w:lineRule="auto"/>
        <w:rPr>
          <w:sz w:val="18"/>
          <w:szCs w:val="18"/>
        </w:rPr>
      </w:pPr>
    </w:p>
    <w:p w14:paraId="3B1A0A8C" w14:textId="77777777" w:rsidR="00C06278" w:rsidRPr="000B1685" w:rsidRDefault="00C06278" w:rsidP="00C06278">
      <w:pPr>
        <w:pStyle w:val="Heading2MainText"/>
      </w:pPr>
      <w:bookmarkStart w:id="18" w:name="_Toc6305149"/>
      <w:r w:rsidRPr="000B1685">
        <w:lastRenderedPageBreak/>
        <w:t>Federal or State and Local?</w:t>
      </w:r>
      <w:bookmarkEnd w:id="18"/>
    </w:p>
    <w:p w14:paraId="7113714D" w14:textId="48122065" w:rsidR="00C06278" w:rsidRPr="000B1685" w:rsidRDefault="00C06278" w:rsidP="00C06278">
      <w:pPr>
        <w:pStyle w:val="RegularBodyTextMainText"/>
      </w:pPr>
      <w:r w:rsidRPr="000B1685">
        <w:t>Figure 8 shows that most of the impact of fiscal policy on the macroeconomy reflect federal policy. This is unsurprising, for several reasons. First, as shown in figure 9, the federal government represents a larger share of the economy. Federal tax collections are about double those of state and local governments, and most transfers are federal (recall that we have reallocated the federal portion of Medicaid to the federal government), although Social Security and Medicare—the two largest transfers—are not countercyclical. Federal and state and local governments represent roughly equal share of purchases. Thus, the scope for stabilization for policy is larger at the federal level than at the state and local levels.</w:t>
      </w:r>
    </w:p>
    <w:p w14:paraId="1376A4E0" w14:textId="77777777" w:rsidR="00C06278" w:rsidRDefault="00C06278" w:rsidP="00C06278">
      <w:pPr>
        <w:pStyle w:val="FigureTableBoxNumberFiguresTablesBoxes"/>
      </w:pPr>
      <w:bookmarkStart w:id="19" w:name="_Toc6305150"/>
      <w:r w:rsidRPr="000B1685">
        <w:t xml:space="preserve">Figure 8. </w:t>
      </w:r>
    </w:p>
    <w:p w14:paraId="11EE8C04" w14:textId="502F09E5" w:rsidR="00C06278" w:rsidRPr="000B1685" w:rsidRDefault="00C06278" w:rsidP="00C06278">
      <w:pPr>
        <w:pStyle w:val="FigureTableBoxTitleFiguresTablesBoxes"/>
      </w:pPr>
      <w:r w:rsidRPr="000B1685">
        <w:t>Fiscal Impact</w:t>
      </w:r>
      <w:r>
        <w:t xml:space="preserve"> Measure</w:t>
      </w:r>
      <w:r w:rsidRPr="000B1685">
        <w:t>: Contribution</w:t>
      </w:r>
      <w:r>
        <w:t>s</w:t>
      </w:r>
      <w:r w:rsidRPr="000B1685">
        <w:t xml:space="preserve"> of Federal and State and Local Governments, 1980–2018</w:t>
      </w:r>
      <w:bookmarkEnd w:id="19"/>
    </w:p>
    <w:p w14:paraId="077E1E71" w14:textId="77777777" w:rsidR="00C06278" w:rsidRPr="000B1685" w:rsidRDefault="00C06278" w:rsidP="00C06278">
      <w:pPr>
        <w:jc w:val="center"/>
        <w:rPr>
          <w:szCs w:val="24"/>
        </w:rPr>
      </w:pPr>
      <w:r>
        <w:rPr>
          <w:noProof/>
          <w:szCs w:val="24"/>
        </w:rPr>
        <w:drawing>
          <wp:inline distT="0" distB="0" distL="0" distR="0" wp14:anchorId="3A4CDF5F" wp14:editId="32221B3A">
            <wp:extent cx="6523355" cy="3963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3355" cy="3963035"/>
                    </a:xfrm>
                    <a:prstGeom prst="rect">
                      <a:avLst/>
                    </a:prstGeom>
                    <a:noFill/>
                  </pic:spPr>
                </pic:pic>
              </a:graphicData>
            </a:graphic>
          </wp:inline>
        </w:drawing>
      </w:r>
    </w:p>
    <w:p w14:paraId="0C62963E" w14:textId="3EF60117" w:rsidR="00C06278" w:rsidRPr="00826E67" w:rsidRDefault="00C06278" w:rsidP="00C06278">
      <w:pPr>
        <w:spacing w:after="0" w:line="240" w:lineRule="auto"/>
        <w:rPr>
          <w:sz w:val="18"/>
          <w:szCs w:val="18"/>
        </w:rPr>
      </w:pPr>
      <w:r w:rsidRPr="00826E67">
        <w:rPr>
          <w:i/>
          <w:sz w:val="18"/>
          <w:szCs w:val="18"/>
        </w:rPr>
        <w:t>Source:</w:t>
      </w:r>
      <w:r w:rsidRPr="00826E67">
        <w:rPr>
          <w:sz w:val="18"/>
          <w:szCs w:val="18"/>
        </w:rPr>
        <w:t xml:space="preserve"> </w:t>
      </w:r>
      <w:r w:rsidR="00AB0AEF">
        <w:rPr>
          <w:sz w:val="18"/>
          <w:szCs w:val="18"/>
        </w:rPr>
        <w:t>Authors’</w:t>
      </w:r>
      <w:r w:rsidR="00AB0AEF" w:rsidRPr="007B7ECF">
        <w:rPr>
          <w:sz w:val="18"/>
          <w:szCs w:val="18"/>
        </w:rPr>
        <w:t xml:space="preserve"> calculations; see online appendix A for more details</w:t>
      </w:r>
      <w:r w:rsidR="00AB0AEF">
        <w:rPr>
          <w:sz w:val="18"/>
          <w:szCs w:val="18"/>
        </w:rPr>
        <w:t xml:space="preserve"> on FIM.</w:t>
      </w:r>
    </w:p>
    <w:p w14:paraId="3D2A7D0C" w14:textId="77777777" w:rsidR="00C06278" w:rsidRPr="00CC7E84" w:rsidRDefault="00C06278" w:rsidP="00C06278">
      <w:pPr>
        <w:spacing w:after="0" w:line="240" w:lineRule="auto"/>
        <w:rPr>
          <w:sz w:val="18"/>
          <w:szCs w:val="18"/>
        </w:rPr>
      </w:pPr>
      <w:r w:rsidRPr="00826E67">
        <w:rPr>
          <w:i/>
          <w:sz w:val="18"/>
          <w:szCs w:val="18"/>
        </w:rPr>
        <w:t>Note:</w:t>
      </w:r>
      <w:r w:rsidRPr="00826E67">
        <w:rPr>
          <w:sz w:val="18"/>
          <w:szCs w:val="18"/>
        </w:rPr>
        <w:t xml:space="preserve"> Data show the four-quarter moving average of each FIM component</w:t>
      </w:r>
      <w:r>
        <w:rPr>
          <w:sz w:val="18"/>
          <w:szCs w:val="18"/>
        </w:rPr>
        <w:t>.</w:t>
      </w:r>
    </w:p>
    <w:p w14:paraId="7C2E03DA" w14:textId="77777777" w:rsidR="00C06278" w:rsidRDefault="00C06278" w:rsidP="00C06278">
      <w:pPr>
        <w:pStyle w:val="FigureTableBoxNumberFiguresTablesBoxes"/>
      </w:pPr>
      <w:bookmarkStart w:id="20" w:name="_Toc6305151"/>
      <w:r w:rsidRPr="000B1685">
        <w:t xml:space="preserve">Figure 9. </w:t>
      </w:r>
    </w:p>
    <w:p w14:paraId="220C1BDD" w14:textId="0521C923" w:rsidR="00C06278" w:rsidRPr="000B1685" w:rsidRDefault="00C06278" w:rsidP="00C06278">
      <w:pPr>
        <w:pStyle w:val="FigureTableBoxTitleFiguresTablesBoxes"/>
      </w:pPr>
      <w:r w:rsidRPr="000B1685">
        <w:t>Components of Fiscal Policy, by Level of Government, 1980–2018</w:t>
      </w:r>
      <w:bookmarkEnd w:id="20"/>
    </w:p>
    <w:p w14:paraId="4595B358" w14:textId="77777777" w:rsidR="00C06278" w:rsidRPr="000B1685" w:rsidRDefault="00C06278" w:rsidP="00C06278">
      <w:pPr>
        <w:spacing w:after="0"/>
        <w:jc w:val="center"/>
        <w:rPr>
          <w:szCs w:val="24"/>
        </w:rPr>
      </w:pPr>
      <w:r>
        <w:rPr>
          <w:noProof/>
          <w:szCs w:val="24"/>
        </w:rPr>
        <w:lastRenderedPageBreak/>
        <w:drawing>
          <wp:inline distT="0" distB="0" distL="0" distR="0" wp14:anchorId="617B4022" wp14:editId="50583DCE">
            <wp:extent cx="6816577" cy="36576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4996" cy="3662117"/>
                    </a:xfrm>
                    <a:prstGeom prst="rect">
                      <a:avLst/>
                    </a:prstGeom>
                    <a:noFill/>
                  </pic:spPr>
                </pic:pic>
              </a:graphicData>
            </a:graphic>
          </wp:inline>
        </w:drawing>
      </w:r>
    </w:p>
    <w:p w14:paraId="1B0E0A71" w14:textId="27CE0914" w:rsidR="00C06278" w:rsidRDefault="00C06278" w:rsidP="00C06278">
      <w:pPr>
        <w:spacing w:after="0" w:line="240" w:lineRule="auto"/>
        <w:rPr>
          <w:sz w:val="18"/>
          <w:szCs w:val="18"/>
        </w:rPr>
      </w:pPr>
      <w:r w:rsidRPr="00826E67">
        <w:rPr>
          <w:i/>
          <w:sz w:val="18"/>
          <w:szCs w:val="18"/>
        </w:rPr>
        <w:t>Source:</w:t>
      </w:r>
      <w:r w:rsidRPr="00826E67">
        <w:rPr>
          <w:sz w:val="18"/>
          <w:szCs w:val="18"/>
        </w:rPr>
        <w:t xml:space="preserve"> B</w:t>
      </w:r>
      <w:r w:rsidR="00E74E5C">
        <w:rPr>
          <w:sz w:val="18"/>
          <w:szCs w:val="18"/>
        </w:rPr>
        <w:t xml:space="preserve">ureau of </w:t>
      </w:r>
      <w:r w:rsidRPr="00826E67">
        <w:rPr>
          <w:sz w:val="18"/>
          <w:szCs w:val="18"/>
        </w:rPr>
        <w:t>E</w:t>
      </w:r>
      <w:r w:rsidR="00E74E5C">
        <w:rPr>
          <w:sz w:val="18"/>
          <w:szCs w:val="18"/>
        </w:rPr>
        <w:t xml:space="preserve">conomic </w:t>
      </w:r>
      <w:r w:rsidRPr="00826E67">
        <w:rPr>
          <w:sz w:val="18"/>
          <w:szCs w:val="18"/>
        </w:rPr>
        <w:t>A</w:t>
      </w:r>
      <w:r w:rsidR="00E74E5C">
        <w:rPr>
          <w:sz w:val="18"/>
          <w:szCs w:val="18"/>
        </w:rPr>
        <w:t>dvisers (BEA)</w:t>
      </w:r>
      <w:r>
        <w:rPr>
          <w:sz w:val="18"/>
          <w:szCs w:val="18"/>
        </w:rPr>
        <w:t xml:space="preserve"> 2018</w:t>
      </w:r>
      <w:r w:rsidRPr="00826E67">
        <w:rPr>
          <w:sz w:val="18"/>
          <w:szCs w:val="18"/>
        </w:rPr>
        <w:t>; authors’ calculations.</w:t>
      </w:r>
    </w:p>
    <w:p w14:paraId="412EC92E" w14:textId="28BBA6F6" w:rsidR="007171F6" w:rsidRPr="00E03052" w:rsidRDefault="007171F6" w:rsidP="00C06278">
      <w:pPr>
        <w:spacing w:after="0" w:line="240" w:lineRule="auto"/>
        <w:rPr>
          <w:sz w:val="18"/>
          <w:szCs w:val="18"/>
        </w:rPr>
      </w:pPr>
      <w:r w:rsidRPr="007171F6">
        <w:rPr>
          <w:i/>
          <w:sz w:val="18"/>
          <w:szCs w:val="18"/>
        </w:rPr>
        <w:t xml:space="preserve">Note: </w:t>
      </w:r>
      <w:r w:rsidR="00E03052">
        <w:rPr>
          <w:sz w:val="18"/>
          <w:szCs w:val="18"/>
        </w:rPr>
        <w:t>Data show the different components of fiscal policy</w:t>
      </w:r>
      <w:r w:rsidR="00F113A9">
        <w:rPr>
          <w:sz w:val="18"/>
          <w:szCs w:val="18"/>
        </w:rPr>
        <w:t xml:space="preserve">, broken out by level of government, as a share of GDP. </w:t>
      </w:r>
    </w:p>
    <w:p w14:paraId="04B351DE" w14:textId="50523C91" w:rsidR="00C06278" w:rsidRDefault="00C06278" w:rsidP="00C06278">
      <w:pPr>
        <w:spacing w:after="0" w:line="240" w:lineRule="auto"/>
        <w:rPr>
          <w:i/>
          <w:sz w:val="18"/>
          <w:szCs w:val="18"/>
        </w:rPr>
      </w:pPr>
    </w:p>
    <w:p w14:paraId="6E5869B1" w14:textId="77777777" w:rsidR="00C06278" w:rsidRPr="00826E67" w:rsidRDefault="00C06278" w:rsidP="00C06278">
      <w:pPr>
        <w:spacing w:after="0" w:line="240" w:lineRule="auto"/>
        <w:rPr>
          <w:sz w:val="18"/>
          <w:szCs w:val="18"/>
        </w:rPr>
      </w:pPr>
    </w:p>
    <w:p w14:paraId="158BCE68" w14:textId="622E28AE" w:rsidR="00C06278" w:rsidRPr="000B1685" w:rsidRDefault="00C06278" w:rsidP="00C06278">
      <w:pPr>
        <w:pStyle w:val="RegularBodyTextMainText"/>
      </w:pPr>
      <w:r w:rsidRPr="000B1685">
        <w:t xml:space="preserve">Second, states and localities generally operate under balanced budget requirements, meaning that any reductions in taxes (that stabilize the economy) are generally offset by reductions in spending (that destabilize the economy). Because changes in purchases affect the economy one for one, whereas changes in taxes and transfers have smaller and more-gradual effects on consumption, spending cuts that perfectly balanced tax revenue shortfalls would have a net negative effect on economic growth. But balanced budget requirements do not preclude all stabilization because they do not apply to capital investments, and because states have ways to meet them other than </w:t>
      </w:r>
      <w:r w:rsidR="00D87F8F">
        <w:t xml:space="preserve">through cutting </w:t>
      </w:r>
      <w:r w:rsidRPr="000B1685">
        <w:t xml:space="preserve">spending, </w:t>
      </w:r>
      <w:r>
        <w:t>such as by</w:t>
      </w:r>
      <w:r w:rsidRPr="000B1685">
        <w:t xml:space="preserve"> depleting rainy-day funds or cutting back on contributions to employee pension funds.</w:t>
      </w:r>
    </w:p>
    <w:p w14:paraId="2F7A3177" w14:textId="1FDB7919" w:rsidR="00C06278" w:rsidRPr="000B1685" w:rsidRDefault="00C06278" w:rsidP="00C06278">
      <w:pPr>
        <w:pStyle w:val="RegularBodyTextMainText"/>
      </w:pPr>
      <w:r w:rsidRPr="000B1685">
        <w:t>Figure 10 reports the results of the regression of various federal, state, and local components of the FIM on the four-quarter change in the unemployment gap for the whole 1980–2018 period. These regressions indicate that not only is the federal government a more important player in the macroeconomy, but it is also a more stabilizing force. The automatic stabilizers make both federal, and state and local, taxes and transfers countercyclical, but the federal government reinforces these effects by also enacting legislation that reduces taxes, increases transfers, and increases purchases during downturns. In contrast, state and local governments, reflecting their need to balance their budgets, offset the automatic declines in revenues by cutting spending.</w:t>
      </w:r>
    </w:p>
    <w:p w14:paraId="4DFA035A" w14:textId="77777777" w:rsidR="00B74692" w:rsidRDefault="00B74692" w:rsidP="00B74692">
      <w:pPr>
        <w:pStyle w:val="FigureTableBoxNumberFiguresTablesBoxes"/>
      </w:pPr>
      <w:bookmarkStart w:id="21" w:name="_Toc6305152"/>
      <w:r w:rsidRPr="000B1685">
        <w:t xml:space="preserve">Figure 10. </w:t>
      </w:r>
    </w:p>
    <w:p w14:paraId="52D54FD0" w14:textId="42C6E567" w:rsidR="00B74692" w:rsidRPr="00806E68" w:rsidRDefault="00B74692" w:rsidP="00806E68">
      <w:pPr>
        <w:pStyle w:val="FigureTableBoxTitleFiguresTablesBoxes"/>
        <w:rPr>
          <w:noProof/>
        </w:rPr>
      </w:pPr>
      <w:r w:rsidRPr="000B1685">
        <w:t>Responsiveness of Fiscal Policies to a Higher Unemployment</w:t>
      </w:r>
      <w:r>
        <w:t xml:space="preserve"> Rate</w:t>
      </w:r>
      <w:r w:rsidRPr="000B1685">
        <w:t xml:space="preserve"> Gap, by Level of Government, 1980–2018</w:t>
      </w:r>
      <w:bookmarkEnd w:id="21"/>
      <w:r w:rsidRPr="000B1685">
        <w:rPr>
          <w:noProof/>
        </w:rPr>
        <w:t xml:space="preserve"> </w:t>
      </w:r>
      <w:r w:rsidR="00511EAD">
        <w:rPr>
          <w:noProof/>
        </w:rPr>
        <w:lastRenderedPageBreak/>
        <w:drawing>
          <wp:inline distT="0" distB="0" distL="0" distR="0" wp14:anchorId="34564EF0" wp14:editId="3D31B54C">
            <wp:extent cx="6774511" cy="34947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0453" cy="3497828"/>
                    </a:xfrm>
                    <a:prstGeom prst="rect">
                      <a:avLst/>
                    </a:prstGeom>
                    <a:noFill/>
                  </pic:spPr>
                </pic:pic>
              </a:graphicData>
            </a:graphic>
          </wp:inline>
        </w:drawing>
      </w:r>
    </w:p>
    <w:p w14:paraId="5C63AE82" w14:textId="376280A5" w:rsidR="00B74692" w:rsidRPr="00826E67" w:rsidRDefault="00B74692" w:rsidP="00B74692">
      <w:pPr>
        <w:spacing w:after="0" w:line="240" w:lineRule="auto"/>
        <w:rPr>
          <w:sz w:val="18"/>
          <w:szCs w:val="18"/>
        </w:rPr>
      </w:pPr>
      <w:r w:rsidRPr="00826E67">
        <w:rPr>
          <w:i/>
          <w:sz w:val="18"/>
          <w:szCs w:val="18"/>
        </w:rPr>
        <w:t>Source:</w:t>
      </w:r>
      <w:r w:rsidRPr="00826E67">
        <w:rPr>
          <w:sz w:val="18"/>
          <w:szCs w:val="18"/>
        </w:rPr>
        <w:t xml:space="preserve"> </w:t>
      </w:r>
      <w:r w:rsidR="007171F6">
        <w:rPr>
          <w:sz w:val="18"/>
          <w:szCs w:val="18"/>
        </w:rPr>
        <w:t>Authors’</w:t>
      </w:r>
      <w:r w:rsidR="007171F6" w:rsidRPr="007B7ECF">
        <w:rPr>
          <w:sz w:val="18"/>
          <w:szCs w:val="18"/>
        </w:rPr>
        <w:t xml:space="preserve"> calculations; see online appendix A for more details</w:t>
      </w:r>
      <w:r w:rsidR="007171F6">
        <w:rPr>
          <w:sz w:val="18"/>
          <w:szCs w:val="18"/>
        </w:rPr>
        <w:t xml:space="preserve"> on FIM.</w:t>
      </w:r>
    </w:p>
    <w:p w14:paraId="3ACEC72E" w14:textId="22503CE0" w:rsidR="00B74692" w:rsidRPr="00B74692" w:rsidRDefault="00B74692" w:rsidP="00B74692">
      <w:pPr>
        <w:spacing w:after="0" w:line="240" w:lineRule="auto"/>
        <w:rPr>
          <w:sz w:val="18"/>
          <w:szCs w:val="18"/>
        </w:rPr>
      </w:pPr>
      <w:r w:rsidRPr="00826E67">
        <w:rPr>
          <w:i/>
          <w:sz w:val="18"/>
          <w:szCs w:val="18"/>
        </w:rPr>
        <w:t>Note:</w:t>
      </w:r>
      <w:r w:rsidRPr="00826E67">
        <w:rPr>
          <w:sz w:val="18"/>
          <w:szCs w:val="18"/>
        </w:rPr>
        <w:t xml:space="preserve"> Data show the regression coefficients of each FIM component regressed on the four-quarter change in the unemployment gap from 1980 to 2018.</w:t>
      </w:r>
    </w:p>
    <w:p w14:paraId="376190DE" w14:textId="77777777" w:rsidR="002B17A3" w:rsidRDefault="002B17A3" w:rsidP="00B74692">
      <w:pPr>
        <w:pStyle w:val="RegularBodyTextMainText"/>
      </w:pPr>
    </w:p>
    <w:p w14:paraId="29BBF2EC" w14:textId="1AEABAA8" w:rsidR="00B74692" w:rsidRPr="000B1685" w:rsidRDefault="00B74692" w:rsidP="00B74692">
      <w:pPr>
        <w:pStyle w:val="RegularBodyTextMainText"/>
      </w:pPr>
      <w:r w:rsidRPr="000B1685">
        <w:t>As shown in figures 11 and 12, these patterns are relatively consistent over the various periods. The conclusion that state and local tax policy is only mildly procyclical might appear at odds with the conventional wisdom that state and local government policy was meaningfully holding back the recovery during the Great Recession (Furman</w:t>
      </w:r>
      <w:r w:rsidR="001D5236">
        <w:t>,</w:t>
      </w:r>
      <w:r w:rsidRPr="000B1685">
        <w:t xml:space="preserve"> </w:t>
      </w:r>
      <w:r w:rsidR="00764138">
        <w:t>forthcoming</w:t>
      </w:r>
      <w:r w:rsidRPr="000B1685">
        <w:t>). One reason may be that the combined state and local policy was more procyclical in 2008 than in any other business cycle. It may also be that observers generally focus on the purchasing behavior of state and local governments, rather than on the combination of tax and spending policy, which, as detailed above, is less procyclical. Finally, it could be that the state cutbacks were large in 2011–16 when the unemployment rate was falling (and hence do not look procyclical by the measure used) but the economy was still weak.</w:t>
      </w:r>
      <w:r w:rsidR="00A475B8">
        <w:rPr>
          <w:rStyle w:val="EndnoteReference"/>
        </w:rPr>
        <w:endnoteReference w:id="14"/>
      </w:r>
      <w:r w:rsidRPr="000B1685">
        <w:t xml:space="preserve"> If state and local governments did not cut spending or raise taxes during recessions, fiscal policy would be more powerful in combatting recessions, but, as shown in figure 9, the effect would not be particularly large.</w:t>
      </w:r>
    </w:p>
    <w:p w14:paraId="2D7764AC" w14:textId="77777777" w:rsidR="00B74692" w:rsidRDefault="00B74692" w:rsidP="00B74692">
      <w:pPr>
        <w:pStyle w:val="FigureTableBoxNumberFiguresTablesBoxes"/>
      </w:pPr>
      <w:bookmarkStart w:id="22" w:name="_Toc6305153"/>
      <w:r w:rsidRPr="000B1685">
        <w:t xml:space="preserve">Figure 11. </w:t>
      </w:r>
    </w:p>
    <w:p w14:paraId="2A631EF4" w14:textId="371B632D" w:rsidR="00B74692" w:rsidRPr="000B1685" w:rsidRDefault="00B74692" w:rsidP="00B74692">
      <w:pPr>
        <w:pStyle w:val="FigureTableBoxTitleFiguresTablesBoxes"/>
      </w:pPr>
      <w:r w:rsidRPr="000B1685">
        <w:t>Responsiveness</w:t>
      </w:r>
      <w:r>
        <w:t xml:space="preserve"> of Federal Fiscal Policies</w:t>
      </w:r>
      <w:r w:rsidRPr="000B1685">
        <w:t xml:space="preserve"> to a Higher Unemployment </w:t>
      </w:r>
      <w:r>
        <w:t xml:space="preserve">Rate </w:t>
      </w:r>
      <w:r w:rsidRPr="000B1685">
        <w:t>Gap, 1980–2018</w:t>
      </w:r>
      <w:bookmarkEnd w:id="22"/>
    </w:p>
    <w:p w14:paraId="37A73A9A" w14:textId="77777777" w:rsidR="00B74692" w:rsidRPr="000B1685" w:rsidRDefault="00B74692" w:rsidP="00B74692">
      <w:pPr>
        <w:jc w:val="center"/>
        <w:rPr>
          <w:szCs w:val="24"/>
        </w:rPr>
      </w:pPr>
      <w:r w:rsidRPr="000B1685" w:rsidDel="00A73F2D">
        <w:rPr>
          <w:noProof/>
          <w:szCs w:val="24"/>
        </w:rPr>
        <w:lastRenderedPageBreak/>
        <w:t xml:space="preserve"> </w:t>
      </w:r>
      <w:r>
        <w:rPr>
          <w:noProof/>
          <w:szCs w:val="24"/>
        </w:rPr>
        <w:drawing>
          <wp:inline distT="0" distB="0" distL="0" distR="0" wp14:anchorId="37CB354A" wp14:editId="09C835D9">
            <wp:extent cx="6753225" cy="39667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363" cy="3972077"/>
                    </a:xfrm>
                    <a:prstGeom prst="rect">
                      <a:avLst/>
                    </a:prstGeom>
                    <a:noFill/>
                  </pic:spPr>
                </pic:pic>
              </a:graphicData>
            </a:graphic>
          </wp:inline>
        </w:drawing>
      </w:r>
    </w:p>
    <w:p w14:paraId="257FF61F" w14:textId="0BD8BCA6" w:rsidR="00B74692" w:rsidRPr="00826E67" w:rsidRDefault="00B74692" w:rsidP="00B74692">
      <w:pPr>
        <w:spacing w:after="0" w:line="240" w:lineRule="auto"/>
        <w:rPr>
          <w:sz w:val="18"/>
          <w:szCs w:val="18"/>
        </w:rPr>
      </w:pPr>
      <w:r w:rsidRPr="00826E67">
        <w:rPr>
          <w:i/>
          <w:sz w:val="18"/>
          <w:szCs w:val="18"/>
        </w:rPr>
        <w:t>Source:</w:t>
      </w:r>
      <w:r w:rsidRPr="00826E67">
        <w:rPr>
          <w:sz w:val="18"/>
          <w:szCs w:val="18"/>
        </w:rPr>
        <w:t xml:space="preserve"> </w:t>
      </w:r>
      <w:r w:rsidR="007171F6">
        <w:rPr>
          <w:sz w:val="18"/>
          <w:szCs w:val="18"/>
        </w:rPr>
        <w:t>Authors’</w:t>
      </w:r>
      <w:r w:rsidR="007171F6" w:rsidRPr="007B7ECF">
        <w:rPr>
          <w:sz w:val="18"/>
          <w:szCs w:val="18"/>
        </w:rPr>
        <w:t xml:space="preserve"> calculations; see online appendix A for more details</w:t>
      </w:r>
      <w:r w:rsidR="007171F6">
        <w:rPr>
          <w:sz w:val="18"/>
          <w:szCs w:val="18"/>
        </w:rPr>
        <w:t xml:space="preserve"> on FIM.</w:t>
      </w:r>
    </w:p>
    <w:p w14:paraId="3911C460" w14:textId="77777777" w:rsidR="00B74692" w:rsidRPr="00826E67" w:rsidRDefault="00B74692" w:rsidP="00B74692">
      <w:pPr>
        <w:spacing w:after="0" w:line="240" w:lineRule="auto"/>
        <w:rPr>
          <w:sz w:val="18"/>
          <w:szCs w:val="18"/>
        </w:rPr>
      </w:pPr>
      <w:r w:rsidRPr="00826E67">
        <w:rPr>
          <w:i/>
          <w:sz w:val="18"/>
          <w:szCs w:val="18"/>
        </w:rPr>
        <w:t>Note:</w:t>
      </w:r>
      <w:r w:rsidRPr="00826E67">
        <w:rPr>
          <w:sz w:val="18"/>
          <w:szCs w:val="18"/>
        </w:rPr>
        <w:t xml:space="preserve"> Data show the regression coefficients of each FIM component regressed on the four-quarter change in the unemployment gap from 1980 to 2018.</w:t>
      </w:r>
    </w:p>
    <w:p w14:paraId="52CAB7CE" w14:textId="77777777" w:rsidR="00B74692" w:rsidRDefault="00B74692" w:rsidP="00B74692">
      <w:pPr>
        <w:pStyle w:val="FigureTableBoxNumberFiguresTablesBoxes"/>
      </w:pPr>
      <w:bookmarkStart w:id="23" w:name="_Toc6305154"/>
      <w:r w:rsidRPr="000B1685">
        <w:t xml:space="preserve">Figure 12. </w:t>
      </w:r>
    </w:p>
    <w:p w14:paraId="79A76ACB" w14:textId="48E34B40" w:rsidR="00B74692" w:rsidRPr="000B1685" w:rsidRDefault="00B74692" w:rsidP="00B74692">
      <w:pPr>
        <w:pStyle w:val="FigureTableBoxTitleFiguresTablesBoxes"/>
      </w:pPr>
      <w:r w:rsidRPr="000B1685">
        <w:t xml:space="preserve">State and Local Responsiveness to a Higher Unemployment </w:t>
      </w:r>
      <w:r>
        <w:t xml:space="preserve">Rate </w:t>
      </w:r>
      <w:r w:rsidRPr="000B1685">
        <w:t>Gap, 1980–2018</w:t>
      </w:r>
      <w:bookmarkEnd w:id="23"/>
    </w:p>
    <w:p w14:paraId="26B8D85F" w14:textId="77777777" w:rsidR="00B74692" w:rsidRPr="000B1685" w:rsidRDefault="00B74692" w:rsidP="00B74692">
      <w:pPr>
        <w:jc w:val="center"/>
        <w:rPr>
          <w:szCs w:val="24"/>
        </w:rPr>
      </w:pPr>
      <w:r>
        <w:rPr>
          <w:noProof/>
          <w:szCs w:val="24"/>
        </w:rPr>
        <w:drawing>
          <wp:inline distT="0" distB="0" distL="0" distR="0" wp14:anchorId="60C670C4" wp14:editId="37E0EC1D">
            <wp:extent cx="6410325" cy="36462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5373" cy="3649168"/>
                    </a:xfrm>
                    <a:prstGeom prst="rect">
                      <a:avLst/>
                    </a:prstGeom>
                    <a:noFill/>
                  </pic:spPr>
                </pic:pic>
              </a:graphicData>
            </a:graphic>
          </wp:inline>
        </w:drawing>
      </w:r>
    </w:p>
    <w:p w14:paraId="1C517A46" w14:textId="229A4ACD" w:rsidR="00B74692" w:rsidRPr="00826E67" w:rsidRDefault="00B74692" w:rsidP="00B74692">
      <w:pPr>
        <w:spacing w:after="0" w:line="240" w:lineRule="auto"/>
        <w:rPr>
          <w:sz w:val="18"/>
          <w:szCs w:val="18"/>
        </w:rPr>
      </w:pPr>
      <w:r w:rsidRPr="00826E67">
        <w:rPr>
          <w:i/>
          <w:sz w:val="18"/>
          <w:szCs w:val="18"/>
        </w:rPr>
        <w:t>Source:</w:t>
      </w:r>
      <w:r w:rsidRPr="00826E67">
        <w:rPr>
          <w:sz w:val="18"/>
          <w:szCs w:val="18"/>
        </w:rPr>
        <w:t xml:space="preserve"> </w:t>
      </w:r>
      <w:r w:rsidR="007171F6">
        <w:rPr>
          <w:sz w:val="18"/>
          <w:szCs w:val="18"/>
        </w:rPr>
        <w:t>Authors’</w:t>
      </w:r>
      <w:r w:rsidR="007171F6" w:rsidRPr="007B7ECF">
        <w:rPr>
          <w:sz w:val="18"/>
          <w:szCs w:val="18"/>
        </w:rPr>
        <w:t xml:space="preserve"> calculations; see online appendix A for more details</w:t>
      </w:r>
      <w:r w:rsidR="007171F6">
        <w:rPr>
          <w:sz w:val="18"/>
          <w:szCs w:val="18"/>
        </w:rPr>
        <w:t xml:space="preserve"> on FIM.</w:t>
      </w:r>
    </w:p>
    <w:p w14:paraId="7CCC8706" w14:textId="35A3683A" w:rsidR="00B74692" w:rsidRPr="00826E67" w:rsidRDefault="00B74692" w:rsidP="00B74692">
      <w:pPr>
        <w:spacing w:after="0" w:line="240" w:lineRule="auto"/>
        <w:rPr>
          <w:sz w:val="18"/>
          <w:szCs w:val="18"/>
        </w:rPr>
      </w:pPr>
      <w:r w:rsidRPr="00826E67">
        <w:rPr>
          <w:i/>
          <w:sz w:val="18"/>
          <w:szCs w:val="18"/>
        </w:rPr>
        <w:lastRenderedPageBreak/>
        <w:t>Note:</w:t>
      </w:r>
      <w:r w:rsidRPr="00826E67">
        <w:rPr>
          <w:sz w:val="18"/>
          <w:szCs w:val="18"/>
        </w:rPr>
        <w:t xml:space="preserve"> Data show the regression coefficients of each FIM component regressed on the four-quarter change in the unemployment gap from 1980 to 2018.</w:t>
      </w:r>
    </w:p>
    <w:p w14:paraId="7CBC6189" w14:textId="77777777" w:rsidR="002B17A3" w:rsidRDefault="002B17A3" w:rsidP="00B74692">
      <w:pPr>
        <w:pStyle w:val="RegularBodyTextMainText"/>
      </w:pPr>
    </w:p>
    <w:p w14:paraId="4D64E8D7" w14:textId="4236FDA2" w:rsidR="00B74692" w:rsidRPr="000B1685" w:rsidRDefault="00B74692" w:rsidP="00B74692">
      <w:pPr>
        <w:pStyle w:val="RegularBodyTextMainText"/>
      </w:pPr>
      <w:r>
        <w:t>Online a</w:t>
      </w:r>
      <w:r w:rsidRPr="000B1685">
        <w:t>ppendix B explores the timing of the fiscal responses of federal and state and local governments. It shows that for a given unemployment gap shock, cuts to state and local spending offsets about 25 percent of the total stimulus provided by the federal government during a recession. Moreover, although federal stimulus reaches its peak after about two years, state and local spending cuts continue over the course of almost five years after an unemployment gap shock.</w:t>
      </w:r>
    </w:p>
    <w:p w14:paraId="20DECA54" w14:textId="77777777" w:rsidR="004A63AA" w:rsidRPr="000B1685" w:rsidRDefault="004A63AA" w:rsidP="004A63AA">
      <w:pPr>
        <w:pStyle w:val="SectionTitleMainText"/>
      </w:pPr>
      <w:bookmarkStart w:id="24" w:name="_Toc6305155"/>
      <w:r w:rsidRPr="000B1685">
        <w:t>Conclusion</w:t>
      </w:r>
      <w:bookmarkEnd w:id="24"/>
    </w:p>
    <w:p w14:paraId="1E04BE6D" w14:textId="52AD0831" w:rsidR="004A63AA" w:rsidRPr="000B1685" w:rsidRDefault="004A63AA" w:rsidP="004A63AA">
      <w:pPr>
        <w:pStyle w:val="RegularBodyTextMainText"/>
      </w:pPr>
      <w:r w:rsidRPr="000B1685">
        <w:t xml:space="preserve">Fiscal policy has been strongly countercyclical over the past five decades, with the degree of cyclicality somewhat stronger in the past 20 years than the </w:t>
      </w:r>
      <w:r>
        <w:t>previous</w:t>
      </w:r>
      <w:r w:rsidRPr="000B1685">
        <w:t xml:space="preserve"> </w:t>
      </w:r>
      <w:r w:rsidR="002D1419">
        <w:t>2</w:t>
      </w:r>
      <w:r w:rsidRPr="000B1685">
        <w:t xml:space="preserve">0. Almost all the stabilization is accounted for by the federal government—especially when spending financed by the federal government but implemented by states and localities is counted as federal. The automatic stabilizers and discretionary fiscal policy are about equally important to macroeconomic stabilization. During economic downturns, taxes </w:t>
      </w:r>
      <w:proofErr w:type="gramStart"/>
      <w:r w:rsidRPr="000B1685">
        <w:t>fall</w:t>
      </w:r>
      <w:proofErr w:type="gramEnd"/>
      <w:r w:rsidRPr="000B1685">
        <w:t xml:space="preserve"> and transfers increase both automatically and in response to legislation, and the federal government also increases purchases. State fiscal policy is very mildly procyclical, and declines in state and local purchases more than offset stimulus provided by state automatic stabilizers. </w:t>
      </w:r>
    </w:p>
    <w:p w14:paraId="370A2122" w14:textId="77777777" w:rsidR="004A63AA" w:rsidRPr="000B1685" w:rsidRDefault="004A63AA" w:rsidP="004A63AA">
      <w:pPr>
        <w:pStyle w:val="SectionTitleMainText"/>
      </w:pPr>
      <w:bookmarkStart w:id="25" w:name="_Toc6305156"/>
      <w:r w:rsidRPr="000B1685">
        <w:t>Acknowledgments</w:t>
      </w:r>
      <w:bookmarkEnd w:id="25"/>
    </w:p>
    <w:p w14:paraId="1AA5DE69" w14:textId="77777777" w:rsidR="004A63AA" w:rsidRPr="000B1685" w:rsidRDefault="004A63AA" w:rsidP="004A63AA">
      <w:pPr>
        <w:pStyle w:val="RegularBodyTextMainText"/>
        <w:rPr>
          <w:b/>
        </w:rPr>
      </w:pPr>
      <w:r w:rsidRPr="000B1685">
        <w:t>We thank Glenn Follette, Byron Lutz, Ryan Nunn, Jay Shambaugh, and David Wessel for helpful comments. All errors are, of course, our own.</w:t>
      </w:r>
    </w:p>
    <w:p w14:paraId="17AB7A9E" w14:textId="77777777" w:rsidR="009D247F" w:rsidRDefault="009D247F">
      <w:pPr>
        <w:spacing w:after="0" w:line="240" w:lineRule="auto"/>
        <w:rPr>
          <w:rFonts w:ascii="Photina MT Std" w:hAnsi="Photina MT Std" w:cs="Photina MT Std"/>
          <w:color w:val="00AF3D"/>
          <w:spacing w:val="-5"/>
          <w:sz w:val="48"/>
          <w:szCs w:val="48"/>
        </w:rPr>
      </w:pPr>
      <w:bookmarkStart w:id="26" w:name="_Toc6305157"/>
      <w:r>
        <w:br w:type="page"/>
      </w:r>
    </w:p>
    <w:p w14:paraId="30A6DFD7" w14:textId="4D92E6C2" w:rsidR="004A63AA" w:rsidRPr="000B1685" w:rsidRDefault="004A63AA" w:rsidP="004A63AA">
      <w:pPr>
        <w:pStyle w:val="SectionTitleMainText"/>
      </w:pPr>
      <w:r w:rsidRPr="000B1685">
        <w:lastRenderedPageBreak/>
        <w:t>References</w:t>
      </w:r>
      <w:bookmarkEnd w:id="26"/>
    </w:p>
    <w:p w14:paraId="0CE60224" w14:textId="200F8E9B" w:rsidR="004A63AA" w:rsidRPr="000B1685" w:rsidRDefault="004A63AA" w:rsidP="004A63AA">
      <w:pPr>
        <w:pStyle w:val="ReferencesEndMatter"/>
      </w:pPr>
      <w:r w:rsidRPr="000B1685">
        <w:t xml:space="preserve">Aaronson, Stephanie R., Mary C. Daly, William </w:t>
      </w:r>
      <w:proofErr w:type="spellStart"/>
      <w:r w:rsidRPr="000B1685">
        <w:t>Wascher</w:t>
      </w:r>
      <w:proofErr w:type="spellEnd"/>
      <w:r w:rsidRPr="000B1685">
        <w:t xml:space="preserve">, and David W. Wilcox. 2019. “Okun Revisited: Who Benefits Most from a Strong Economy?” </w:t>
      </w:r>
      <w:r w:rsidRPr="00826E67">
        <w:rPr>
          <w:i/>
        </w:rPr>
        <w:t xml:space="preserve">Brookings Papers on Economic Activity, </w:t>
      </w:r>
      <w:r w:rsidR="002038FB" w:rsidRPr="00164960">
        <w:t>Conference Draft, Brookings Institution, Washington, DC.</w:t>
      </w:r>
    </w:p>
    <w:p w14:paraId="6EECDA0B" w14:textId="77777777" w:rsidR="004A63AA" w:rsidRPr="000B1685" w:rsidRDefault="004A63AA" w:rsidP="004A63AA">
      <w:pPr>
        <w:pStyle w:val="ReferencesEndMatter"/>
      </w:pPr>
      <w:r w:rsidRPr="000B1685">
        <w:t>Belz, Sage, and Louise Sheiner. 2019, April 5. “Hutchins Center Fiscal Impact Measure.” The Brookings Institution, Washington, DC.</w:t>
      </w:r>
    </w:p>
    <w:p w14:paraId="0F75D654" w14:textId="35863572" w:rsidR="004A63AA" w:rsidRDefault="004A63AA" w:rsidP="004A63AA">
      <w:pPr>
        <w:pStyle w:val="ReferencesEndMatter"/>
      </w:pPr>
      <w:r w:rsidRPr="000B1685">
        <w:t xml:space="preserve">Blinder, Alan S. 2016. “Fiscal Policy Reconsidered.” </w:t>
      </w:r>
      <w:r>
        <w:t xml:space="preserve">Policy Proposal 2016-05, </w:t>
      </w:r>
      <w:r w:rsidRPr="000B1685">
        <w:t>The Hamilton Project</w:t>
      </w:r>
      <w:r>
        <w:t>, Brookings Institution,</w:t>
      </w:r>
      <w:r w:rsidRPr="000B1685">
        <w:t xml:space="preserve"> Washington, DC.</w:t>
      </w:r>
    </w:p>
    <w:p w14:paraId="75E63BC4" w14:textId="680ED9F9" w:rsidR="00E74E5C" w:rsidRDefault="00E74E5C" w:rsidP="004A63AA">
      <w:pPr>
        <w:pStyle w:val="ReferencesEndMatter"/>
      </w:pPr>
      <w:r>
        <w:t xml:space="preserve">Bureau of Economic Analysis (BEA). 2018. </w:t>
      </w:r>
      <w:r w:rsidR="00EE5046">
        <w:t xml:space="preserve">“National Income and Product Accounts (NIPA) Tables.” </w:t>
      </w:r>
      <w:r w:rsidR="00E4357E">
        <w:t xml:space="preserve">Bureau </w:t>
      </w:r>
      <w:r w:rsidR="00BE777D">
        <w:t xml:space="preserve">of Economic Analysis, </w:t>
      </w:r>
      <w:r w:rsidR="00EE5046">
        <w:t>U.S. Department of Commerce, Suitland, MD.</w:t>
      </w:r>
    </w:p>
    <w:p w14:paraId="78BD1BF2" w14:textId="65AE9710" w:rsidR="00602FA9" w:rsidRPr="000B1685" w:rsidRDefault="00602FA9" w:rsidP="004A63AA">
      <w:pPr>
        <w:pStyle w:val="ReferencesEndMatter"/>
      </w:pPr>
      <w:r>
        <w:t>Bureau of Labor Statistics</w:t>
      </w:r>
      <w:r w:rsidR="00056C19">
        <w:t xml:space="preserve"> (BLS)</w:t>
      </w:r>
      <w:r>
        <w:t>.</w:t>
      </w:r>
      <w:r w:rsidR="005A5AFA">
        <w:t xml:space="preserve"> 1980–2018.</w:t>
      </w:r>
      <w:r>
        <w:t xml:space="preserve"> </w:t>
      </w:r>
      <w:r w:rsidR="00056C19">
        <w:rPr>
          <w:color w:val="auto"/>
        </w:rPr>
        <w:t>“Unemployment Level (Seas).”</w:t>
      </w:r>
      <w:r w:rsidR="00056C19" w:rsidRPr="00BD410F">
        <w:rPr>
          <w:color w:val="auto"/>
        </w:rPr>
        <w:t xml:space="preserve"> Bureau of Labor Statistics, U.S. Department of Labor, Washington, DC.</w:t>
      </w:r>
    </w:p>
    <w:p w14:paraId="36AC1195" w14:textId="77777777" w:rsidR="004A63AA" w:rsidRPr="000B1685" w:rsidRDefault="004A63AA" w:rsidP="004A63AA">
      <w:pPr>
        <w:pStyle w:val="ReferencesEndMatter"/>
      </w:pPr>
      <w:r w:rsidRPr="000B1685">
        <w:t xml:space="preserve">Cashin, David, Jamie </w:t>
      </w:r>
      <w:proofErr w:type="spellStart"/>
      <w:r w:rsidRPr="000B1685">
        <w:t>Lenney</w:t>
      </w:r>
      <w:proofErr w:type="spellEnd"/>
      <w:r w:rsidRPr="000B1685">
        <w:t xml:space="preserve">, Byron Lutz, and William Peterman. 2018. “Fiscal Policy </w:t>
      </w:r>
      <w:r>
        <w:t>a</w:t>
      </w:r>
      <w:r w:rsidRPr="000B1685">
        <w:t xml:space="preserve">nd Aggregate Demand in the USA Before, During, </w:t>
      </w:r>
      <w:r>
        <w:t>a</w:t>
      </w:r>
      <w:r w:rsidRPr="000B1685">
        <w:t xml:space="preserve">nd Following </w:t>
      </w:r>
      <w:r>
        <w:t>t</w:t>
      </w:r>
      <w:r w:rsidRPr="000B1685">
        <w:t xml:space="preserve">he Great Recession.” </w:t>
      </w:r>
      <w:r w:rsidRPr="00B569DA">
        <w:rPr>
          <w:i/>
        </w:rPr>
        <w:t>International Tax and Public Finance</w:t>
      </w:r>
      <w:r w:rsidRPr="000B1685">
        <w:t xml:space="preserve"> 25</w:t>
      </w:r>
      <w:r>
        <w:t xml:space="preserve"> (</w:t>
      </w:r>
      <w:r w:rsidRPr="000B1685">
        <w:t>6</w:t>
      </w:r>
      <w:r>
        <w:t>)</w:t>
      </w:r>
      <w:r w:rsidRPr="000B1685">
        <w:t>.</w:t>
      </w:r>
    </w:p>
    <w:p w14:paraId="2BA9C88A" w14:textId="0C208E83" w:rsidR="005A5AFA" w:rsidRDefault="001A0919" w:rsidP="001A0919">
      <w:pPr>
        <w:pStyle w:val="ReferencesEndMatter"/>
      </w:pPr>
      <w:r w:rsidRPr="000B1685">
        <w:t>Congressional Budget Office</w:t>
      </w:r>
      <w:r>
        <w:t xml:space="preserve"> (CBO)</w:t>
      </w:r>
      <w:r w:rsidR="004A63AA" w:rsidRPr="008F37F7">
        <w:t xml:space="preserve">. </w:t>
      </w:r>
      <w:r w:rsidR="005A5AFA">
        <w:t>1980–2018. “</w:t>
      </w:r>
      <w:r w:rsidR="00B173AA">
        <w:t>Natural Rate of Unemployment</w:t>
      </w:r>
      <w:r w:rsidR="005A5AFA">
        <w:t xml:space="preserve">.” </w:t>
      </w:r>
      <w:r w:rsidR="005A5AFA" w:rsidRPr="000B1685">
        <w:t>Congressional Budget Office</w:t>
      </w:r>
      <w:r w:rsidR="005A5AFA">
        <w:t>, Washington, DC.</w:t>
      </w:r>
    </w:p>
    <w:p w14:paraId="6271AF9F" w14:textId="1B812A74" w:rsidR="001A0919" w:rsidRPr="00B569DA" w:rsidRDefault="005A5AFA" w:rsidP="001A0919">
      <w:pPr>
        <w:pStyle w:val="ReferencesEndMatter"/>
      </w:pPr>
      <w:r>
        <w:t>———</w:t>
      </w:r>
      <w:r w:rsidRPr="000B1685">
        <w:t>.</w:t>
      </w:r>
      <w:r>
        <w:t xml:space="preserve"> </w:t>
      </w:r>
      <w:r w:rsidR="004A63AA">
        <w:t>1986</w:t>
      </w:r>
      <w:r w:rsidR="004A63AA" w:rsidRPr="008F37F7">
        <w:t>. “</w:t>
      </w:r>
      <w:r w:rsidR="004A63AA">
        <w:t xml:space="preserve">Effects of the 1981 Tax Act on the Distribution of Income and Taxes Paid.” </w:t>
      </w:r>
      <w:r w:rsidR="00DF7406">
        <w:t xml:space="preserve">Staff Working Paper, </w:t>
      </w:r>
      <w:r w:rsidR="001A0919" w:rsidRPr="000B1685">
        <w:t>Congressional Budget Office</w:t>
      </w:r>
      <w:r w:rsidR="001A0919">
        <w:t>, Washington, DC.</w:t>
      </w:r>
    </w:p>
    <w:p w14:paraId="54844B4F" w14:textId="364FE9AC" w:rsidR="004A63AA" w:rsidRPr="00B569DA" w:rsidRDefault="001A0919" w:rsidP="004A63AA">
      <w:pPr>
        <w:pStyle w:val="ReferencesEndMatter"/>
      </w:pPr>
      <w:r>
        <w:t>———</w:t>
      </w:r>
      <w:r w:rsidR="004A63AA" w:rsidRPr="000B1685">
        <w:t>. 2015. “How CBO Estimates Automatic Stabilizers</w:t>
      </w:r>
      <w:r w:rsidR="004A63AA">
        <w:t>.”</w:t>
      </w:r>
      <w:r w:rsidR="004A63AA" w:rsidRPr="000B1685">
        <w:t xml:space="preserve"> Working Paper 2015-07</w:t>
      </w:r>
      <w:r w:rsidR="004A63AA">
        <w:t>,</w:t>
      </w:r>
      <w:r w:rsidR="004A63AA" w:rsidRPr="000B1685">
        <w:t xml:space="preserve"> Congressional Budget Office</w:t>
      </w:r>
      <w:r w:rsidR="004A63AA">
        <w:t>, Washington, DC.</w:t>
      </w:r>
    </w:p>
    <w:p w14:paraId="7249ED84" w14:textId="22991D5C" w:rsidR="004A63AA" w:rsidRPr="000B1685" w:rsidRDefault="001A0919" w:rsidP="004A63AA">
      <w:pPr>
        <w:pStyle w:val="ReferencesEndMatter"/>
      </w:pPr>
      <w:r>
        <w:t>———</w:t>
      </w:r>
      <w:r w:rsidRPr="000B1685">
        <w:t xml:space="preserve">. </w:t>
      </w:r>
      <w:r w:rsidR="004A63AA" w:rsidRPr="00B569DA">
        <w:t xml:space="preserve">2019. “Data that Supplement CBO’s January 2019 Report.” </w:t>
      </w:r>
      <w:r w:rsidR="004A63AA" w:rsidRPr="000B1685">
        <w:t>Congressional Budget Office</w:t>
      </w:r>
      <w:r w:rsidR="004A63AA">
        <w:t>, Washington, DC.</w:t>
      </w:r>
    </w:p>
    <w:p w14:paraId="1929CD4D" w14:textId="77777777" w:rsidR="004A63AA" w:rsidRPr="000B1685" w:rsidRDefault="004A63AA" w:rsidP="004A63AA">
      <w:pPr>
        <w:pStyle w:val="ReferencesEndMatter"/>
      </w:pPr>
      <w:r w:rsidRPr="000B1685">
        <w:t>Elmendorf, Douglas, and Jason Furman. 2008. “If, When, How: A Primer on Fiscal Stimulus.” Strategy Paper, The Hamilton Project, Brookings Institution, Washington, DC.</w:t>
      </w:r>
    </w:p>
    <w:p w14:paraId="73B5CF9F" w14:textId="1E16C297" w:rsidR="004A63AA" w:rsidRPr="00095643" w:rsidRDefault="004A63AA" w:rsidP="00FC413A">
      <w:pPr>
        <w:pStyle w:val="ReferencesEndMatter"/>
        <w:rPr>
          <w:color w:val="auto"/>
        </w:rPr>
      </w:pPr>
      <w:r w:rsidRPr="000B1685">
        <w:t xml:space="preserve">Follette </w:t>
      </w:r>
      <w:r w:rsidRPr="00095643">
        <w:rPr>
          <w:color w:val="auto"/>
        </w:rPr>
        <w:t>and Lutz. 2013.</w:t>
      </w:r>
      <w:r w:rsidR="00FC413A" w:rsidRPr="00095643">
        <w:rPr>
          <w:color w:val="auto"/>
        </w:rPr>
        <w:t xml:space="preserve"> Fiscal Multipliers: How Much Bang for the Buck?” Fiscal Policy and Growth, Banca </w:t>
      </w:r>
      <w:proofErr w:type="spellStart"/>
      <w:r w:rsidR="00FC413A" w:rsidRPr="00095643">
        <w:rPr>
          <w:color w:val="auto"/>
        </w:rPr>
        <w:t>d’Italia</w:t>
      </w:r>
      <w:proofErr w:type="spellEnd"/>
      <w:r w:rsidR="00FC413A" w:rsidRPr="00095643">
        <w:rPr>
          <w:color w:val="auto"/>
        </w:rPr>
        <w:t>, Rome, Italy.</w:t>
      </w:r>
    </w:p>
    <w:p w14:paraId="20EAFFFF" w14:textId="3596D0E6" w:rsidR="004A63AA" w:rsidRPr="000B1685" w:rsidRDefault="004A63AA" w:rsidP="004A63AA">
      <w:pPr>
        <w:pStyle w:val="ReferencesEndMatter"/>
      </w:pPr>
      <w:r w:rsidRPr="000B1685">
        <w:t>Furman, Jason. 2016</w:t>
      </w:r>
      <w:r w:rsidR="00641DDD">
        <w:t xml:space="preserve">, </w:t>
      </w:r>
      <w:r w:rsidR="00641DDD" w:rsidRPr="000B1685">
        <w:t>October 5</w:t>
      </w:r>
      <w:r w:rsidRPr="000B1685">
        <w:t>. “The New View of Fiscal Policy and Its Application.” Remarks prepared for delivery, Global Implications of Europe’s Redesign,</w:t>
      </w:r>
      <w:r w:rsidR="00274998">
        <w:t xml:space="preserve"> New York, NY</w:t>
      </w:r>
      <w:r w:rsidRPr="000B1685">
        <w:t>.</w:t>
      </w:r>
    </w:p>
    <w:p w14:paraId="726BAF94" w14:textId="3ED61A61" w:rsidR="004A63AA" w:rsidRPr="000B1685" w:rsidRDefault="00096EDA" w:rsidP="004A63AA">
      <w:pPr>
        <w:pStyle w:val="ReferencesEndMatter"/>
        <w:rPr>
          <w:i/>
        </w:rPr>
      </w:pPr>
      <w:r>
        <w:t>———</w:t>
      </w:r>
      <w:r w:rsidR="003D7DCD">
        <w:t>Forthcoming</w:t>
      </w:r>
      <w:r w:rsidR="004A63AA" w:rsidRPr="000B1685">
        <w:t xml:space="preserve">. “The Fiscal Response to the Great Recession: Steps Taken, Paths Rejected, and Lessons for Next Time.” In </w:t>
      </w:r>
      <w:r w:rsidR="004A63AA" w:rsidRPr="00B569DA">
        <w:rPr>
          <w:i/>
        </w:rPr>
        <w:t xml:space="preserve">Responding to the Global Financial Crisis, What We Did and Why We Did </w:t>
      </w:r>
      <w:r w:rsidR="004A63AA">
        <w:rPr>
          <w:i/>
        </w:rPr>
        <w:t>I</w:t>
      </w:r>
      <w:r w:rsidR="004A63AA" w:rsidRPr="00B569DA">
        <w:rPr>
          <w:i/>
        </w:rPr>
        <w:t>t</w:t>
      </w:r>
      <w:r w:rsidR="004A63AA">
        <w:rPr>
          <w:i/>
        </w:rPr>
        <w:t xml:space="preserve">, </w:t>
      </w:r>
      <w:r w:rsidR="004A63AA">
        <w:t xml:space="preserve">edited by Nellie </w:t>
      </w:r>
      <w:r w:rsidR="004A63AA" w:rsidRPr="000B1685">
        <w:t>Liang</w:t>
      </w:r>
      <w:r w:rsidR="004A63AA" w:rsidRPr="00B569DA">
        <w:rPr>
          <w:i/>
        </w:rPr>
        <w:t>.</w:t>
      </w:r>
      <w:r w:rsidR="004A63AA" w:rsidRPr="000B1685">
        <w:t xml:space="preserve"> Yale University Press</w:t>
      </w:r>
      <w:r w:rsidR="004A63AA">
        <w:t xml:space="preserve"> and the Hutchins Center on Fiscal &amp; Monetary Policy at Brookings, Washington, DC.</w:t>
      </w:r>
    </w:p>
    <w:p w14:paraId="137783AA" w14:textId="77777777" w:rsidR="002038FB" w:rsidRPr="0032100A" w:rsidRDefault="002038FB" w:rsidP="002038FB">
      <w:pPr>
        <w:pStyle w:val="ReferencesEndMatter"/>
      </w:pPr>
      <w:r w:rsidRPr="00164960">
        <w:t xml:space="preserve">Rachel, </w:t>
      </w:r>
      <w:proofErr w:type="spellStart"/>
      <w:r w:rsidRPr="00164960">
        <w:rPr>
          <w:rFonts w:ascii="Cambria" w:hAnsi="Cambria"/>
        </w:rPr>
        <w:t>Ł</w:t>
      </w:r>
      <w:r w:rsidRPr="00164960">
        <w:t>ukasz</w:t>
      </w:r>
      <w:proofErr w:type="spellEnd"/>
      <w:r w:rsidRPr="00164960">
        <w:t>, and Lawrence H. Summers. 2019. “On Falling Neutral Real Rates, Fiscal Policy, and the Risk of Secular Stagnation.”</w:t>
      </w:r>
      <w:r w:rsidRPr="00164960">
        <w:rPr>
          <w:i/>
        </w:rPr>
        <w:t xml:space="preserve"> Brookings Papers on Economic Activity,</w:t>
      </w:r>
      <w:r w:rsidRPr="00164960">
        <w:t xml:space="preserve"> Conference Draft, Brookings Institution, Washington, DC.</w:t>
      </w:r>
    </w:p>
    <w:p w14:paraId="7F98FFE4" w14:textId="77777777" w:rsidR="004A63AA" w:rsidRPr="000B1685" w:rsidRDefault="004A63AA" w:rsidP="004A63AA">
      <w:pPr>
        <w:pStyle w:val="ReferencesEndMatter"/>
      </w:pPr>
      <w:proofErr w:type="spellStart"/>
      <w:r w:rsidRPr="000B1685">
        <w:t>Russek</w:t>
      </w:r>
      <w:proofErr w:type="spellEnd"/>
      <w:r w:rsidRPr="000B1685">
        <w:t xml:space="preserve">, Frank, and Kim </w:t>
      </w:r>
      <w:proofErr w:type="spellStart"/>
      <w:r w:rsidRPr="000B1685">
        <w:t>Kowalewski</w:t>
      </w:r>
      <w:proofErr w:type="spellEnd"/>
      <w:r w:rsidRPr="000B1685">
        <w:t>. 2015. “How CBO Estimates Automatic Stabilizers.” Working Paper 2015-07</w:t>
      </w:r>
      <w:r>
        <w:t>, Congressional Budget Office, Washington, DC</w:t>
      </w:r>
      <w:r w:rsidRPr="000B1685">
        <w:t>.</w:t>
      </w:r>
    </w:p>
    <w:p w14:paraId="2B9DBE39" w14:textId="3DE45350" w:rsidR="004A63AA" w:rsidRPr="000B1685" w:rsidRDefault="004A63AA" w:rsidP="004A63AA">
      <w:pPr>
        <w:pStyle w:val="ReferencesEndMatter"/>
      </w:pPr>
      <w:r w:rsidRPr="000B1685">
        <w:t xml:space="preserve">Sheiner, Louise. 2019. “Effects of Low Productivity Growth on Fiscal Sustainability in the United States.” In </w:t>
      </w:r>
      <w:r w:rsidRPr="000B1685">
        <w:rPr>
          <w:i/>
        </w:rPr>
        <w:t>Facing up to Low Productivity Growth,</w:t>
      </w:r>
      <w:r w:rsidRPr="000B1685">
        <w:t xml:space="preserve"> edited by Ada Posen and </w:t>
      </w:r>
      <w:proofErr w:type="spellStart"/>
      <w:r w:rsidRPr="000B1685">
        <w:t>Jeromin</w:t>
      </w:r>
      <w:proofErr w:type="spellEnd"/>
      <w:r w:rsidRPr="000B1685">
        <w:t xml:space="preserve"> </w:t>
      </w:r>
      <w:proofErr w:type="spellStart"/>
      <w:r w:rsidRPr="000B1685">
        <w:t>Zettelmeyer</w:t>
      </w:r>
      <w:proofErr w:type="spellEnd"/>
      <w:r>
        <w:t xml:space="preserve">, </w:t>
      </w:r>
      <w:r w:rsidR="000E3694">
        <w:t>87-115</w:t>
      </w:r>
      <w:r w:rsidRPr="000B1685">
        <w:t xml:space="preserve">. Washington, DC: </w:t>
      </w:r>
      <w:r>
        <w:rPr>
          <w:rFonts w:ascii="Times" w:hAnsi="Times" w:cs="Times"/>
          <w:color w:val="231F20"/>
          <w:shd w:val="clear" w:color="auto" w:fill="FFFFFF"/>
        </w:rPr>
        <w:t>Peterson Institute for International Economics</w:t>
      </w:r>
      <w:r w:rsidRPr="000B1685">
        <w:t>.</w:t>
      </w:r>
    </w:p>
    <w:p w14:paraId="5D9755DD" w14:textId="77777777" w:rsidR="004A63AA" w:rsidRPr="000B1685" w:rsidRDefault="004A63AA" w:rsidP="004A63AA">
      <w:pPr>
        <w:pStyle w:val="ReferencesEndMatter"/>
      </w:pPr>
      <w:r w:rsidRPr="000B1685">
        <w:t xml:space="preserve">Stock, James H., and Mark W. Watson. 2001. “Vector Autoregressions.” </w:t>
      </w:r>
      <w:r w:rsidRPr="000B1685">
        <w:rPr>
          <w:i/>
        </w:rPr>
        <w:t>Journal of Economic Perspectives</w:t>
      </w:r>
      <w:r w:rsidRPr="000B1685">
        <w:t xml:space="preserve"> 15 (4): 101–15.</w:t>
      </w:r>
    </w:p>
    <w:p w14:paraId="4850C46B" w14:textId="4756217F" w:rsidR="00B501FF" w:rsidRPr="00FC413A" w:rsidRDefault="004A63AA" w:rsidP="00FC413A">
      <w:pPr>
        <w:pStyle w:val="ReferencesEndMatter"/>
        <w:rPr>
          <w:color w:val="auto"/>
        </w:rPr>
      </w:pPr>
      <w:r w:rsidRPr="00FC413A">
        <w:rPr>
          <w:color w:val="auto"/>
        </w:rPr>
        <w:t xml:space="preserve">Taylor, John. 2000. “Reassessing Discretionary Fiscal Policy.” </w:t>
      </w:r>
      <w:r w:rsidRPr="00FC413A">
        <w:rPr>
          <w:i/>
          <w:color w:val="auto"/>
        </w:rPr>
        <w:t>Journal of Economic Perspectives</w:t>
      </w:r>
      <w:r w:rsidRPr="00FC413A">
        <w:rPr>
          <w:color w:val="auto"/>
        </w:rPr>
        <w:t xml:space="preserve"> 14 (3): 21–36.</w:t>
      </w:r>
    </w:p>
    <w:p w14:paraId="154E0B09" w14:textId="77777777" w:rsidR="009D247F" w:rsidRDefault="009D247F">
      <w:pPr>
        <w:spacing w:after="0" w:line="240" w:lineRule="auto"/>
        <w:rPr>
          <w:rFonts w:ascii="Photina MT Std" w:hAnsi="Photina MT Std" w:cs="Photina MT Std"/>
          <w:color w:val="00AF3D"/>
          <w:spacing w:val="-5"/>
          <w:sz w:val="48"/>
          <w:szCs w:val="48"/>
        </w:rPr>
      </w:pPr>
      <w:bookmarkStart w:id="27" w:name="_Toc6305158"/>
      <w:r>
        <w:br w:type="page"/>
      </w:r>
    </w:p>
    <w:p w14:paraId="0011EECE" w14:textId="329A26F3" w:rsidR="00060D1C" w:rsidRPr="000B1685" w:rsidRDefault="00060D1C" w:rsidP="00B60129">
      <w:pPr>
        <w:pStyle w:val="SectionTitleMainText"/>
      </w:pPr>
      <w:bookmarkStart w:id="28" w:name="_Toc6305159"/>
      <w:bookmarkEnd w:id="27"/>
      <w:r w:rsidRPr="000B1685">
        <w:lastRenderedPageBreak/>
        <w:t>Appendix A. Deriving the Fiscal Impact Measure</w:t>
      </w:r>
      <w:bookmarkEnd w:id="28"/>
    </w:p>
    <w:p w14:paraId="4B02F488" w14:textId="77777777" w:rsidR="00060D1C" w:rsidRPr="000B1685" w:rsidRDefault="00060D1C" w:rsidP="00B60129">
      <w:pPr>
        <w:pStyle w:val="RegularBodyTextMainText"/>
      </w:pPr>
      <w:bookmarkStart w:id="29" w:name="_GoBack"/>
      <w:r w:rsidRPr="000B1685">
        <w:t>The FIM is defined as the actual contributions of real government purchases and real consumption to GDP less the contributions that would have prevailed if real purchases, real taxes, and real transfers were growing with potential GDP.</w:t>
      </w:r>
    </w:p>
    <w:bookmarkEnd w:id="29"/>
    <w:p w14:paraId="4B6BD8E1" w14:textId="36AFDF6B" w:rsidR="00060D1C" w:rsidRPr="000B1685" w:rsidRDefault="00060D1C" w:rsidP="00B60129">
      <w:pPr>
        <w:pStyle w:val="RegularBodyTextMainText"/>
      </w:pPr>
      <w:r w:rsidRPr="000B1685">
        <w:tab/>
        <w:t xml:space="preserve">Define </w:t>
      </w:r>
      <w:proofErr w:type="spellStart"/>
      <w:r w:rsidRPr="000B1685">
        <w:t>G</w:t>
      </w:r>
      <w:r w:rsidR="00C82377">
        <w:t xml:space="preserve"> </w:t>
      </w:r>
      <w:r w:rsidRPr="000B1685">
        <w:t>as</w:t>
      </w:r>
      <w:proofErr w:type="spellEnd"/>
      <w:r w:rsidRPr="000B1685">
        <w:t xml:space="preserve"> nominal government purchases, π</w:t>
      </w:r>
      <w:r w:rsidRPr="000B1685">
        <w:rPr>
          <w:vertAlign w:val="subscript"/>
        </w:rPr>
        <w:t xml:space="preserve">G </w:t>
      </w:r>
      <w:r w:rsidRPr="000B1685">
        <w:t>as the inflation rate for government purchases, C as nominal consumption, T as nominal taxes, TR as nominal transfers, π</w:t>
      </w:r>
      <w:r w:rsidRPr="000B1685">
        <w:rPr>
          <w:vertAlign w:val="subscript"/>
        </w:rPr>
        <w:t xml:space="preserve">C </w:t>
      </w:r>
      <w:r w:rsidRPr="000B1685">
        <w:t>as the inflation rate for personal consumption expenditures (PCE), Y as nominal GDP, and µ as real potential output growth. Then the FIM is calculated as follows:</w:t>
      </w:r>
    </w:p>
    <w:p w14:paraId="036BFE31" w14:textId="77777777" w:rsidR="00060D1C" w:rsidRPr="000B1685" w:rsidRDefault="00060D1C" w:rsidP="00B60129">
      <w:pPr>
        <w:pStyle w:val="Heading2MainText"/>
      </w:pPr>
      <w:bookmarkStart w:id="30" w:name="_Toc6305160"/>
      <w:r w:rsidRPr="000B1685">
        <w:t>Purchases</w:t>
      </w:r>
      <w:bookmarkEnd w:id="30"/>
    </w:p>
    <w:p w14:paraId="61035818" w14:textId="77777777" w:rsidR="00060D1C" w:rsidRPr="000B1685" w:rsidRDefault="00060D1C" w:rsidP="00B60129">
      <w:pPr>
        <w:pStyle w:val="RegularBodyTextMainText"/>
      </w:pPr>
      <w:r w:rsidRPr="000B1685">
        <w:t xml:space="preserve">The contribution of real purchases to GDP is just the growth rate of real government purchases times the share of government in GDP: </w:t>
      </w:r>
      <w:bookmarkStart w:id="31" w:name="_Hlk4690484"/>
    </w:p>
    <w:p w14:paraId="585776B2" w14:textId="77777777" w:rsidR="00060D1C" w:rsidRPr="000B1685" w:rsidRDefault="001115F1" w:rsidP="00060D1C">
      <w:pPr>
        <w:rPr>
          <w:rFonts w:eastAsiaTheme="minorEastAsia"/>
          <w:szCs w:val="24"/>
        </w:rPr>
      </w:pPr>
      <m:oMathPara>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den>
              </m:f>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G</m:t>
                  </m:r>
                </m:sub>
              </m:sSub>
              <m:r>
                <w:rPr>
                  <w:rFonts w:ascii="Cambria Math" w:hAnsi="Cambria Math"/>
                  <w:szCs w:val="24"/>
                </w:rPr>
                <m:t>)</m:t>
              </m:r>
            </m:e>
          </m:d>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oMath>
      </m:oMathPara>
    </w:p>
    <w:bookmarkEnd w:id="31"/>
    <w:p w14:paraId="2E716CAC" w14:textId="77777777" w:rsidR="00060D1C" w:rsidRPr="000B1685" w:rsidRDefault="00060D1C" w:rsidP="00B60129">
      <w:pPr>
        <w:pStyle w:val="RegularBodyTextMainText"/>
      </w:pPr>
      <w:r w:rsidRPr="000B1685">
        <w:t>The counterfactual contribution of real government purchases under the assumption that real government spending rises with potential GDP is just</w:t>
      </w:r>
    </w:p>
    <w:p w14:paraId="5062CC70" w14:textId="77777777" w:rsidR="00060D1C" w:rsidRPr="000B1685" w:rsidRDefault="00060D1C" w:rsidP="00060D1C">
      <w:pPr>
        <w:rPr>
          <w:rFonts w:eastAsiaTheme="minorEastAsia"/>
          <w:szCs w:val="24"/>
        </w:rPr>
      </w:pPr>
      <m:oMathPara>
        <m:oMath>
          <m:r>
            <w:rPr>
              <w:rFonts w:ascii="Cambria Math" w:hAnsi="Cambria Math"/>
              <w:szCs w:val="24"/>
            </w:rPr>
            <m:t>μ</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oMath>
      </m:oMathPara>
    </w:p>
    <w:p w14:paraId="7949C93D" w14:textId="77777777" w:rsidR="00060D1C" w:rsidRPr="000B1685" w:rsidRDefault="00060D1C" w:rsidP="00B60129">
      <w:pPr>
        <w:pStyle w:val="RegularBodyTextMainText"/>
      </w:pPr>
      <w:r w:rsidRPr="000B1685">
        <w:t>Thus, the FIM for purchases is defined as</w:t>
      </w:r>
    </w:p>
    <w:p w14:paraId="1EBA2039" w14:textId="77777777" w:rsidR="00060D1C" w:rsidRPr="000B1685" w:rsidRDefault="001115F1" w:rsidP="00060D1C">
      <w:pPr>
        <w:rPr>
          <w:rFonts w:eastAsiaTheme="minorEastAsia"/>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G</m:t>
                  </m:r>
                </m:sub>
              </m:sSub>
              <m:r>
                <w:rPr>
                  <w:rFonts w:ascii="Cambria Math" w:hAnsi="Cambria Math"/>
                  <w:szCs w:val="24"/>
                </w:rPr>
                <m:t>+μ)</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oMath>
      </m:oMathPara>
    </w:p>
    <w:p w14:paraId="6572F64F" w14:textId="77777777" w:rsidR="00060D1C" w:rsidRPr="000B1685" w:rsidRDefault="00060D1C" w:rsidP="00B60129">
      <w:pPr>
        <w:pStyle w:val="Heading2MainText"/>
        <w:rPr>
          <w:rFonts w:eastAsiaTheme="minorEastAsia"/>
        </w:rPr>
      </w:pPr>
      <w:bookmarkStart w:id="32" w:name="_Toc6305161"/>
      <w:r w:rsidRPr="000B1685">
        <w:rPr>
          <w:rFonts w:eastAsiaTheme="minorEastAsia"/>
        </w:rPr>
        <w:t>Taxes and Transfers</w:t>
      </w:r>
      <w:bookmarkEnd w:id="32"/>
      <w:r w:rsidRPr="000B1685">
        <w:rPr>
          <w:rFonts w:eastAsiaTheme="minorEastAsia"/>
        </w:rPr>
        <w:t xml:space="preserve"> </w:t>
      </w:r>
    </w:p>
    <w:p w14:paraId="0660191B" w14:textId="77777777" w:rsidR="00060D1C" w:rsidRPr="000B1685" w:rsidRDefault="00060D1C" w:rsidP="00B60129">
      <w:pPr>
        <w:pStyle w:val="RegularBodyTextMainText"/>
      </w:pPr>
      <w:r w:rsidRPr="000B1685">
        <w:t>The contribution of real consumption to GDP is just the growth rate of real consumption times the share of consumption in GDP:</w:t>
      </w:r>
    </w:p>
    <w:p w14:paraId="2FAFE392" w14:textId="77777777" w:rsidR="00060D1C" w:rsidRPr="000B1685" w:rsidRDefault="001115F1" w:rsidP="00060D1C">
      <w:pPr>
        <w:rPr>
          <w:rFonts w:eastAsiaTheme="minorEastAsia"/>
          <w:szCs w:val="24"/>
        </w:rPr>
      </w:pPr>
      <m:oMathPara>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den>
              </m:f>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r>
                <w:rPr>
                  <w:rFonts w:ascii="Cambria Math" w:hAnsi="Cambria Math"/>
                  <w:szCs w:val="24"/>
                </w:rPr>
                <m:t>)</m:t>
              </m:r>
            </m:e>
          </m:d>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oMath>
      </m:oMathPara>
    </w:p>
    <w:p w14:paraId="09BA2BD0" w14:textId="77777777" w:rsidR="00060D1C" w:rsidRPr="000B1685" w:rsidRDefault="00060D1C" w:rsidP="00B60129">
      <w:pPr>
        <w:pStyle w:val="RegularBodyTextMainText"/>
        <w:rPr>
          <w:rFonts w:eastAsiaTheme="minorEastAsia"/>
        </w:rPr>
      </w:pPr>
      <w:r w:rsidRPr="000B1685">
        <w:rPr>
          <w:rFonts w:eastAsiaTheme="minorEastAsia"/>
        </w:rPr>
        <w:tab/>
        <w:t xml:space="preserve">Under the counterfactual, net taxes (taxes less transfers) would be rising with potential GDP: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t</m:t>
            </m:r>
          </m:sub>
        </m:sSub>
      </m:oMath>
      <w:r w:rsidRPr="000B1685">
        <w:rPr>
          <w:rFonts w:eastAsiaTheme="minorEastAsia"/>
        </w:rPr>
        <w:t xml:space="preserve"> denoting the counterfactual net taxes,</w:t>
      </w:r>
      <m:oMath>
        <m:r>
          <m:rPr>
            <m:sty m:val="p"/>
          </m:rPr>
          <w:rPr>
            <w:rFonts w:ascii="Cambria Math" w:hAnsi="Cambria Math"/>
          </w:rPr>
          <w:br/>
        </m:r>
      </m:oMath>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t-1</m:t>
                      </m:r>
                    </m:sub>
                  </m:sSub>
                </m:den>
              </m:f>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e>
          </m:d>
          <m:r>
            <w:rPr>
              <w:rFonts w:ascii="Cambria Math" w:hAnsi="Cambria Math"/>
            </w:rPr>
            <m:t>= μ</m:t>
          </m:r>
        </m:oMath>
      </m:oMathPara>
    </w:p>
    <w:p w14:paraId="462F80E3" w14:textId="77777777" w:rsidR="00060D1C" w:rsidRPr="000B1685" w:rsidRDefault="00060D1C" w:rsidP="00B60129">
      <w:pPr>
        <w:pStyle w:val="RegularBodyTextMainText"/>
        <w:rPr>
          <w:rFonts w:eastAsiaTheme="minorEastAsia"/>
        </w:rPr>
      </w:pPr>
      <w:r w:rsidRPr="000B1685">
        <w:rPr>
          <w:rFonts w:eastAsiaTheme="minorEastAsia"/>
        </w:rPr>
        <w:t>So</w:t>
      </w:r>
    </w:p>
    <w:p w14:paraId="27705264" w14:textId="77777777" w:rsidR="00060D1C" w:rsidRPr="000B1685" w:rsidRDefault="001115F1" w:rsidP="00060D1C">
      <w:pPr>
        <w:jc w:val="center"/>
        <w:rPr>
          <w:rFonts w:eastAsiaTheme="minorEastAsia"/>
          <w:szCs w:val="24"/>
        </w:rPr>
      </w:pPr>
      <m:oMathPara>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T</m:t>
                  </m:r>
                </m:e>
              </m:acc>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t-1</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r>
            <w:rPr>
              <w:rFonts w:ascii="Cambria Math" w:hAnsi="Cambria Math"/>
              <w:szCs w:val="24"/>
            </w:rPr>
            <m:t>+ μ)</m:t>
          </m:r>
        </m:oMath>
      </m:oMathPara>
    </w:p>
    <w:p w14:paraId="1B159C93" w14:textId="77777777" w:rsidR="00060D1C" w:rsidRPr="000B1685" w:rsidRDefault="00060D1C" w:rsidP="00B60129">
      <w:pPr>
        <w:pStyle w:val="RegularBodyTextMainText"/>
      </w:pPr>
      <w:r w:rsidRPr="000B1685">
        <w:tab/>
        <w:t>The fiscal impact of changes in taxes and transfers is measured as the change in the contribution of consumption to real GDP growth given actual net taxes less the contribution that would have occurred had net taxes been rising with potential GDP.</w:t>
      </w:r>
    </w:p>
    <w:p w14:paraId="27246981" w14:textId="58984E1D" w:rsidR="00060D1C" w:rsidRPr="000B1685" w:rsidRDefault="001115F1" w:rsidP="00060D1C">
      <w:pPr>
        <w:ind w:left="720" w:hanging="720"/>
        <w:rPr>
          <w:rFonts w:eastAsiaTheme="minorEastAsia"/>
          <w:szCs w:val="24"/>
        </w:rPr>
      </w:pPr>
      <m:oMathPara>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den>
              </m:f>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e>
              </m:d>
            </m:e>
          </m:d>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i=t-n</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MPC</m:t>
                          </m:r>
                        </m:e>
                        <m:sub>
                          <m:r>
                            <w:rPr>
                              <w:rFonts w:ascii="Cambria Math" w:hAnsi="Cambria Math"/>
                              <w:szCs w:val="24"/>
                            </w:rPr>
                            <m:t>i</m:t>
                          </m:r>
                        </m:sub>
                      </m:sSub>
                    </m:e>
                  </m:nary>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t</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T</m:t>
                              </m:r>
                            </m:e>
                          </m:acc>
                        </m:e>
                        <m:sub>
                          <m:r>
                            <w:rPr>
                              <w:rFonts w:ascii="Cambria Math" w:hAnsi="Cambria Math"/>
                              <w:szCs w:val="24"/>
                            </w:rPr>
                            <m:t>t</m:t>
                          </m:r>
                        </m:sub>
                      </m:sSub>
                    </m:e>
                  </m:d>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den>
              </m:f>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e>
              </m:d>
            </m:e>
          </m:d>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oMath>
      </m:oMathPara>
    </w:p>
    <w:p w14:paraId="3AF032E2" w14:textId="77777777" w:rsidR="00060D1C" w:rsidRPr="000B1685" w:rsidRDefault="00060D1C" w:rsidP="00060D1C">
      <w:pPr>
        <w:ind w:left="720" w:hanging="720"/>
        <w:rPr>
          <w:rFonts w:eastAsiaTheme="minorEastAsia"/>
          <w:szCs w:val="24"/>
        </w:rPr>
      </w:pPr>
    </w:p>
    <w:p w14:paraId="2BDCEAB5" w14:textId="17709AB4" w:rsidR="00060D1C" w:rsidRPr="000B1685" w:rsidRDefault="00060D1C" w:rsidP="00060D1C">
      <w:pPr>
        <w:ind w:left="720" w:hanging="720"/>
        <w:rPr>
          <w:rFonts w:eastAsiaTheme="minorEastAsia"/>
          <w:szCs w:val="24"/>
        </w:rPr>
      </w:pPr>
      <m:oMathPara>
        <m:oMath>
          <m:r>
            <w:rPr>
              <w:rFonts w:ascii="Cambria Math" w:hAnsi="Cambria Math"/>
              <w:szCs w:val="24"/>
            </w:rPr>
            <m:t xml:space="preserve">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i=t-n</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MPC</m:t>
                      </m:r>
                    </m:e>
                    <m:sub>
                      <m:r>
                        <w:rPr>
                          <w:rFonts w:ascii="Cambria Math" w:hAnsi="Cambria Math"/>
                          <w:szCs w:val="24"/>
                        </w:rPr>
                        <m:t>i</m:t>
                      </m:r>
                    </m:sub>
                  </m:sSub>
                </m:e>
              </m:nary>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t</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T</m:t>
                      </m:r>
                    </m:e>
                  </m:acc>
                </m:e>
                <m:sub>
                  <m:r>
                    <w:rPr>
                      <w:rFonts w:ascii="Cambria Math" w:hAnsi="Cambria Math"/>
                      <w:szCs w:val="24"/>
                    </w:rPr>
                    <m:t>t</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i=t-n</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MPC</m:t>
                      </m:r>
                    </m:e>
                    <m:sub>
                      <m:r>
                        <w:rPr>
                          <w:rFonts w:ascii="Cambria Math" w:hAnsi="Cambria Math"/>
                          <w:szCs w:val="24"/>
                        </w:rPr>
                        <m:t>i</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t-1</m:t>
                  </m:r>
                </m:sub>
              </m:sSub>
              <m:r>
                <w:rPr>
                  <w:rFonts w:ascii="Cambria Math" w:hAnsi="Cambria Math"/>
                  <w:szCs w:val="24"/>
                </w:rPr>
                <m:t>( 1+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r>
                <w:rPr>
                  <w:rFonts w:ascii="Cambria Math" w:hAnsi="Cambria Math"/>
                  <w:szCs w:val="24"/>
                </w:rPr>
                <m:t>+μ))</m:t>
              </m:r>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r>
            <w:rPr>
              <w:rFonts w:ascii="Cambria Math" w:hAnsi="Cambria Math"/>
              <w:szCs w:val="24"/>
            </w:rPr>
            <m:t xml:space="preserve"> </m:t>
          </m:r>
        </m:oMath>
      </m:oMathPara>
    </w:p>
    <w:p w14:paraId="5524FD17" w14:textId="77777777" w:rsidR="00060D1C" w:rsidRPr="000B1685" w:rsidRDefault="00060D1C" w:rsidP="00060D1C">
      <w:pPr>
        <w:ind w:left="720" w:hanging="720"/>
        <w:rPr>
          <w:rFonts w:eastAsiaTheme="minorEastAsia"/>
          <w:szCs w:val="24"/>
        </w:rPr>
      </w:pPr>
    </w:p>
    <w:p w14:paraId="070E454F" w14:textId="77777777" w:rsidR="00060D1C" w:rsidRPr="000B1685" w:rsidRDefault="00060D1C" w:rsidP="00B60129">
      <w:pPr>
        <w:pStyle w:val="RegularBodyTextMainText"/>
        <w:rPr>
          <w:rFonts w:eastAsiaTheme="minorEastAsia"/>
        </w:rPr>
      </w:pPr>
      <w:r w:rsidRPr="000B1685">
        <w:rPr>
          <w:rFonts w:eastAsiaTheme="minorEastAsia"/>
        </w:rPr>
        <w:tab/>
        <w:t>Putting the two pieces together, the FIM is defined as</w:t>
      </w:r>
    </w:p>
    <w:p w14:paraId="49859508" w14:textId="4EF4D162" w:rsidR="00060D1C" w:rsidRPr="000B1685" w:rsidRDefault="00060D1C" w:rsidP="00060D1C">
      <w:pPr>
        <w:rPr>
          <w:rFonts w:eastAsiaTheme="minorEastAsia"/>
          <w:szCs w:val="24"/>
        </w:rPr>
      </w:pPr>
      <m:oMathPara>
        <m:oMath>
          <m:r>
            <w:rPr>
              <w:rFonts w:ascii="Cambria Math" w:hAnsi="Cambria Math"/>
              <w:szCs w:val="24"/>
            </w:rPr>
            <m:t xml:space="preserve">FIM=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t</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G</m:t>
                      </m:r>
                    </m:sub>
                  </m:sSub>
                  <m:r>
                    <w:rPr>
                      <w:rFonts w:ascii="Cambria Math" w:hAnsi="Cambria Math"/>
                      <w:szCs w:val="24"/>
                    </w:rPr>
                    <m:t>+μ</m:t>
                  </m:r>
                </m:e>
              </m:d>
              <m:sSub>
                <m:sSubPr>
                  <m:ctrlPr>
                    <w:rPr>
                      <w:rFonts w:ascii="Cambria Math" w:hAnsi="Cambria Math"/>
                      <w:i/>
                      <w:szCs w:val="24"/>
                    </w:rPr>
                  </m:ctrlPr>
                </m:sSubPr>
                <m:e>
                  <m:r>
                    <w:rPr>
                      <w:rFonts w:ascii="Cambria Math" w:hAnsi="Cambria Math"/>
                      <w:szCs w:val="24"/>
                    </w:rPr>
                    <m:t>G</m:t>
                  </m:r>
                </m:e>
                <m:sub>
                  <m:r>
                    <w:rPr>
                      <w:rFonts w:ascii="Cambria Math" w:hAnsi="Cambria Math"/>
                      <w:szCs w:val="24"/>
                    </w:rPr>
                    <m:t>t-1</m:t>
                  </m:r>
                </m:sub>
              </m:sSub>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i=t-n</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MPC</m:t>
                      </m:r>
                    </m:e>
                    <m:sub>
                      <m:r>
                        <w:rPr>
                          <w:rFonts w:ascii="Cambria Math" w:hAnsi="Cambria Math"/>
                          <w:szCs w:val="24"/>
                        </w:rPr>
                        <m:t>i</m:t>
                      </m:r>
                    </m:sub>
                  </m:sSub>
                </m:e>
              </m:nary>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t</m:t>
                      </m:r>
                    </m:sub>
                  </m:sSub>
                  <m:r>
                    <w:rPr>
                      <w:rFonts w:ascii="Cambria Math" w:hAnsi="Cambria Math"/>
                      <w:szCs w:val="24"/>
                    </w:rPr>
                    <m:t>-T</m:t>
                  </m:r>
                </m:e>
                <m:sub>
                  <m:r>
                    <w:rPr>
                      <w:rFonts w:ascii="Cambria Math" w:hAnsi="Cambria Math"/>
                      <w:szCs w:val="24"/>
                    </w:rPr>
                    <m:t>t-1</m:t>
                  </m:r>
                </m:sub>
              </m:sSub>
              <m:r>
                <w:rPr>
                  <w:rFonts w:ascii="Cambria Math" w:hAnsi="Cambria Math"/>
                  <w:szCs w:val="24"/>
                </w:rPr>
                <m:t>( 1+</m:t>
              </m:r>
              <m:sSub>
                <m:sSubPr>
                  <m:ctrlPr>
                    <w:rPr>
                      <w:rFonts w:ascii="Cambria Math" w:hAnsi="Cambria Math"/>
                      <w:i/>
                      <w:szCs w:val="24"/>
                    </w:rPr>
                  </m:ctrlPr>
                </m:sSubPr>
                <m:e>
                  <m:r>
                    <w:rPr>
                      <w:rFonts w:ascii="Cambria Math" w:hAnsi="Cambria Math"/>
                      <w:szCs w:val="24"/>
                    </w:rPr>
                    <m:t>π</m:t>
                  </m:r>
                </m:e>
                <m:sub>
                  <m:r>
                    <w:rPr>
                      <w:rFonts w:ascii="Cambria Math" w:hAnsi="Cambria Math"/>
                      <w:szCs w:val="24"/>
                    </w:rPr>
                    <m:t>C</m:t>
                  </m:r>
                </m:sub>
              </m:sSub>
              <m:r>
                <w:rPr>
                  <w:rFonts w:ascii="Cambria Math" w:hAnsi="Cambria Math"/>
                  <w:szCs w:val="24"/>
                </w:rPr>
                <m:t>+ μ))</m:t>
              </m:r>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t-1</m:t>
                  </m:r>
                </m:sub>
              </m:sSub>
            </m:den>
          </m:f>
        </m:oMath>
      </m:oMathPara>
    </w:p>
    <w:p w14:paraId="24B329A0" w14:textId="211182E2" w:rsidR="00060D1C" w:rsidRPr="000B1685" w:rsidRDefault="00060D1C" w:rsidP="00B60129">
      <w:pPr>
        <w:pStyle w:val="Heading2MainText"/>
      </w:pPr>
      <w:bookmarkStart w:id="33" w:name="_Toc6305162"/>
      <w:r w:rsidRPr="000B1685">
        <w:t>Assumed Marginal Propensities to Consume</w:t>
      </w:r>
      <w:bookmarkEnd w:id="33"/>
    </w:p>
    <w:p w14:paraId="1AA9BADB" w14:textId="7733732A" w:rsidR="00060D1C" w:rsidRPr="000B1685" w:rsidRDefault="00060D1C" w:rsidP="00B60129">
      <w:pPr>
        <w:pStyle w:val="RegularBodyTextMainText"/>
      </w:pPr>
      <w:r w:rsidRPr="000B1685">
        <w:t>Cashin et al. (2018) summarize the long literature on marginal propensities to consume (MPCs), and assign an MPC of 0.5 to temporary changes in individual taxes and transfers, and an MPC of 0.7 to permanent changes. Because we do not track temporary versus permanent, we take a simple average and use 0.6 as our MPC. For transfers, we assume that the MPC is 0.9, reflecting the fact that some transfers—like Medicare and Medicaid—are likely to increase spending one for one, and others, like temporary changes in unemployment benefits, are received by liquidity-constrained households that are likely to spend most of their benefits. The MPC out of a corporate tax cut is much smaller, since most corporate equity is held by high-income individuals and pension plans, who are less likely to be liquidity constrained. Part of the effect may also be viewed as a responsiveness of investment to corporate tax changes. Cashin et al. (2018) note that changes in MPC do not have a large effect on their fiscal stance measure. Our assumptions are in table A-1.</w:t>
      </w:r>
    </w:p>
    <w:p w14:paraId="212D50B9" w14:textId="77777777" w:rsidR="00B60129" w:rsidRDefault="00060D1C" w:rsidP="00B60129">
      <w:pPr>
        <w:pStyle w:val="FigureTableBoxNumberFiguresTablesBoxes"/>
      </w:pPr>
      <w:bookmarkStart w:id="34" w:name="_Toc6305163"/>
      <w:r w:rsidRPr="000B1685">
        <w:t xml:space="preserve">Table A-1. </w:t>
      </w:r>
    </w:p>
    <w:p w14:paraId="40D63B56" w14:textId="18982E1A" w:rsidR="00060D1C" w:rsidRPr="000B1685" w:rsidRDefault="00060D1C" w:rsidP="00B60129">
      <w:pPr>
        <w:pStyle w:val="FigureTableBoxTitleFiguresTablesBoxes"/>
      </w:pPr>
      <w:r w:rsidRPr="000B1685">
        <w:t>Assumed Marginal Propensities to Consume</w:t>
      </w:r>
      <w:bookmarkEnd w:id="34"/>
    </w:p>
    <w:tbl>
      <w:tblPr>
        <w:tblStyle w:val="TableGrid"/>
        <w:tblW w:w="0" w:type="auto"/>
        <w:tblLook w:val="04A0" w:firstRow="1" w:lastRow="0" w:firstColumn="1" w:lastColumn="0" w:noHBand="0" w:noVBand="1"/>
      </w:tblPr>
      <w:tblGrid>
        <w:gridCol w:w="2425"/>
        <w:gridCol w:w="1350"/>
        <w:gridCol w:w="1201"/>
        <w:gridCol w:w="1559"/>
        <w:gridCol w:w="1345"/>
        <w:gridCol w:w="1470"/>
      </w:tblGrid>
      <w:tr w:rsidR="00060D1C" w:rsidRPr="000B1685" w14:paraId="5D436767" w14:textId="77777777" w:rsidTr="009F7FAD">
        <w:tc>
          <w:tcPr>
            <w:tcW w:w="9350" w:type="dxa"/>
            <w:gridSpan w:val="6"/>
          </w:tcPr>
          <w:p w14:paraId="75AF32F9" w14:textId="77777777" w:rsidR="00060D1C" w:rsidRPr="000B1685" w:rsidRDefault="00060D1C" w:rsidP="009F7FAD">
            <w:pPr>
              <w:rPr>
                <w:rFonts w:cs="Times New Roman"/>
                <w:szCs w:val="24"/>
              </w:rPr>
            </w:pPr>
            <w:r w:rsidRPr="000B1685">
              <w:rPr>
                <w:rFonts w:cs="Times New Roman"/>
                <w:szCs w:val="24"/>
              </w:rPr>
              <w:t>Assumed MPCs</w:t>
            </w:r>
          </w:p>
        </w:tc>
      </w:tr>
      <w:tr w:rsidR="00060D1C" w:rsidRPr="000B1685" w14:paraId="5C50D5F9" w14:textId="77777777" w:rsidTr="009F7FAD">
        <w:tc>
          <w:tcPr>
            <w:tcW w:w="2425" w:type="dxa"/>
          </w:tcPr>
          <w:p w14:paraId="7DE2B873" w14:textId="77777777" w:rsidR="00060D1C" w:rsidRPr="000B1685" w:rsidRDefault="00060D1C" w:rsidP="009F7FAD">
            <w:pPr>
              <w:rPr>
                <w:rFonts w:cs="Times New Roman"/>
                <w:szCs w:val="24"/>
              </w:rPr>
            </w:pPr>
          </w:p>
        </w:tc>
        <w:tc>
          <w:tcPr>
            <w:tcW w:w="1350" w:type="dxa"/>
            <w:shd w:val="clear" w:color="auto" w:fill="E7E6E6" w:themeFill="background2"/>
          </w:tcPr>
          <w:p w14:paraId="728DF8B8" w14:textId="0CCFF597" w:rsidR="00060D1C" w:rsidRPr="000B1685" w:rsidRDefault="00060D1C" w:rsidP="009F7FAD">
            <w:pPr>
              <w:rPr>
                <w:rFonts w:cs="Times New Roman"/>
                <w:szCs w:val="24"/>
              </w:rPr>
            </w:pPr>
            <w:r w:rsidRPr="000B1685">
              <w:rPr>
                <w:rFonts w:cs="Times New Roman"/>
                <w:szCs w:val="24"/>
              </w:rPr>
              <w:t>Total</w:t>
            </w:r>
            <w:r>
              <w:rPr>
                <w:rFonts w:cs="Times New Roman"/>
                <w:szCs w:val="24"/>
              </w:rPr>
              <w:t xml:space="preserve"> </w:t>
            </w:r>
            <w:r w:rsidRPr="000B1685">
              <w:rPr>
                <w:rFonts w:cs="Times New Roman"/>
                <w:szCs w:val="24"/>
              </w:rPr>
              <w:t>MPC</w:t>
            </w:r>
          </w:p>
        </w:tc>
        <w:tc>
          <w:tcPr>
            <w:tcW w:w="1201" w:type="dxa"/>
          </w:tcPr>
          <w:p w14:paraId="4B8B9C0F" w14:textId="455E5495" w:rsidR="00060D1C" w:rsidRPr="000B1685" w:rsidRDefault="00060D1C" w:rsidP="009F7FAD">
            <w:pPr>
              <w:rPr>
                <w:rFonts w:cs="Times New Roman"/>
                <w:szCs w:val="24"/>
              </w:rPr>
            </w:pPr>
            <w:r>
              <w:rPr>
                <w:rFonts w:cs="Times New Roman"/>
                <w:szCs w:val="24"/>
              </w:rPr>
              <w:t>Q</w:t>
            </w:r>
            <w:r w:rsidRPr="000B1685">
              <w:rPr>
                <w:rFonts w:cs="Times New Roman"/>
                <w:szCs w:val="24"/>
              </w:rPr>
              <w:t>1</w:t>
            </w:r>
            <w:r>
              <w:rPr>
                <w:rFonts w:cs="Times New Roman"/>
                <w:szCs w:val="24"/>
              </w:rPr>
              <w:t>–Q</w:t>
            </w:r>
            <w:r w:rsidRPr="000B1685">
              <w:rPr>
                <w:rFonts w:cs="Times New Roman"/>
                <w:szCs w:val="24"/>
              </w:rPr>
              <w:t>2</w:t>
            </w:r>
          </w:p>
        </w:tc>
        <w:tc>
          <w:tcPr>
            <w:tcW w:w="1559" w:type="dxa"/>
          </w:tcPr>
          <w:p w14:paraId="45EED6F9" w14:textId="7792DF10" w:rsidR="00060D1C" w:rsidRPr="000B1685" w:rsidRDefault="00060D1C" w:rsidP="009F7FAD">
            <w:pPr>
              <w:rPr>
                <w:rFonts w:cs="Times New Roman"/>
                <w:szCs w:val="24"/>
              </w:rPr>
            </w:pPr>
            <w:r w:rsidRPr="000B1685">
              <w:rPr>
                <w:rFonts w:cs="Times New Roman"/>
                <w:szCs w:val="24"/>
              </w:rPr>
              <w:t>Q3</w:t>
            </w:r>
            <w:r>
              <w:rPr>
                <w:rFonts w:cs="Times New Roman"/>
                <w:szCs w:val="24"/>
              </w:rPr>
              <w:t>–Q</w:t>
            </w:r>
            <w:r w:rsidRPr="000B1685">
              <w:rPr>
                <w:rFonts w:cs="Times New Roman"/>
                <w:szCs w:val="24"/>
              </w:rPr>
              <w:t>4</w:t>
            </w:r>
          </w:p>
        </w:tc>
        <w:tc>
          <w:tcPr>
            <w:tcW w:w="1345" w:type="dxa"/>
          </w:tcPr>
          <w:p w14:paraId="76B9DB08" w14:textId="6A58F4A6" w:rsidR="00060D1C" w:rsidRPr="000B1685" w:rsidRDefault="00060D1C" w:rsidP="009F7FAD">
            <w:pPr>
              <w:rPr>
                <w:rFonts w:cs="Times New Roman"/>
                <w:szCs w:val="24"/>
              </w:rPr>
            </w:pPr>
            <w:r w:rsidRPr="000B1685">
              <w:rPr>
                <w:rFonts w:cs="Times New Roman"/>
                <w:szCs w:val="24"/>
              </w:rPr>
              <w:t>Q5</w:t>
            </w:r>
            <w:r>
              <w:rPr>
                <w:rFonts w:cs="Times New Roman"/>
                <w:szCs w:val="24"/>
              </w:rPr>
              <w:t>–Q</w:t>
            </w:r>
            <w:r w:rsidRPr="000B1685">
              <w:rPr>
                <w:rFonts w:cs="Times New Roman"/>
                <w:szCs w:val="24"/>
              </w:rPr>
              <w:t>8</w:t>
            </w:r>
          </w:p>
        </w:tc>
        <w:tc>
          <w:tcPr>
            <w:tcW w:w="1470" w:type="dxa"/>
          </w:tcPr>
          <w:p w14:paraId="5314B42C" w14:textId="4DAB7195" w:rsidR="00060D1C" w:rsidRPr="000B1685" w:rsidRDefault="00060D1C" w:rsidP="009F7FAD">
            <w:pPr>
              <w:rPr>
                <w:rFonts w:cs="Times New Roman"/>
                <w:szCs w:val="24"/>
              </w:rPr>
            </w:pPr>
            <w:r w:rsidRPr="000B1685">
              <w:rPr>
                <w:rFonts w:cs="Times New Roman"/>
                <w:szCs w:val="24"/>
              </w:rPr>
              <w:t>Q9</w:t>
            </w:r>
            <w:r>
              <w:rPr>
                <w:rFonts w:cs="Times New Roman"/>
                <w:szCs w:val="24"/>
              </w:rPr>
              <w:t>–Q</w:t>
            </w:r>
            <w:r w:rsidRPr="000B1685">
              <w:rPr>
                <w:rFonts w:cs="Times New Roman"/>
                <w:szCs w:val="24"/>
              </w:rPr>
              <w:t>12</w:t>
            </w:r>
          </w:p>
        </w:tc>
      </w:tr>
      <w:tr w:rsidR="00060D1C" w:rsidRPr="000B1685" w14:paraId="67A10ADD" w14:textId="77777777" w:rsidTr="009F7FAD">
        <w:tc>
          <w:tcPr>
            <w:tcW w:w="2425" w:type="dxa"/>
          </w:tcPr>
          <w:p w14:paraId="242D9111" w14:textId="77777777" w:rsidR="00060D1C" w:rsidRPr="000B1685" w:rsidRDefault="00060D1C" w:rsidP="009F7FAD">
            <w:pPr>
              <w:rPr>
                <w:rFonts w:cs="Times New Roman"/>
                <w:szCs w:val="24"/>
              </w:rPr>
            </w:pPr>
            <w:r w:rsidRPr="000B1685">
              <w:rPr>
                <w:rFonts w:cs="Times New Roman"/>
                <w:szCs w:val="24"/>
              </w:rPr>
              <w:t>Government Purchases</w:t>
            </w:r>
          </w:p>
        </w:tc>
        <w:tc>
          <w:tcPr>
            <w:tcW w:w="1350" w:type="dxa"/>
            <w:shd w:val="clear" w:color="auto" w:fill="E7E6E6" w:themeFill="background2"/>
          </w:tcPr>
          <w:p w14:paraId="03230A54" w14:textId="77777777" w:rsidR="00060D1C" w:rsidRPr="000B1685" w:rsidRDefault="00060D1C" w:rsidP="009F7FAD">
            <w:pPr>
              <w:rPr>
                <w:rFonts w:cs="Times New Roman"/>
                <w:szCs w:val="24"/>
              </w:rPr>
            </w:pPr>
            <w:r w:rsidRPr="000B1685">
              <w:rPr>
                <w:rFonts w:cs="Times New Roman"/>
                <w:szCs w:val="24"/>
              </w:rPr>
              <w:t>1</w:t>
            </w:r>
            <w:r>
              <w:rPr>
                <w:rFonts w:cs="Times New Roman"/>
                <w:szCs w:val="24"/>
              </w:rPr>
              <w:t>.0</w:t>
            </w:r>
          </w:p>
        </w:tc>
        <w:tc>
          <w:tcPr>
            <w:tcW w:w="1201" w:type="dxa"/>
          </w:tcPr>
          <w:p w14:paraId="724FE120" w14:textId="77777777" w:rsidR="00060D1C" w:rsidRPr="000B1685" w:rsidRDefault="00060D1C" w:rsidP="009F7FAD">
            <w:pPr>
              <w:rPr>
                <w:rFonts w:cs="Times New Roman"/>
                <w:szCs w:val="24"/>
              </w:rPr>
            </w:pPr>
            <w:r w:rsidRPr="000B1685">
              <w:rPr>
                <w:rFonts w:cs="Times New Roman"/>
                <w:szCs w:val="24"/>
              </w:rPr>
              <w:t>1</w:t>
            </w:r>
            <w:r>
              <w:rPr>
                <w:rFonts w:cs="Times New Roman"/>
                <w:szCs w:val="24"/>
              </w:rPr>
              <w:t>.0</w:t>
            </w:r>
          </w:p>
        </w:tc>
        <w:tc>
          <w:tcPr>
            <w:tcW w:w="1559" w:type="dxa"/>
          </w:tcPr>
          <w:p w14:paraId="7D7C73B2" w14:textId="77777777" w:rsidR="00060D1C" w:rsidRPr="000B1685" w:rsidRDefault="00060D1C" w:rsidP="009F7FAD">
            <w:pPr>
              <w:rPr>
                <w:rFonts w:cs="Times New Roman"/>
                <w:szCs w:val="24"/>
              </w:rPr>
            </w:pPr>
            <w:r w:rsidRPr="000B1685">
              <w:rPr>
                <w:rFonts w:cs="Times New Roman"/>
                <w:szCs w:val="24"/>
              </w:rPr>
              <w:t>0</w:t>
            </w:r>
          </w:p>
        </w:tc>
        <w:tc>
          <w:tcPr>
            <w:tcW w:w="1345" w:type="dxa"/>
          </w:tcPr>
          <w:p w14:paraId="2A6F7A29" w14:textId="77777777" w:rsidR="00060D1C" w:rsidRPr="000B1685" w:rsidRDefault="00060D1C" w:rsidP="009F7FAD">
            <w:pPr>
              <w:rPr>
                <w:rFonts w:cs="Times New Roman"/>
                <w:szCs w:val="24"/>
              </w:rPr>
            </w:pPr>
            <w:r w:rsidRPr="000B1685">
              <w:rPr>
                <w:rFonts w:cs="Times New Roman"/>
                <w:szCs w:val="24"/>
              </w:rPr>
              <w:t>0</w:t>
            </w:r>
          </w:p>
        </w:tc>
        <w:tc>
          <w:tcPr>
            <w:tcW w:w="1470" w:type="dxa"/>
          </w:tcPr>
          <w:p w14:paraId="11AE5289" w14:textId="77777777" w:rsidR="00060D1C" w:rsidRPr="000B1685" w:rsidRDefault="00060D1C" w:rsidP="009F7FAD">
            <w:pPr>
              <w:rPr>
                <w:rFonts w:cs="Times New Roman"/>
                <w:szCs w:val="24"/>
              </w:rPr>
            </w:pPr>
            <w:r w:rsidRPr="000B1685">
              <w:rPr>
                <w:rFonts w:cs="Times New Roman"/>
                <w:szCs w:val="24"/>
              </w:rPr>
              <w:t>0</w:t>
            </w:r>
          </w:p>
        </w:tc>
      </w:tr>
      <w:tr w:rsidR="00060D1C" w:rsidRPr="000B1685" w14:paraId="3EDBB5CF" w14:textId="77777777" w:rsidTr="009F7FAD">
        <w:tc>
          <w:tcPr>
            <w:tcW w:w="2425" w:type="dxa"/>
          </w:tcPr>
          <w:p w14:paraId="282AA9DC" w14:textId="77777777" w:rsidR="00060D1C" w:rsidRPr="000B1685" w:rsidRDefault="00060D1C" w:rsidP="009F7FAD">
            <w:pPr>
              <w:rPr>
                <w:rFonts w:cs="Times New Roman"/>
                <w:szCs w:val="24"/>
              </w:rPr>
            </w:pPr>
            <w:r w:rsidRPr="000B1685">
              <w:rPr>
                <w:rFonts w:cs="Times New Roman"/>
                <w:szCs w:val="24"/>
              </w:rPr>
              <w:t>Transfers</w:t>
            </w:r>
          </w:p>
        </w:tc>
        <w:tc>
          <w:tcPr>
            <w:tcW w:w="1350" w:type="dxa"/>
            <w:shd w:val="clear" w:color="auto" w:fill="E7E6E6" w:themeFill="background2"/>
          </w:tcPr>
          <w:p w14:paraId="07C33424" w14:textId="77777777" w:rsidR="00060D1C" w:rsidRPr="000B1685" w:rsidRDefault="00060D1C" w:rsidP="009F7FAD">
            <w:pPr>
              <w:rPr>
                <w:rFonts w:cs="Times New Roman"/>
                <w:szCs w:val="24"/>
              </w:rPr>
            </w:pPr>
            <w:r w:rsidRPr="000B1685">
              <w:rPr>
                <w:rFonts w:cs="Times New Roman"/>
                <w:szCs w:val="24"/>
              </w:rPr>
              <w:t>0.9</w:t>
            </w:r>
          </w:p>
        </w:tc>
        <w:tc>
          <w:tcPr>
            <w:tcW w:w="1201" w:type="dxa"/>
          </w:tcPr>
          <w:p w14:paraId="66B40D09" w14:textId="77777777" w:rsidR="00060D1C" w:rsidRPr="000B1685" w:rsidRDefault="00060D1C" w:rsidP="009F7FAD">
            <w:pPr>
              <w:rPr>
                <w:rFonts w:cs="Times New Roman"/>
                <w:szCs w:val="24"/>
              </w:rPr>
            </w:pPr>
            <w:r>
              <w:rPr>
                <w:rFonts w:cs="Times New Roman"/>
                <w:szCs w:val="24"/>
              </w:rPr>
              <w:t>0</w:t>
            </w:r>
            <w:r w:rsidRPr="000B1685">
              <w:rPr>
                <w:rFonts w:cs="Times New Roman"/>
                <w:szCs w:val="24"/>
              </w:rPr>
              <w:t>.225</w:t>
            </w:r>
          </w:p>
        </w:tc>
        <w:tc>
          <w:tcPr>
            <w:tcW w:w="1559" w:type="dxa"/>
          </w:tcPr>
          <w:p w14:paraId="246508CF" w14:textId="77777777" w:rsidR="00060D1C" w:rsidRPr="000B1685" w:rsidRDefault="00060D1C" w:rsidP="009F7FAD">
            <w:pPr>
              <w:rPr>
                <w:rFonts w:cs="Times New Roman"/>
                <w:szCs w:val="24"/>
              </w:rPr>
            </w:pPr>
            <w:r>
              <w:rPr>
                <w:rFonts w:cs="Times New Roman"/>
                <w:szCs w:val="24"/>
              </w:rPr>
              <w:t>0</w:t>
            </w:r>
            <w:r w:rsidRPr="000B1685">
              <w:rPr>
                <w:rFonts w:cs="Times New Roman"/>
                <w:szCs w:val="24"/>
              </w:rPr>
              <w:t>.225</w:t>
            </w:r>
          </w:p>
        </w:tc>
        <w:tc>
          <w:tcPr>
            <w:tcW w:w="1345" w:type="dxa"/>
          </w:tcPr>
          <w:p w14:paraId="530FAE50" w14:textId="77777777" w:rsidR="00060D1C" w:rsidRPr="000B1685" w:rsidRDefault="00060D1C" w:rsidP="009F7FAD">
            <w:pPr>
              <w:rPr>
                <w:rFonts w:cs="Times New Roman"/>
                <w:szCs w:val="24"/>
              </w:rPr>
            </w:pPr>
            <w:r w:rsidRPr="000B1685">
              <w:rPr>
                <w:rFonts w:cs="Times New Roman"/>
                <w:szCs w:val="24"/>
              </w:rPr>
              <w:t>0</w:t>
            </w:r>
          </w:p>
        </w:tc>
        <w:tc>
          <w:tcPr>
            <w:tcW w:w="1470" w:type="dxa"/>
          </w:tcPr>
          <w:p w14:paraId="1B9F06FC" w14:textId="77777777" w:rsidR="00060D1C" w:rsidRPr="000B1685" w:rsidRDefault="00060D1C" w:rsidP="009F7FAD">
            <w:pPr>
              <w:rPr>
                <w:rFonts w:cs="Times New Roman"/>
                <w:szCs w:val="24"/>
              </w:rPr>
            </w:pPr>
            <w:r w:rsidRPr="000B1685">
              <w:rPr>
                <w:rFonts w:cs="Times New Roman"/>
                <w:szCs w:val="24"/>
              </w:rPr>
              <w:t>0</w:t>
            </w:r>
          </w:p>
        </w:tc>
      </w:tr>
      <w:tr w:rsidR="00060D1C" w:rsidRPr="000B1685" w14:paraId="7098DFAC" w14:textId="77777777" w:rsidTr="009F7FAD">
        <w:tc>
          <w:tcPr>
            <w:tcW w:w="2425" w:type="dxa"/>
          </w:tcPr>
          <w:p w14:paraId="0DDA8BE3" w14:textId="77777777" w:rsidR="00060D1C" w:rsidRPr="000B1685" w:rsidRDefault="00060D1C" w:rsidP="009F7FAD">
            <w:pPr>
              <w:rPr>
                <w:rFonts w:cs="Times New Roman"/>
                <w:szCs w:val="24"/>
              </w:rPr>
            </w:pPr>
            <w:r w:rsidRPr="000B1685">
              <w:rPr>
                <w:rFonts w:cs="Times New Roman"/>
                <w:szCs w:val="24"/>
              </w:rPr>
              <w:t>Individual Taxes</w:t>
            </w:r>
          </w:p>
        </w:tc>
        <w:tc>
          <w:tcPr>
            <w:tcW w:w="1350" w:type="dxa"/>
            <w:shd w:val="clear" w:color="auto" w:fill="E7E6E6" w:themeFill="background2"/>
          </w:tcPr>
          <w:p w14:paraId="14353419" w14:textId="45313520" w:rsidR="00060D1C" w:rsidRPr="000B1685" w:rsidRDefault="00060D1C" w:rsidP="009F7FAD">
            <w:pPr>
              <w:rPr>
                <w:rFonts w:cs="Times New Roman"/>
                <w:szCs w:val="24"/>
              </w:rPr>
            </w:pPr>
            <w:r w:rsidRPr="000B1685">
              <w:rPr>
                <w:rFonts w:cs="Times New Roman"/>
                <w:szCs w:val="24"/>
              </w:rPr>
              <w:t>0.6</w:t>
            </w:r>
          </w:p>
        </w:tc>
        <w:tc>
          <w:tcPr>
            <w:tcW w:w="1201" w:type="dxa"/>
          </w:tcPr>
          <w:p w14:paraId="581C5223" w14:textId="0BCFD7DB" w:rsidR="00060D1C" w:rsidRPr="000B1685" w:rsidRDefault="00060D1C" w:rsidP="009F7FAD">
            <w:pPr>
              <w:rPr>
                <w:rFonts w:cs="Times New Roman"/>
                <w:szCs w:val="24"/>
              </w:rPr>
            </w:pPr>
            <w:r w:rsidRPr="000B1685">
              <w:rPr>
                <w:rFonts w:cs="Times New Roman"/>
                <w:szCs w:val="24"/>
              </w:rPr>
              <w:t>0.12</w:t>
            </w:r>
          </w:p>
        </w:tc>
        <w:tc>
          <w:tcPr>
            <w:tcW w:w="1559" w:type="dxa"/>
          </w:tcPr>
          <w:p w14:paraId="5187E540" w14:textId="3F98AE1F" w:rsidR="00060D1C" w:rsidRPr="000B1685" w:rsidRDefault="00060D1C" w:rsidP="009F7FAD">
            <w:pPr>
              <w:rPr>
                <w:rFonts w:cs="Times New Roman"/>
                <w:szCs w:val="24"/>
              </w:rPr>
            </w:pPr>
            <w:r w:rsidRPr="000B1685">
              <w:rPr>
                <w:rFonts w:cs="Times New Roman"/>
                <w:szCs w:val="24"/>
              </w:rPr>
              <w:t>0.06</w:t>
            </w:r>
          </w:p>
        </w:tc>
        <w:tc>
          <w:tcPr>
            <w:tcW w:w="1345" w:type="dxa"/>
          </w:tcPr>
          <w:p w14:paraId="6572AE9A" w14:textId="5F5CB2A0" w:rsidR="00060D1C" w:rsidRPr="000B1685" w:rsidRDefault="00060D1C" w:rsidP="009F7FAD">
            <w:pPr>
              <w:rPr>
                <w:rFonts w:cs="Times New Roman"/>
                <w:szCs w:val="24"/>
              </w:rPr>
            </w:pPr>
            <w:r w:rsidRPr="000B1685">
              <w:rPr>
                <w:rFonts w:cs="Times New Roman"/>
                <w:szCs w:val="24"/>
              </w:rPr>
              <w:t>0.06</w:t>
            </w:r>
          </w:p>
        </w:tc>
        <w:tc>
          <w:tcPr>
            <w:tcW w:w="1470" w:type="dxa"/>
          </w:tcPr>
          <w:p w14:paraId="7BA1286D" w14:textId="74E11711" w:rsidR="00EA282F" w:rsidRPr="000B1685" w:rsidRDefault="00EA282F" w:rsidP="009F7FAD">
            <w:pPr>
              <w:rPr>
                <w:rFonts w:cs="Times New Roman"/>
                <w:szCs w:val="24"/>
              </w:rPr>
            </w:pPr>
            <w:r>
              <w:rPr>
                <w:rFonts w:cs="Times New Roman"/>
                <w:szCs w:val="24"/>
              </w:rPr>
              <w:t>0</w:t>
            </w:r>
          </w:p>
        </w:tc>
      </w:tr>
      <w:tr w:rsidR="00060D1C" w:rsidRPr="000B1685" w14:paraId="1B5AC835" w14:textId="77777777" w:rsidTr="009F7FAD">
        <w:tc>
          <w:tcPr>
            <w:tcW w:w="2425" w:type="dxa"/>
          </w:tcPr>
          <w:p w14:paraId="33C9AFEA" w14:textId="77777777" w:rsidR="00060D1C" w:rsidRPr="000B1685" w:rsidRDefault="00060D1C" w:rsidP="009F7FAD">
            <w:pPr>
              <w:rPr>
                <w:rFonts w:cs="Times New Roman"/>
                <w:szCs w:val="24"/>
              </w:rPr>
            </w:pPr>
            <w:r w:rsidRPr="000B1685">
              <w:rPr>
                <w:rFonts w:cs="Times New Roman"/>
                <w:szCs w:val="24"/>
              </w:rPr>
              <w:t>Corporate Taxes</w:t>
            </w:r>
          </w:p>
        </w:tc>
        <w:tc>
          <w:tcPr>
            <w:tcW w:w="1350" w:type="dxa"/>
            <w:shd w:val="clear" w:color="auto" w:fill="E7E6E6" w:themeFill="background2"/>
          </w:tcPr>
          <w:p w14:paraId="5B6E632C" w14:textId="023D9C64" w:rsidR="00060D1C" w:rsidRPr="000B1685" w:rsidRDefault="00060D1C" w:rsidP="009F7FAD">
            <w:pPr>
              <w:rPr>
                <w:rFonts w:cs="Times New Roman"/>
                <w:szCs w:val="24"/>
              </w:rPr>
            </w:pPr>
            <w:r w:rsidRPr="000B1685">
              <w:rPr>
                <w:rFonts w:cs="Times New Roman"/>
                <w:szCs w:val="24"/>
              </w:rPr>
              <w:t>0.4</w:t>
            </w:r>
          </w:p>
        </w:tc>
        <w:tc>
          <w:tcPr>
            <w:tcW w:w="1201" w:type="dxa"/>
          </w:tcPr>
          <w:p w14:paraId="34DF6D8B" w14:textId="10A549E6" w:rsidR="00060D1C" w:rsidRPr="000B1685" w:rsidRDefault="00060D1C" w:rsidP="009F7FAD">
            <w:pPr>
              <w:rPr>
                <w:rFonts w:cs="Times New Roman"/>
                <w:szCs w:val="24"/>
              </w:rPr>
            </w:pPr>
            <w:r w:rsidRPr="000B1685">
              <w:rPr>
                <w:rFonts w:cs="Times New Roman"/>
                <w:szCs w:val="24"/>
              </w:rPr>
              <w:t>0.033</w:t>
            </w:r>
          </w:p>
        </w:tc>
        <w:tc>
          <w:tcPr>
            <w:tcW w:w="1559" w:type="dxa"/>
          </w:tcPr>
          <w:p w14:paraId="7A7A502C" w14:textId="3010BE6C" w:rsidR="00060D1C" w:rsidRPr="000B1685" w:rsidRDefault="00060D1C" w:rsidP="009F7FAD">
            <w:pPr>
              <w:rPr>
                <w:rFonts w:cs="Times New Roman"/>
                <w:szCs w:val="24"/>
              </w:rPr>
            </w:pPr>
            <w:r w:rsidRPr="000B1685">
              <w:rPr>
                <w:rFonts w:cs="Times New Roman"/>
                <w:szCs w:val="24"/>
              </w:rPr>
              <w:t>0.033</w:t>
            </w:r>
          </w:p>
        </w:tc>
        <w:tc>
          <w:tcPr>
            <w:tcW w:w="1345" w:type="dxa"/>
          </w:tcPr>
          <w:p w14:paraId="4162B0A7" w14:textId="0D65F2C1" w:rsidR="00060D1C" w:rsidRPr="000B1685" w:rsidRDefault="00060D1C" w:rsidP="009F7FAD">
            <w:pPr>
              <w:rPr>
                <w:rFonts w:cs="Times New Roman"/>
                <w:szCs w:val="24"/>
              </w:rPr>
            </w:pPr>
            <w:r w:rsidRPr="000B1685">
              <w:rPr>
                <w:rFonts w:cs="Times New Roman"/>
                <w:szCs w:val="24"/>
              </w:rPr>
              <w:t>0.033</w:t>
            </w:r>
          </w:p>
        </w:tc>
        <w:tc>
          <w:tcPr>
            <w:tcW w:w="1470" w:type="dxa"/>
          </w:tcPr>
          <w:p w14:paraId="021FDC80" w14:textId="1B1E8E76" w:rsidR="00060D1C" w:rsidRPr="000B1685" w:rsidRDefault="00060D1C" w:rsidP="009F7FAD">
            <w:pPr>
              <w:rPr>
                <w:rFonts w:cs="Times New Roman"/>
                <w:szCs w:val="24"/>
              </w:rPr>
            </w:pPr>
            <w:r w:rsidRPr="000B1685">
              <w:rPr>
                <w:rFonts w:cs="Times New Roman"/>
                <w:szCs w:val="24"/>
              </w:rPr>
              <w:t>0.033</w:t>
            </w:r>
          </w:p>
        </w:tc>
      </w:tr>
    </w:tbl>
    <w:p w14:paraId="7E7F5215" w14:textId="77777777" w:rsidR="0086555B" w:rsidRDefault="0086555B" w:rsidP="003144CF">
      <w:pPr>
        <w:pStyle w:val="RegularBodyTextMainText"/>
      </w:pPr>
    </w:p>
    <w:p w14:paraId="7ECBA970" w14:textId="21DEE18B" w:rsidR="006B63EA" w:rsidRDefault="006B63EA" w:rsidP="006B63EA">
      <w:pPr>
        <w:pStyle w:val="FigureTableBoxNumberFiguresTablesBoxes"/>
      </w:pPr>
      <w:r w:rsidRPr="000B1685">
        <w:t xml:space="preserve">Table </w:t>
      </w:r>
      <w:r w:rsidR="0086555B">
        <w:t>A-2</w:t>
      </w:r>
      <w:r w:rsidRPr="000B1685">
        <w:t xml:space="preserve">. </w:t>
      </w:r>
    </w:p>
    <w:p w14:paraId="663036F4" w14:textId="77777777" w:rsidR="006B63EA" w:rsidRPr="000B1685" w:rsidRDefault="006B63EA" w:rsidP="006B63EA">
      <w:pPr>
        <w:pStyle w:val="FigureTableBoxTitleFiguresTablesBoxes"/>
      </w:pPr>
      <w:r w:rsidRPr="000B1685">
        <w:t>Regression Resu</w:t>
      </w:r>
      <w:r w:rsidRPr="00826E67">
        <w:t xml:space="preserve">lts: Fiscal Impact Measure and Its Components on the </w:t>
      </w:r>
      <w:r w:rsidRPr="00826E67">
        <w:rPr>
          <w:bCs/>
          <w:color w:val="000000"/>
        </w:rPr>
        <w:t>Four-quarter Change in the Unemployment Gap</w:t>
      </w:r>
    </w:p>
    <w:tbl>
      <w:tblPr>
        <w:tblW w:w="7920" w:type="dxa"/>
        <w:jc w:val="center"/>
        <w:tblLook w:val="04A0" w:firstRow="1" w:lastRow="0" w:firstColumn="1" w:lastColumn="0" w:noHBand="0" w:noVBand="1"/>
      </w:tblPr>
      <w:tblGrid>
        <w:gridCol w:w="2320"/>
        <w:gridCol w:w="1047"/>
        <w:gridCol w:w="1224"/>
        <w:gridCol w:w="1172"/>
        <w:gridCol w:w="1139"/>
        <w:gridCol w:w="1172"/>
      </w:tblGrid>
      <w:tr w:rsidR="006B63EA" w:rsidRPr="000B1685" w14:paraId="0DC25903" w14:textId="77777777" w:rsidTr="00F50500">
        <w:trPr>
          <w:trHeight w:val="300"/>
          <w:jc w:val="center"/>
        </w:trPr>
        <w:tc>
          <w:tcPr>
            <w:tcW w:w="2320" w:type="dxa"/>
            <w:tcBorders>
              <w:top w:val="single" w:sz="4" w:space="0" w:color="auto"/>
              <w:left w:val="nil"/>
              <w:bottom w:val="single" w:sz="4" w:space="0" w:color="auto"/>
              <w:right w:val="nil"/>
            </w:tcBorders>
            <w:shd w:val="clear" w:color="auto" w:fill="auto"/>
            <w:noWrap/>
            <w:vAlign w:val="bottom"/>
            <w:hideMark/>
          </w:tcPr>
          <w:p w14:paraId="62B925DA" w14:textId="7B647B09" w:rsidR="006B63EA" w:rsidRPr="000B1685" w:rsidRDefault="006B63EA" w:rsidP="00F50500">
            <w:pPr>
              <w:spacing w:after="0" w:line="240" w:lineRule="auto"/>
              <w:jc w:val="center"/>
              <w:rPr>
                <w:color w:val="000000"/>
                <w:szCs w:val="24"/>
              </w:rPr>
            </w:pPr>
          </w:p>
        </w:tc>
        <w:tc>
          <w:tcPr>
            <w:tcW w:w="893" w:type="dxa"/>
            <w:tcBorders>
              <w:top w:val="single" w:sz="4" w:space="0" w:color="auto"/>
              <w:left w:val="nil"/>
              <w:bottom w:val="single" w:sz="4" w:space="0" w:color="auto"/>
              <w:right w:val="nil"/>
            </w:tcBorders>
            <w:shd w:val="clear" w:color="auto" w:fill="auto"/>
            <w:vAlign w:val="center"/>
            <w:hideMark/>
          </w:tcPr>
          <w:p w14:paraId="73EDF5A8" w14:textId="58D0FFDB" w:rsidR="006B63EA" w:rsidRPr="000B1685" w:rsidRDefault="009F5403" w:rsidP="00F50500">
            <w:pPr>
              <w:spacing w:after="0" w:line="240" w:lineRule="auto"/>
              <w:jc w:val="center"/>
              <w:rPr>
                <w:color w:val="000000"/>
                <w:szCs w:val="24"/>
              </w:rPr>
            </w:pPr>
            <w:r>
              <w:rPr>
                <w:color w:val="000000"/>
                <w:szCs w:val="24"/>
              </w:rPr>
              <w:t>1980–2018</w:t>
            </w:r>
          </w:p>
        </w:tc>
        <w:tc>
          <w:tcPr>
            <w:tcW w:w="1224" w:type="dxa"/>
            <w:tcBorders>
              <w:top w:val="single" w:sz="4" w:space="0" w:color="auto"/>
              <w:left w:val="nil"/>
              <w:bottom w:val="single" w:sz="4" w:space="0" w:color="auto"/>
              <w:right w:val="nil"/>
            </w:tcBorders>
            <w:shd w:val="clear" w:color="auto" w:fill="auto"/>
            <w:vAlign w:val="center"/>
            <w:hideMark/>
          </w:tcPr>
          <w:p w14:paraId="0AF62997" w14:textId="64F44A80" w:rsidR="006B63EA" w:rsidRPr="000B1685" w:rsidRDefault="006B63EA" w:rsidP="00F50500">
            <w:pPr>
              <w:spacing w:after="0" w:line="240" w:lineRule="auto"/>
              <w:jc w:val="center"/>
              <w:rPr>
                <w:color w:val="000000"/>
                <w:szCs w:val="24"/>
              </w:rPr>
            </w:pPr>
            <w:r w:rsidRPr="000B1685">
              <w:rPr>
                <w:color w:val="000000"/>
                <w:szCs w:val="24"/>
              </w:rPr>
              <w:t>1980–90</w:t>
            </w:r>
          </w:p>
        </w:tc>
        <w:tc>
          <w:tcPr>
            <w:tcW w:w="1172" w:type="dxa"/>
            <w:tcBorders>
              <w:top w:val="single" w:sz="4" w:space="0" w:color="auto"/>
              <w:left w:val="nil"/>
              <w:bottom w:val="single" w:sz="4" w:space="0" w:color="auto"/>
              <w:right w:val="nil"/>
            </w:tcBorders>
            <w:shd w:val="clear" w:color="auto" w:fill="auto"/>
            <w:vAlign w:val="center"/>
            <w:hideMark/>
          </w:tcPr>
          <w:p w14:paraId="20A64D90" w14:textId="77777777" w:rsidR="006B63EA" w:rsidRPr="000B1685" w:rsidRDefault="006B63EA" w:rsidP="00F50500">
            <w:pPr>
              <w:spacing w:after="0" w:line="240" w:lineRule="auto"/>
              <w:jc w:val="center"/>
              <w:rPr>
                <w:color w:val="000000"/>
                <w:szCs w:val="24"/>
              </w:rPr>
            </w:pPr>
            <w:r w:rsidRPr="000B1685">
              <w:rPr>
                <w:color w:val="000000"/>
                <w:szCs w:val="24"/>
              </w:rPr>
              <w:t>1990–2001</w:t>
            </w:r>
          </w:p>
        </w:tc>
        <w:tc>
          <w:tcPr>
            <w:tcW w:w="1139" w:type="dxa"/>
            <w:tcBorders>
              <w:top w:val="single" w:sz="4" w:space="0" w:color="auto"/>
              <w:left w:val="nil"/>
              <w:bottom w:val="single" w:sz="4" w:space="0" w:color="auto"/>
              <w:right w:val="nil"/>
            </w:tcBorders>
            <w:shd w:val="clear" w:color="auto" w:fill="auto"/>
            <w:vAlign w:val="center"/>
            <w:hideMark/>
          </w:tcPr>
          <w:p w14:paraId="26FA60A2" w14:textId="0ADAF774" w:rsidR="006B63EA" w:rsidRPr="000B1685" w:rsidRDefault="006B63EA" w:rsidP="00F50500">
            <w:pPr>
              <w:spacing w:after="0" w:line="240" w:lineRule="auto"/>
              <w:jc w:val="center"/>
              <w:rPr>
                <w:color w:val="000000"/>
                <w:szCs w:val="24"/>
              </w:rPr>
            </w:pPr>
            <w:r w:rsidRPr="000B1685">
              <w:rPr>
                <w:color w:val="000000"/>
                <w:szCs w:val="24"/>
              </w:rPr>
              <w:t>2001–7</w:t>
            </w:r>
          </w:p>
        </w:tc>
        <w:tc>
          <w:tcPr>
            <w:tcW w:w="1172" w:type="dxa"/>
            <w:tcBorders>
              <w:top w:val="single" w:sz="4" w:space="0" w:color="auto"/>
              <w:left w:val="nil"/>
              <w:bottom w:val="single" w:sz="4" w:space="0" w:color="auto"/>
              <w:right w:val="nil"/>
            </w:tcBorders>
            <w:shd w:val="clear" w:color="auto" w:fill="auto"/>
            <w:vAlign w:val="center"/>
            <w:hideMark/>
          </w:tcPr>
          <w:p w14:paraId="6E5A0017" w14:textId="0D53E6A6" w:rsidR="006B63EA" w:rsidRPr="000B1685" w:rsidRDefault="006B63EA" w:rsidP="00F50500">
            <w:pPr>
              <w:spacing w:after="0" w:line="240" w:lineRule="auto"/>
              <w:jc w:val="center"/>
              <w:rPr>
                <w:color w:val="000000"/>
                <w:szCs w:val="24"/>
              </w:rPr>
            </w:pPr>
            <w:r w:rsidRPr="000B1685">
              <w:rPr>
                <w:color w:val="000000"/>
                <w:szCs w:val="24"/>
              </w:rPr>
              <w:t>2008–18</w:t>
            </w:r>
          </w:p>
        </w:tc>
      </w:tr>
      <w:tr w:rsidR="006B63EA" w:rsidRPr="000B1685" w14:paraId="32478C68"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73DD75DE" w14:textId="77777777" w:rsidR="006B63EA" w:rsidRPr="000B1685" w:rsidRDefault="006B63EA" w:rsidP="00F50500">
            <w:pPr>
              <w:spacing w:after="0" w:line="240" w:lineRule="auto"/>
              <w:rPr>
                <w:color w:val="000000"/>
                <w:szCs w:val="24"/>
              </w:rPr>
            </w:pPr>
            <w:r w:rsidRPr="000B1685">
              <w:rPr>
                <w:color w:val="000000"/>
                <w:szCs w:val="24"/>
              </w:rPr>
              <w:t>Total</w:t>
            </w:r>
          </w:p>
        </w:tc>
        <w:tc>
          <w:tcPr>
            <w:tcW w:w="893" w:type="dxa"/>
            <w:tcBorders>
              <w:top w:val="nil"/>
              <w:left w:val="nil"/>
              <w:bottom w:val="nil"/>
              <w:right w:val="nil"/>
            </w:tcBorders>
            <w:shd w:val="clear" w:color="auto" w:fill="auto"/>
            <w:vAlign w:val="center"/>
            <w:hideMark/>
          </w:tcPr>
          <w:p w14:paraId="11FFC52E" w14:textId="77777777" w:rsidR="006B63EA" w:rsidRPr="000B1685" w:rsidRDefault="006B63EA" w:rsidP="00F50500">
            <w:pPr>
              <w:spacing w:after="0" w:line="240" w:lineRule="auto"/>
              <w:rPr>
                <w:color w:val="000000"/>
                <w:szCs w:val="24"/>
              </w:rPr>
            </w:pPr>
            <w:r w:rsidRPr="000B1685">
              <w:rPr>
                <w:color w:val="000000"/>
                <w:szCs w:val="24"/>
              </w:rPr>
              <w:t>0.644</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1C3C2F2F" w14:textId="77777777" w:rsidR="006B63EA" w:rsidRPr="000B1685" w:rsidRDefault="006B63EA" w:rsidP="00F50500">
            <w:pPr>
              <w:spacing w:after="0" w:line="240" w:lineRule="auto"/>
              <w:rPr>
                <w:color w:val="000000"/>
                <w:szCs w:val="24"/>
              </w:rPr>
            </w:pPr>
            <w:r w:rsidRPr="000B1685">
              <w:rPr>
                <w:color w:val="000000"/>
                <w:szCs w:val="24"/>
              </w:rPr>
              <w:t>0.268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BEADDC3" w14:textId="77777777" w:rsidR="006B63EA" w:rsidRPr="000B1685" w:rsidRDefault="006B63EA" w:rsidP="00F50500">
            <w:pPr>
              <w:spacing w:after="0" w:line="240" w:lineRule="auto"/>
              <w:rPr>
                <w:color w:val="000000"/>
                <w:szCs w:val="24"/>
              </w:rPr>
            </w:pPr>
            <w:r w:rsidRPr="000B1685">
              <w:rPr>
                <w:color w:val="000000"/>
                <w:szCs w:val="24"/>
              </w:rPr>
              <w:t>0.696</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0C4A6AD1" w14:textId="77777777" w:rsidR="006B63EA" w:rsidRPr="000B1685" w:rsidRDefault="006B63EA" w:rsidP="00F50500">
            <w:pPr>
              <w:spacing w:after="0" w:line="240" w:lineRule="auto"/>
              <w:rPr>
                <w:color w:val="000000"/>
                <w:szCs w:val="24"/>
              </w:rPr>
            </w:pPr>
            <w:r w:rsidRPr="000B1685">
              <w:rPr>
                <w:color w:val="000000"/>
                <w:szCs w:val="24"/>
              </w:rPr>
              <w:t>1.288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1DF099C3" w14:textId="77777777" w:rsidR="006B63EA" w:rsidRPr="000B1685" w:rsidRDefault="006B63EA" w:rsidP="00F50500">
            <w:pPr>
              <w:spacing w:after="0" w:line="240" w:lineRule="auto"/>
              <w:rPr>
                <w:color w:val="000000"/>
                <w:szCs w:val="24"/>
              </w:rPr>
            </w:pPr>
            <w:r w:rsidRPr="000B1685">
              <w:rPr>
                <w:color w:val="000000"/>
                <w:szCs w:val="24"/>
              </w:rPr>
              <w:t>0.834</w:t>
            </w:r>
            <w:r w:rsidRPr="000B1685">
              <w:rPr>
                <w:color w:val="000000"/>
                <w:szCs w:val="24"/>
                <w:vertAlign w:val="superscript"/>
              </w:rPr>
              <w:t>***</w:t>
            </w:r>
          </w:p>
        </w:tc>
      </w:tr>
      <w:tr w:rsidR="006B63EA" w:rsidRPr="000B1685" w14:paraId="09795223"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7DE23EF4"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Purchases</w:t>
            </w:r>
          </w:p>
        </w:tc>
        <w:tc>
          <w:tcPr>
            <w:tcW w:w="893" w:type="dxa"/>
            <w:tcBorders>
              <w:top w:val="nil"/>
              <w:left w:val="nil"/>
              <w:bottom w:val="nil"/>
              <w:right w:val="nil"/>
            </w:tcBorders>
            <w:shd w:val="clear" w:color="auto" w:fill="auto"/>
            <w:vAlign w:val="center"/>
            <w:hideMark/>
          </w:tcPr>
          <w:p w14:paraId="6B961A4A" w14:textId="77777777" w:rsidR="006B63EA" w:rsidRPr="000B1685" w:rsidRDefault="006B63EA" w:rsidP="00F50500">
            <w:pPr>
              <w:spacing w:after="0" w:line="240" w:lineRule="auto"/>
              <w:rPr>
                <w:color w:val="000000"/>
                <w:szCs w:val="24"/>
              </w:rPr>
            </w:pPr>
            <w:r w:rsidRPr="000B1685">
              <w:rPr>
                <w:color w:val="000000"/>
                <w:szCs w:val="24"/>
              </w:rPr>
              <w:t>0.105</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787B6843" w14:textId="77777777" w:rsidR="006B63EA" w:rsidRPr="000B1685" w:rsidRDefault="006B63EA" w:rsidP="00F50500">
            <w:pPr>
              <w:spacing w:after="0" w:line="240" w:lineRule="auto"/>
              <w:rPr>
                <w:color w:val="000000"/>
                <w:szCs w:val="24"/>
              </w:rPr>
            </w:pPr>
            <w:r w:rsidRPr="000B1685">
              <w:rPr>
                <w:color w:val="000000"/>
                <w:szCs w:val="24"/>
              </w:rPr>
              <w:t>–0.026</w:t>
            </w:r>
          </w:p>
        </w:tc>
        <w:tc>
          <w:tcPr>
            <w:tcW w:w="1172" w:type="dxa"/>
            <w:tcBorders>
              <w:top w:val="nil"/>
              <w:left w:val="nil"/>
              <w:bottom w:val="nil"/>
              <w:right w:val="nil"/>
            </w:tcBorders>
            <w:shd w:val="clear" w:color="auto" w:fill="auto"/>
            <w:vAlign w:val="center"/>
            <w:hideMark/>
          </w:tcPr>
          <w:p w14:paraId="315BDB63" w14:textId="77777777" w:rsidR="006B63EA" w:rsidRPr="000B1685" w:rsidRDefault="006B63EA" w:rsidP="00F50500">
            <w:pPr>
              <w:spacing w:after="0" w:line="240" w:lineRule="auto"/>
              <w:rPr>
                <w:color w:val="000000"/>
                <w:szCs w:val="24"/>
              </w:rPr>
            </w:pPr>
            <w:r w:rsidRPr="000B1685">
              <w:rPr>
                <w:color w:val="000000"/>
                <w:szCs w:val="24"/>
              </w:rPr>
              <w:t>0.027</w:t>
            </w:r>
          </w:p>
        </w:tc>
        <w:tc>
          <w:tcPr>
            <w:tcW w:w="1139" w:type="dxa"/>
            <w:tcBorders>
              <w:top w:val="nil"/>
              <w:left w:val="nil"/>
              <w:bottom w:val="nil"/>
              <w:right w:val="nil"/>
            </w:tcBorders>
            <w:shd w:val="clear" w:color="auto" w:fill="auto"/>
            <w:vAlign w:val="center"/>
            <w:hideMark/>
          </w:tcPr>
          <w:p w14:paraId="2BFC20FC" w14:textId="77777777" w:rsidR="006B63EA" w:rsidRPr="000B1685" w:rsidRDefault="006B63EA" w:rsidP="00F50500">
            <w:pPr>
              <w:spacing w:after="0" w:line="240" w:lineRule="auto"/>
              <w:rPr>
                <w:color w:val="000000"/>
                <w:szCs w:val="24"/>
              </w:rPr>
            </w:pPr>
            <w:r w:rsidRPr="000B1685">
              <w:rPr>
                <w:color w:val="000000"/>
                <w:szCs w:val="24"/>
              </w:rPr>
              <w:t>0.307</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28A29FC" w14:textId="77777777" w:rsidR="006B63EA" w:rsidRPr="000B1685" w:rsidRDefault="006B63EA" w:rsidP="00F50500">
            <w:pPr>
              <w:spacing w:after="0" w:line="240" w:lineRule="auto"/>
              <w:rPr>
                <w:color w:val="000000"/>
                <w:szCs w:val="24"/>
              </w:rPr>
            </w:pPr>
            <w:r w:rsidRPr="000B1685">
              <w:rPr>
                <w:color w:val="000000"/>
                <w:szCs w:val="24"/>
              </w:rPr>
              <w:t>0.192</w:t>
            </w:r>
            <w:r w:rsidRPr="000B1685">
              <w:rPr>
                <w:color w:val="000000"/>
                <w:szCs w:val="24"/>
                <w:vertAlign w:val="superscript"/>
              </w:rPr>
              <w:t>***</w:t>
            </w:r>
          </w:p>
        </w:tc>
      </w:tr>
      <w:tr w:rsidR="006B63EA" w:rsidRPr="000B1685" w14:paraId="21F8D0C9"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0E50B4EE"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Taxes</w:t>
            </w:r>
          </w:p>
        </w:tc>
        <w:tc>
          <w:tcPr>
            <w:tcW w:w="893" w:type="dxa"/>
            <w:tcBorders>
              <w:top w:val="nil"/>
              <w:left w:val="nil"/>
              <w:bottom w:val="nil"/>
              <w:right w:val="nil"/>
            </w:tcBorders>
            <w:shd w:val="clear" w:color="auto" w:fill="auto"/>
            <w:vAlign w:val="center"/>
            <w:hideMark/>
          </w:tcPr>
          <w:p w14:paraId="4939B903" w14:textId="77777777" w:rsidR="006B63EA" w:rsidRPr="000B1685" w:rsidRDefault="006B63EA" w:rsidP="00F50500">
            <w:pPr>
              <w:spacing w:after="0" w:line="240" w:lineRule="auto"/>
              <w:rPr>
                <w:color w:val="000000"/>
                <w:szCs w:val="24"/>
              </w:rPr>
            </w:pPr>
            <w:r w:rsidRPr="000B1685">
              <w:rPr>
                <w:color w:val="000000"/>
                <w:szCs w:val="24"/>
              </w:rPr>
              <w:t>0.296</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467B7946" w14:textId="77777777" w:rsidR="006B63EA" w:rsidRPr="000B1685" w:rsidRDefault="006B63EA" w:rsidP="00F50500">
            <w:pPr>
              <w:spacing w:after="0" w:line="240" w:lineRule="auto"/>
              <w:rPr>
                <w:color w:val="000000"/>
                <w:szCs w:val="24"/>
              </w:rPr>
            </w:pPr>
            <w:r w:rsidRPr="000B1685">
              <w:rPr>
                <w:color w:val="000000"/>
                <w:szCs w:val="24"/>
              </w:rPr>
              <w:t>0.095</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9E85809" w14:textId="77777777" w:rsidR="006B63EA" w:rsidRPr="000B1685" w:rsidRDefault="006B63EA" w:rsidP="00F50500">
            <w:pPr>
              <w:spacing w:after="0" w:line="240" w:lineRule="auto"/>
              <w:rPr>
                <w:color w:val="000000"/>
                <w:szCs w:val="24"/>
              </w:rPr>
            </w:pPr>
            <w:r w:rsidRPr="000B1685">
              <w:rPr>
                <w:color w:val="000000"/>
                <w:szCs w:val="24"/>
              </w:rPr>
              <w:t>0.286</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3186106F" w14:textId="77777777" w:rsidR="006B63EA" w:rsidRPr="000B1685" w:rsidRDefault="006B63EA" w:rsidP="00F50500">
            <w:pPr>
              <w:spacing w:after="0" w:line="240" w:lineRule="auto"/>
              <w:rPr>
                <w:color w:val="000000"/>
                <w:szCs w:val="24"/>
              </w:rPr>
            </w:pPr>
            <w:r w:rsidRPr="000B1685">
              <w:rPr>
                <w:color w:val="000000"/>
                <w:szCs w:val="24"/>
              </w:rPr>
              <w:t>0.783</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7F3150E1" w14:textId="77777777" w:rsidR="006B63EA" w:rsidRPr="000B1685" w:rsidRDefault="006B63EA" w:rsidP="00F50500">
            <w:pPr>
              <w:spacing w:after="0" w:line="240" w:lineRule="auto"/>
              <w:rPr>
                <w:color w:val="000000"/>
                <w:szCs w:val="24"/>
              </w:rPr>
            </w:pPr>
            <w:r w:rsidRPr="000B1685">
              <w:rPr>
                <w:color w:val="000000"/>
                <w:szCs w:val="24"/>
              </w:rPr>
              <w:t>0.389</w:t>
            </w:r>
            <w:r w:rsidRPr="000B1685">
              <w:rPr>
                <w:color w:val="000000"/>
                <w:szCs w:val="24"/>
                <w:vertAlign w:val="superscript"/>
              </w:rPr>
              <w:t>***</w:t>
            </w:r>
          </w:p>
        </w:tc>
      </w:tr>
      <w:tr w:rsidR="006B63EA" w:rsidRPr="000B1685" w14:paraId="0EDA6843"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616E6B09"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Transfers</w:t>
            </w:r>
          </w:p>
        </w:tc>
        <w:tc>
          <w:tcPr>
            <w:tcW w:w="893" w:type="dxa"/>
            <w:tcBorders>
              <w:top w:val="nil"/>
              <w:left w:val="nil"/>
              <w:bottom w:val="nil"/>
              <w:right w:val="nil"/>
            </w:tcBorders>
            <w:shd w:val="clear" w:color="auto" w:fill="auto"/>
            <w:vAlign w:val="center"/>
            <w:hideMark/>
          </w:tcPr>
          <w:p w14:paraId="640D2510" w14:textId="77777777" w:rsidR="006B63EA" w:rsidRPr="000B1685" w:rsidRDefault="006B63EA" w:rsidP="00F50500">
            <w:pPr>
              <w:spacing w:after="0" w:line="240" w:lineRule="auto"/>
              <w:rPr>
                <w:color w:val="000000"/>
                <w:szCs w:val="24"/>
              </w:rPr>
            </w:pPr>
            <w:r w:rsidRPr="000B1685">
              <w:rPr>
                <w:color w:val="000000"/>
                <w:szCs w:val="24"/>
              </w:rPr>
              <w:t>0.243</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6753CD1F" w14:textId="77777777" w:rsidR="006B63EA" w:rsidRPr="000B1685" w:rsidRDefault="006B63EA" w:rsidP="00F50500">
            <w:pPr>
              <w:spacing w:after="0" w:line="240" w:lineRule="auto"/>
              <w:rPr>
                <w:color w:val="000000"/>
                <w:szCs w:val="24"/>
              </w:rPr>
            </w:pPr>
            <w:r w:rsidRPr="000B1685">
              <w:rPr>
                <w:color w:val="000000"/>
                <w:szCs w:val="24"/>
              </w:rPr>
              <w:t>0.199</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14F11733" w14:textId="77777777" w:rsidR="006B63EA" w:rsidRPr="000B1685" w:rsidRDefault="006B63EA" w:rsidP="00F50500">
            <w:pPr>
              <w:spacing w:after="0" w:line="240" w:lineRule="auto"/>
              <w:rPr>
                <w:color w:val="000000"/>
                <w:szCs w:val="24"/>
              </w:rPr>
            </w:pPr>
            <w:r w:rsidRPr="000B1685">
              <w:rPr>
                <w:color w:val="000000"/>
                <w:szCs w:val="24"/>
              </w:rPr>
              <w:t>0.382</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0013B973" w14:textId="77777777" w:rsidR="006B63EA" w:rsidRPr="000B1685" w:rsidRDefault="006B63EA" w:rsidP="00F50500">
            <w:pPr>
              <w:spacing w:after="0" w:line="240" w:lineRule="auto"/>
              <w:rPr>
                <w:color w:val="000000"/>
                <w:szCs w:val="24"/>
              </w:rPr>
            </w:pPr>
            <w:r w:rsidRPr="000B1685">
              <w:rPr>
                <w:color w:val="000000"/>
                <w:szCs w:val="24"/>
              </w:rPr>
              <w:t>0.198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FBE33EB" w14:textId="77777777" w:rsidR="006B63EA" w:rsidRPr="000B1685" w:rsidRDefault="006B63EA" w:rsidP="00F50500">
            <w:pPr>
              <w:spacing w:after="0" w:line="240" w:lineRule="auto"/>
              <w:rPr>
                <w:color w:val="000000"/>
                <w:szCs w:val="24"/>
              </w:rPr>
            </w:pPr>
            <w:r w:rsidRPr="000B1685">
              <w:rPr>
                <w:color w:val="000000"/>
                <w:szCs w:val="24"/>
              </w:rPr>
              <w:t>0.253</w:t>
            </w:r>
            <w:r w:rsidRPr="000B1685">
              <w:rPr>
                <w:color w:val="000000"/>
                <w:szCs w:val="24"/>
                <w:vertAlign w:val="superscript"/>
              </w:rPr>
              <w:t>***</w:t>
            </w:r>
          </w:p>
        </w:tc>
      </w:tr>
      <w:tr w:rsidR="006B63EA" w:rsidRPr="000B1685" w14:paraId="052572BB"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6BDE81B6"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Federal</w:t>
            </w:r>
          </w:p>
        </w:tc>
        <w:tc>
          <w:tcPr>
            <w:tcW w:w="893" w:type="dxa"/>
            <w:tcBorders>
              <w:top w:val="nil"/>
              <w:left w:val="nil"/>
              <w:bottom w:val="nil"/>
              <w:right w:val="nil"/>
            </w:tcBorders>
            <w:shd w:val="clear" w:color="auto" w:fill="auto"/>
            <w:vAlign w:val="center"/>
            <w:hideMark/>
          </w:tcPr>
          <w:p w14:paraId="522313AD" w14:textId="77777777" w:rsidR="006B63EA" w:rsidRPr="000B1685" w:rsidRDefault="006B63EA" w:rsidP="00F50500">
            <w:pPr>
              <w:spacing w:after="0" w:line="240" w:lineRule="auto"/>
              <w:rPr>
                <w:color w:val="000000"/>
                <w:szCs w:val="24"/>
              </w:rPr>
            </w:pPr>
            <w:r w:rsidRPr="000B1685">
              <w:rPr>
                <w:color w:val="000000"/>
                <w:szCs w:val="24"/>
              </w:rPr>
              <w:t>0.656</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26B6C584" w14:textId="77777777" w:rsidR="006B63EA" w:rsidRPr="000B1685" w:rsidRDefault="006B63EA" w:rsidP="00F50500">
            <w:pPr>
              <w:spacing w:after="0" w:line="240" w:lineRule="auto"/>
              <w:rPr>
                <w:color w:val="000000"/>
                <w:szCs w:val="24"/>
              </w:rPr>
            </w:pPr>
            <w:r w:rsidRPr="000B1685">
              <w:rPr>
                <w:color w:val="000000"/>
                <w:szCs w:val="24"/>
              </w:rPr>
              <w:t>0.287</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CC4217C" w14:textId="77777777" w:rsidR="006B63EA" w:rsidRPr="000B1685" w:rsidRDefault="006B63EA" w:rsidP="00F50500">
            <w:pPr>
              <w:spacing w:after="0" w:line="240" w:lineRule="auto"/>
              <w:rPr>
                <w:color w:val="000000"/>
                <w:szCs w:val="24"/>
              </w:rPr>
            </w:pPr>
            <w:r w:rsidRPr="000B1685">
              <w:rPr>
                <w:color w:val="000000"/>
                <w:szCs w:val="24"/>
              </w:rPr>
              <w:t>0.688</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1B45654B" w14:textId="77777777" w:rsidR="006B63EA" w:rsidRPr="000B1685" w:rsidRDefault="006B63EA" w:rsidP="00F50500">
            <w:pPr>
              <w:spacing w:after="0" w:line="240" w:lineRule="auto"/>
              <w:rPr>
                <w:color w:val="000000"/>
                <w:szCs w:val="24"/>
              </w:rPr>
            </w:pPr>
            <w:r w:rsidRPr="000B1685">
              <w:rPr>
                <w:color w:val="000000"/>
                <w:szCs w:val="24"/>
              </w:rPr>
              <w:t>1.108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04BC084" w14:textId="77777777" w:rsidR="006B63EA" w:rsidRPr="000B1685" w:rsidRDefault="006B63EA" w:rsidP="00F50500">
            <w:pPr>
              <w:spacing w:after="0" w:line="240" w:lineRule="auto"/>
              <w:rPr>
                <w:color w:val="000000"/>
                <w:szCs w:val="24"/>
              </w:rPr>
            </w:pPr>
            <w:r w:rsidRPr="000B1685">
              <w:rPr>
                <w:color w:val="000000"/>
                <w:szCs w:val="24"/>
              </w:rPr>
              <w:t>0.872</w:t>
            </w:r>
            <w:r w:rsidRPr="000B1685">
              <w:rPr>
                <w:color w:val="000000"/>
                <w:szCs w:val="24"/>
                <w:vertAlign w:val="superscript"/>
              </w:rPr>
              <w:t>***</w:t>
            </w:r>
          </w:p>
        </w:tc>
      </w:tr>
      <w:tr w:rsidR="006B63EA" w:rsidRPr="000B1685" w14:paraId="7B8580AE"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08AF1D32"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 Purchases</w:t>
            </w:r>
          </w:p>
        </w:tc>
        <w:tc>
          <w:tcPr>
            <w:tcW w:w="893" w:type="dxa"/>
            <w:tcBorders>
              <w:top w:val="nil"/>
              <w:left w:val="nil"/>
              <w:bottom w:val="nil"/>
              <w:right w:val="nil"/>
            </w:tcBorders>
            <w:shd w:val="clear" w:color="auto" w:fill="auto"/>
            <w:vAlign w:val="center"/>
            <w:hideMark/>
          </w:tcPr>
          <w:p w14:paraId="40FFAF8D" w14:textId="77777777" w:rsidR="006B63EA" w:rsidRPr="000B1685" w:rsidRDefault="006B63EA" w:rsidP="00F50500">
            <w:pPr>
              <w:spacing w:after="0" w:line="240" w:lineRule="auto"/>
              <w:rPr>
                <w:color w:val="000000"/>
                <w:szCs w:val="24"/>
              </w:rPr>
            </w:pPr>
            <w:r w:rsidRPr="000B1685">
              <w:rPr>
                <w:color w:val="000000"/>
                <w:szCs w:val="24"/>
              </w:rPr>
              <w:t>0.174</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2BFE8A64" w14:textId="77777777" w:rsidR="006B63EA" w:rsidRPr="000B1685" w:rsidRDefault="006B63EA" w:rsidP="00F50500">
            <w:pPr>
              <w:spacing w:after="0" w:line="240" w:lineRule="auto"/>
              <w:rPr>
                <w:color w:val="000000"/>
                <w:szCs w:val="24"/>
              </w:rPr>
            </w:pPr>
            <w:r w:rsidRPr="000B1685">
              <w:rPr>
                <w:color w:val="000000"/>
                <w:szCs w:val="24"/>
              </w:rPr>
              <w:t>0.051</w:t>
            </w:r>
          </w:p>
        </w:tc>
        <w:tc>
          <w:tcPr>
            <w:tcW w:w="1172" w:type="dxa"/>
            <w:tcBorders>
              <w:top w:val="nil"/>
              <w:left w:val="nil"/>
              <w:bottom w:val="nil"/>
              <w:right w:val="nil"/>
            </w:tcBorders>
            <w:shd w:val="clear" w:color="auto" w:fill="auto"/>
            <w:vAlign w:val="center"/>
            <w:hideMark/>
          </w:tcPr>
          <w:p w14:paraId="5F0FF3D2" w14:textId="77777777" w:rsidR="006B63EA" w:rsidRPr="000B1685" w:rsidRDefault="006B63EA" w:rsidP="00F50500">
            <w:pPr>
              <w:spacing w:after="0" w:line="240" w:lineRule="auto"/>
              <w:rPr>
                <w:color w:val="000000"/>
                <w:szCs w:val="24"/>
              </w:rPr>
            </w:pPr>
            <w:r w:rsidRPr="000B1685">
              <w:rPr>
                <w:color w:val="000000"/>
                <w:szCs w:val="24"/>
              </w:rPr>
              <w:t>0.07</w:t>
            </w:r>
          </w:p>
        </w:tc>
        <w:tc>
          <w:tcPr>
            <w:tcW w:w="1139" w:type="dxa"/>
            <w:tcBorders>
              <w:top w:val="nil"/>
              <w:left w:val="nil"/>
              <w:bottom w:val="nil"/>
              <w:right w:val="nil"/>
            </w:tcBorders>
            <w:shd w:val="clear" w:color="auto" w:fill="auto"/>
            <w:vAlign w:val="center"/>
            <w:hideMark/>
          </w:tcPr>
          <w:p w14:paraId="0209A2CC" w14:textId="77777777" w:rsidR="006B63EA" w:rsidRPr="000B1685" w:rsidRDefault="006B63EA" w:rsidP="00F50500">
            <w:pPr>
              <w:spacing w:after="0" w:line="240" w:lineRule="auto"/>
              <w:rPr>
                <w:color w:val="000000"/>
                <w:szCs w:val="24"/>
              </w:rPr>
            </w:pPr>
            <w:r w:rsidRPr="000B1685">
              <w:rPr>
                <w:color w:val="000000"/>
                <w:szCs w:val="24"/>
              </w:rPr>
              <w:t>0.327</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6B727FA" w14:textId="77777777" w:rsidR="006B63EA" w:rsidRPr="000B1685" w:rsidRDefault="006B63EA" w:rsidP="00F50500">
            <w:pPr>
              <w:spacing w:after="0" w:line="240" w:lineRule="auto"/>
              <w:rPr>
                <w:color w:val="000000"/>
                <w:szCs w:val="24"/>
              </w:rPr>
            </w:pPr>
            <w:r w:rsidRPr="000B1685">
              <w:rPr>
                <w:color w:val="000000"/>
                <w:szCs w:val="24"/>
              </w:rPr>
              <w:t>0.270</w:t>
            </w:r>
            <w:r w:rsidRPr="000B1685">
              <w:rPr>
                <w:color w:val="000000"/>
                <w:szCs w:val="24"/>
                <w:vertAlign w:val="superscript"/>
              </w:rPr>
              <w:t>***</w:t>
            </w:r>
          </w:p>
        </w:tc>
      </w:tr>
      <w:tr w:rsidR="006B63EA" w:rsidRPr="000B1685" w14:paraId="3FD2744C"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4BA68267"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Taxes</w:t>
            </w:r>
          </w:p>
        </w:tc>
        <w:tc>
          <w:tcPr>
            <w:tcW w:w="893" w:type="dxa"/>
            <w:tcBorders>
              <w:top w:val="nil"/>
              <w:left w:val="nil"/>
              <w:bottom w:val="nil"/>
              <w:right w:val="nil"/>
            </w:tcBorders>
            <w:shd w:val="clear" w:color="auto" w:fill="auto"/>
            <w:vAlign w:val="center"/>
            <w:hideMark/>
          </w:tcPr>
          <w:p w14:paraId="4DE59889" w14:textId="77777777" w:rsidR="006B63EA" w:rsidRPr="000B1685" w:rsidRDefault="006B63EA" w:rsidP="00F50500">
            <w:pPr>
              <w:spacing w:after="0" w:line="240" w:lineRule="auto"/>
              <w:rPr>
                <w:color w:val="000000"/>
                <w:szCs w:val="24"/>
              </w:rPr>
            </w:pPr>
            <w:r w:rsidRPr="000B1685">
              <w:rPr>
                <w:color w:val="000000"/>
                <w:szCs w:val="24"/>
              </w:rPr>
              <w:t>0.239</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7C19A7EB" w14:textId="77777777" w:rsidR="006B63EA" w:rsidRPr="000B1685" w:rsidRDefault="006B63EA" w:rsidP="00F50500">
            <w:pPr>
              <w:spacing w:after="0" w:line="240" w:lineRule="auto"/>
              <w:rPr>
                <w:color w:val="000000"/>
                <w:szCs w:val="24"/>
              </w:rPr>
            </w:pPr>
            <w:r w:rsidRPr="000B1685">
              <w:rPr>
                <w:color w:val="000000"/>
                <w:szCs w:val="24"/>
              </w:rPr>
              <w:t>0.045</w:t>
            </w:r>
          </w:p>
        </w:tc>
        <w:tc>
          <w:tcPr>
            <w:tcW w:w="1172" w:type="dxa"/>
            <w:tcBorders>
              <w:top w:val="nil"/>
              <w:left w:val="nil"/>
              <w:bottom w:val="nil"/>
              <w:right w:val="nil"/>
            </w:tcBorders>
            <w:shd w:val="clear" w:color="auto" w:fill="auto"/>
            <w:vAlign w:val="center"/>
            <w:hideMark/>
          </w:tcPr>
          <w:p w14:paraId="7F4BCEA4" w14:textId="77777777" w:rsidR="006B63EA" w:rsidRPr="000B1685" w:rsidRDefault="006B63EA" w:rsidP="00F50500">
            <w:pPr>
              <w:spacing w:after="0" w:line="240" w:lineRule="auto"/>
              <w:rPr>
                <w:color w:val="000000"/>
                <w:szCs w:val="24"/>
              </w:rPr>
            </w:pPr>
            <w:r w:rsidRPr="000B1685">
              <w:rPr>
                <w:color w:val="000000"/>
                <w:szCs w:val="24"/>
              </w:rPr>
              <w:t>0.281</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1A43558D" w14:textId="77777777" w:rsidR="006B63EA" w:rsidRPr="000B1685" w:rsidRDefault="006B63EA" w:rsidP="00F50500">
            <w:pPr>
              <w:spacing w:after="0" w:line="240" w:lineRule="auto"/>
              <w:rPr>
                <w:color w:val="000000"/>
                <w:szCs w:val="24"/>
              </w:rPr>
            </w:pPr>
            <w:r w:rsidRPr="000B1685">
              <w:rPr>
                <w:color w:val="000000"/>
                <w:szCs w:val="24"/>
              </w:rPr>
              <w:t>0.620</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2435D253" w14:textId="77777777" w:rsidR="006B63EA" w:rsidRPr="000B1685" w:rsidRDefault="006B63EA" w:rsidP="00F50500">
            <w:pPr>
              <w:spacing w:after="0" w:line="240" w:lineRule="auto"/>
              <w:rPr>
                <w:color w:val="000000"/>
                <w:szCs w:val="24"/>
              </w:rPr>
            </w:pPr>
            <w:r w:rsidRPr="000B1685">
              <w:rPr>
                <w:color w:val="000000"/>
                <w:szCs w:val="24"/>
              </w:rPr>
              <w:t>0.327</w:t>
            </w:r>
            <w:r w:rsidRPr="000B1685">
              <w:rPr>
                <w:color w:val="000000"/>
                <w:szCs w:val="24"/>
                <w:vertAlign w:val="superscript"/>
              </w:rPr>
              <w:t>***</w:t>
            </w:r>
          </w:p>
        </w:tc>
      </w:tr>
      <w:tr w:rsidR="006B63EA" w:rsidRPr="000B1685" w14:paraId="37FAF8C5"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07C45FA7"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Transfers</w:t>
            </w:r>
          </w:p>
        </w:tc>
        <w:tc>
          <w:tcPr>
            <w:tcW w:w="893" w:type="dxa"/>
            <w:tcBorders>
              <w:top w:val="nil"/>
              <w:left w:val="nil"/>
              <w:bottom w:val="nil"/>
              <w:right w:val="nil"/>
            </w:tcBorders>
            <w:shd w:val="clear" w:color="auto" w:fill="auto"/>
            <w:vAlign w:val="center"/>
            <w:hideMark/>
          </w:tcPr>
          <w:p w14:paraId="13964D8E" w14:textId="77777777" w:rsidR="006B63EA" w:rsidRPr="000B1685" w:rsidRDefault="006B63EA" w:rsidP="00F50500">
            <w:pPr>
              <w:spacing w:after="0" w:line="240" w:lineRule="auto"/>
              <w:rPr>
                <w:color w:val="000000"/>
                <w:szCs w:val="24"/>
              </w:rPr>
            </w:pPr>
            <w:r w:rsidRPr="000B1685">
              <w:rPr>
                <w:color w:val="000000"/>
                <w:szCs w:val="24"/>
              </w:rPr>
              <w:t>0.242</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082A09CB" w14:textId="77777777" w:rsidR="006B63EA" w:rsidRPr="000B1685" w:rsidRDefault="006B63EA" w:rsidP="00F50500">
            <w:pPr>
              <w:spacing w:after="0" w:line="240" w:lineRule="auto"/>
              <w:rPr>
                <w:color w:val="000000"/>
                <w:szCs w:val="24"/>
              </w:rPr>
            </w:pPr>
            <w:r w:rsidRPr="000B1685">
              <w:rPr>
                <w:color w:val="000000"/>
                <w:szCs w:val="24"/>
              </w:rPr>
              <w:t>0.190</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FC675FB" w14:textId="77777777" w:rsidR="006B63EA" w:rsidRPr="000B1685" w:rsidRDefault="006B63EA" w:rsidP="00F50500">
            <w:pPr>
              <w:spacing w:after="0" w:line="240" w:lineRule="auto"/>
              <w:rPr>
                <w:color w:val="000000"/>
                <w:szCs w:val="24"/>
              </w:rPr>
            </w:pPr>
            <w:r w:rsidRPr="000B1685">
              <w:rPr>
                <w:color w:val="000000"/>
                <w:szCs w:val="24"/>
              </w:rPr>
              <w:t>0.337</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0BA8F1BB" w14:textId="77777777" w:rsidR="006B63EA" w:rsidRPr="000B1685" w:rsidRDefault="006B63EA" w:rsidP="00F50500">
            <w:pPr>
              <w:spacing w:after="0" w:line="240" w:lineRule="auto"/>
              <w:rPr>
                <w:color w:val="000000"/>
                <w:szCs w:val="24"/>
              </w:rPr>
            </w:pPr>
            <w:r w:rsidRPr="000B1685">
              <w:rPr>
                <w:color w:val="000000"/>
                <w:szCs w:val="24"/>
              </w:rPr>
              <w:t>0.162</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6B4E5AB6" w14:textId="77777777" w:rsidR="006B63EA" w:rsidRPr="000B1685" w:rsidRDefault="006B63EA" w:rsidP="00F50500">
            <w:pPr>
              <w:spacing w:after="0" w:line="240" w:lineRule="auto"/>
              <w:rPr>
                <w:color w:val="000000"/>
                <w:szCs w:val="24"/>
              </w:rPr>
            </w:pPr>
            <w:r w:rsidRPr="000B1685">
              <w:rPr>
                <w:color w:val="000000"/>
                <w:szCs w:val="24"/>
              </w:rPr>
              <w:t>0.275</w:t>
            </w:r>
            <w:r w:rsidRPr="000B1685">
              <w:rPr>
                <w:color w:val="000000"/>
                <w:szCs w:val="24"/>
                <w:vertAlign w:val="superscript"/>
              </w:rPr>
              <w:t>***</w:t>
            </w:r>
          </w:p>
        </w:tc>
      </w:tr>
      <w:tr w:rsidR="006B63EA" w:rsidRPr="000B1685" w14:paraId="6C9AA7D3"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322672C3"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State</w:t>
            </w:r>
          </w:p>
        </w:tc>
        <w:tc>
          <w:tcPr>
            <w:tcW w:w="893" w:type="dxa"/>
            <w:tcBorders>
              <w:top w:val="nil"/>
              <w:left w:val="nil"/>
              <w:bottom w:val="nil"/>
              <w:right w:val="nil"/>
            </w:tcBorders>
            <w:shd w:val="clear" w:color="auto" w:fill="auto"/>
            <w:vAlign w:val="center"/>
            <w:hideMark/>
          </w:tcPr>
          <w:p w14:paraId="080D6A7A" w14:textId="77777777" w:rsidR="006B63EA" w:rsidRPr="000B1685" w:rsidRDefault="006B63EA" w:rsidP="00F50500">
            <w:pPr>
              <w:spacing w:after="0" w:line="240" w:lineRule="auto"/>
              <w:rPr>
                <w:color w:val="000000"/>
                <w:szCs w:val="24"/>
              </w:rPr>
            </w:pPr>
            <w:r w:rsidRPr="000B1685">
              <w:rPr>
                <w:color w:val="000000"/>
                <w:szCs w:val="24"/>
              </w:rPr>
              <w:t>–0.012</w:t>
            </w:r>
          </w:p>
        </w:tc>
        <w:tc>
          <w:tcPr>
            <w:tcW w:w="1224" w:type="dxa"/>
            <w:tcBorders>
              <w:top w:val="nil"/>
              <w:left w:val="nil"/>
              <w:bottom w:val="nil"/>
              <w:right w:val="nil"/>
            </w:tcBorders>
            <w:shd w:val="clear" w:color="auto" w:fill="auto"/>
            <w:vAlign w:val="center"/>
            <w:hideMark/>
          </w:tcPr>
          <w:p w14:paraId="05BA7050" w14:textId="77777777" w:rsidR="006B63EA" w:rsidRPr="000B1685" w:rsidRDefault="006B63EA" w:rsidP="00F50500">
            <w:pPr>
              <w:spacing w:after="0" w:line="240" w:lineRule="auto"/>
              <w:rPr>
                <w:color w:val="000000"/>
                <w:szCs w:val="24"/>
              </w:rPr>
            </w:pPr>
            <w:r w:rsidRPr="000B1685">
              <w:rPr>
                <w:color w:val="000000"/>
                <w:szCs w:val="24"/>
              </w:rPr>
              <w:t>–0.019</w:t>
            </w:r>
          </w:p>
        </w:tc>
        <w:tc>
          <w:tcPr>
            <w:tcW w:w="1172" w:type="dxa"/>
            <w:tcBorders>
              <w:top w:val="nil"/>
              <w:left w:val="nil"/>
              <w:bottom w:val="nil"/>
              <w:right w:val="nil"/>
            </w:tcBorders>
            <w:shd w:val="clear" w:color="auto" w:fill="auto"/>
            <w:vAlign w:val="center"/>
            <w:hideMark/>
          </w:tcPr>
          <w:p w14:paraId="5C73640F" w14:textId="77777777" w:rsidR="006B63EA" w:rsidRPr="000B1685" w:rsidRDefault="006B63EA" w:rsidP="00F50500">
            <w:pPr>
              <w:spacing w:after="0" w:line="240" w:lineRule="auto"/>
              <w:rPr>
                <w:color w:val="000000"/>
                <w:szCs w:val="24"/>
              </w:rPr>
            </w:pPr>
            <w:r w:rsidRPr="000B1685">
              <w:rPr>
                <w:color w:val="000000"/>
                <w:szCs w:val="24"/>
              </w:rPr>
              <w:t>0.007</w:t>
            </w:r>
          </w:p>
        </w:tc>
        <w:tc>
          <w:tcPr>
            <w:tcW w:w="1139" w:type="dxa"/>
            <w:tcBorders>
              <w:top w:val="nil"/>
              <w:left w:val="nil"/>
              <w:bottom w:val="nil"/>
              <w:right w:val="nil"/>
            </w:tcBorders>
            <w:shd w:val="clear" w:color="auto" w:fill="auto"/>
            <w:vAlign w:val="center"/>
            <w:hideMark/>
          </w:tcPr>
          <w:p w14:paraId="51D279BA" w14:textId="77777777" w:rsidR="006B63EA" w:rsidRPr="000B1685" w:rsidRDefault="006B63EA" w:rsidP="00F50500">
            <w:pPr>
              <w:spacing w:after="0" w:line="240" w:lineRule="auto"/>
              <w:rPr>
                <w:color w:val="000000"/>
                <w:szCs w:val="24"/>
              </w:rPr>
            </w:pPr>
            <w:r w:rsidRPr="000B1685">
              <w:rPr>
                <w:color w:val="000000"/>
                <w:szCs w:val="24"/>
              </w:rPr>
              <w:t>0.18</w:t>
            </w:r>
          </w:p>
        </w:tc>
        <w:tc>
          <w:tcPr>
            <w:tcW w:w="1172" w:type="dxa"/>
            <w:tcBorders>
              <w:top w:val="nil"/>
              <w:left w:val="nil"/>
              <w:bottom w:val="nil"/>
              <w:right w:val="nil"/>
            </w:tcBorders>
            <w:shd w:val="clear" w:color="auto" w:fill="auto"/>
            <w:vAlign w:val="center"/>
            <w:hideMark/>
          </w:tcPr>
          <w:p w14:paraId="1294AC17" w14:textId="77777777" w:rsidR="006B63EA" w:rsidRPr="000B1685" w:rsidRDefault="006B63EA" w:rsidP="00F50500">
            <w:pPr>
              <w:spacing w:after="0" w:line="240" w:lineRule="auto"/>
              <w:rPr>
                <w:color w:val="000000"/>
                <w:szCs w:val="24"/>
              </w:rPr>
            </w:pPr>
            <w:r w:rsidRPr="000B1685">
              <w:rPr>
                <w:color w:val="000000"/>
                <w:szCs w:val="24"/>
              </w:rPr>
              <w:t>–0.038</w:t>
            </w:r>
          </w:p>
        </w:tc>
      </w:tr>
      <w:tr w:rsidR="006B63EA" w:rsidRPr="000B1685" w14:paraId="07C2BE8B"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04252FB5"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Purchases</w:t>
            </w:r>
          </w:p>
        </w:tc>
        <w:tc>
          <w:tcPr>
            <w:tcW w:w="893" w:type="dxa"/>
            <w:tcBorders>
              <w:top w:val="nil"/>
              <w:left w:val="nil"/>
              <w:bottom w:val="nil"/>
              <w:right w:val="nil"/>
            </w:tcBorders>
            <w:shd w:val="clear" w:color="auto" w:fill="auto"/>
            <w:vAlign w:val="center"/>
            <w:hideMark/>
          </w:tcPr>
          <w:p w14:paraId="21A3F584" w14:textId="77777777" w:rsidR="006B63EA" w:rsidRPr="000B1685" w:rsidRDefault="006B63EA" w:rsidP="00F50500">
            <w:pPr>
              <w:spacing w:after="0" w:line="240" w:lineRule="auto"/>
              <w:rPr>
                <w:color w:val="000000"/>
                <w:szCs w:val="24"/>
              </w:rPr>
            </w:pPr>
            <w:r w:rsidRPr="000B1685">
              <w:rPr>
                <w:color w:val="000000"/>
                <w:szCs w:val="24"/>
              </w:rPr>
              <w:t>–0.070</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2A0E9CBA" w14:textId="77777777" w:rsidR="006B63EA" w:rsidRPr="000B1685" w:rsidRDefault="006B63EA" w:rsidP="00F50500">
            <w:pPr>
              <w:spacing w:after="0" w:line="240" w:lineRule="auto"/>
              <w:rPr>
                <w:color w:val="000000"/>
                <w:szCs w:val="24"/>
              </w:rPr>
            </w:pPr>
            <w:r w:rsidRPr="000B1685">
              <w:rPr>
                <w:color w:val="000000"/>
                <w:szCs w:val="24"/>
              </w:rPr>
              <w:t>–0.077</w:t>
            </w:r>
          </w:p>
        </w:tc>
        <w:tc>
          <w:tcPr>
            <w:tcW w:w="1172" w:type="dxa"/>
            <w:tcBorders>
              <w:top w:val="nil"/>
              <w:left w:val="nil"/>
              <w:bottom w:val="nil"/>
              <w:right w:val="nil"/>
            </w:tcBorders>
            <w:shd w:val="clear" w:color="auto" w:fill="auto"/>
            <w:vAlign w:val="center"/>
            <w:hideMark/>
          </w:tcPr>
          <w:p w14:paraId="0D9F41E6" w14:textId="77777777" w:rsidR="006B63EA" w:rsidRPr="000B1685" w:rsidRDefault="006B63EA" w:rsidP="00F50500">
            <w:pPr>
              <w:spacing w:after="0" w:line="240" w:lineRule="auto"/>
              <w:rPr>
                <w:color w:val="000000"/>
                <w:szCs w:val="24"/>
              </w:rPr>
            </w:pPr>
            <w:r w:rsidRPr="000B1685">
              <w:rPr>
                <w:color w:val="000000"/>
                <w:szCs w:val="24"/>
              </w:rPr>
              <w:t>–0.044</w:t>
            </w:r>
          </w:p>
        </w:tc>
        <w:tc>
          <w:tcPr>
            <w:tcW w:w="1139" w:type="dxa"/>
            <w:tcBorders>
              <w:top w:val="nil"/>
              <w:left w:val="nil"/>
              <w:bottom w:val="nil"/>
              <w:right w:val="nil"/>
            </w:tcBorders>
            <w:shd w:val="clear" w:color="auto" w:fill="auto"/>
            <w:vAlign w:val="center"/>
            <w:hideMark/>
          </w:tcPr>
          <w:p w14:paraId="31AFBC1E" w14:textId="77777777" w:rsidR="006B63EA" w:rsidRPr="000B1685" w:rsidRDefault="006B63EA" w:rsidP="00F50500">
            <w:pPr>
              <w:spacing w:after="0" w:line="240" w:lineRule="auto"/>
              <w:rPr>
                <w:color w:val="000000"/>
                <w:szCs w:val="24"/>
              </w:rPr>
            </w:pPr>
            <w:r w:rsidRPr="000B1685">
              <w:rPr>
                <w:color w:val="000000"/>
                <w:szCs w:val="24"/>
              </w:rPr>
              <w:t>–0.02</w:t>
            </w:r>
          </w:p>
        </w:tc>
        <w:tc>
          <w:tcPr>
            <w:tcW w:w="1172" w:type="dxa"/>
            <w:tcBorders>
              <w:top w:val="nil"/>
              <w:left w:val="nil"/>
              <w:bottom w:val="nil"/>
              <w:right w:val="nil"/>
            </w:tcBorders>
            <w:shd w:val="clear" w:color="auto" w:fill="auto"/>
            <w:vAlign w:val="center"/>
            <w:hideMark/>
          </w:tcPr>
          <w:p w14:paraId="3DD0A124" w14:textId="77777777" w:rsidR="006B63EA" w:rsidRPr="000B1685" w:rsidRDefault="006B63EA" w:rsidP="00F50500">
            <w:pPr>
              <w:spacing w:after="0" w:line="240" w:lineRule="auto"/>
              <w:rPr>
                <w:color w:val="000000"/>
                <w:szCs w:val="24"/>
              </w:rPr>
            </w:pPr>
            <w:r w:rsidRPr="000B1685">
              <w:rPr>
                <w:color w:val="000000"/>
                <w:szCs w:val="24"/>
              </w:rPr>
              <w:t>–0.078</w:t>
            </w:r>
            <w:r w:rsidRPr="000B1685">
              <w:rPr>
                <w:color w:val="000000"/>
                <w:szCs w:val="24"/>
                <w:vertAlign w:val="superscript"/>
              </w:rPr>
              <w:t>*</w:t>
            </w:r>
          </w:p>
        </w:tc>
      </w:tr>
      <w:tr w:rsidR="006B63EA" w:rsidRPr="000B1685" w14:paraId="4D1894C6"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55149384"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 xml:space="preserve">State Taxes </w:t>
            </w:r>
          </w:p>
        </w:tc>
        <w:tc>
          <w:tcPr>
            <w:tcW w:w="893" w:type="dxa"/>
            <w:tcBorders>
              <w:top w:val="nil"/>
              <w:left w:val="nil"/>
              <w:bottom w:val="nil"/>
              <w:right w:val="nil"/>
            </w:tcBorders>
            <w:shd w:val="clear" w:color="auto" w:fill="auto"/>
            <w:vAlign w:val="center"/>
            <w:hideMark/>
          </w:tcPr>
          <w:p w14:paraId="116C1190" w14:textId="77777777" w:rsidR="006B63EA" w:rsidRPr="000B1685" w:rsidRDefault="006B63EA" w:rsidP="00F50500">
            <w:pPr>
              <w:spacing w:after="0" w:line="240" w:lineRule="auto"/>
              <w:rPr>
                <w:color w:val="000000"/>
                <w:szCs w:val="24"/>
              </w:rPr>
            </w:pPr>
            <w:r w:rsidRPr="000B1685">
              <w:rPr>
                <w:color w:val="000000"/>
                <w:szCs w:val="24"/>
              </w:rPr>
              <w:t>0.057</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79EA7649" w14:textId="77777777" w:rsidR="006B63EA" w:rsidRPr="000B1685" w:rsidRDefault="006B63EA" w:rsidP="00F50500">
            <w:pPr>
              <w:spacing w:after="0" w:line="240" w:lineRule="auto"/>
              <w:rPr>
                <w:color w:val="000000"/>
                <w:szCs w:val="24"/>
              </w:rPr>
            </w:pPr>
            <w:r w:rsidRPr="000B1685">
              <w:rPr>
                <w:color w:val="000000"/>
                <w:szCs w:val="24"/>
              </w:rPr>
              <w:t>0.050</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32C8B878" w14:textId="77777777" w:rsidR="006B63EA" w:rsidRPr="000B1685" w:rsidRDefault="006B63EA" w:rsidP="00F50500">
            <w:pPr>
              <w:spacing w:after="0" w:line="240" w:lineRule="auto"/>
              <w:rPr>
                <w:color w:val="000000"/>
                <w:szCs w:val="24"/>
              </w:rPr>
            </w:pPr>
            <w:r w:rsidRPr="000B1685">
              <w:rPr>
                <w:color w:val="000000"/>
                <w:szCs w:val="24"/>
              </w:rPr>
              <w:t>0.005</w:t>
            </w:r>
          </w:p>
        </w:tc>
        <w:tc>
          <w:tcPr>
            <w:tcW w:w="1139" w:type="dxa"/>
            <w:tcBorders>
              <w:top w:val="nil"/>
              <w:left w:val="nil"/>
              <w:bottom w:val="nil"/>
              <w:right w:val="nil"/>
            </w:tcBorders>
            <w:shd w:val="clear" w:color="auto" w:fill="auto"/>
            <w:vAlign w:val="center"/>
            <w:hideMark/>
          </w:tcPr>
          <w:p w14:paraId="5959A770" w14:textId="77777777" w:rsidR="006B63EA" w:rsidRPr="000B1685" w:rsidRDefault="006B63EA" w:rsidP="00F50500">
            <w:pPr>
              <w:spacing w:after="0" w:line="240" w:lineRule="auto"/>
              <w:rPr>
                <w:color w:val="000000"/>
                <w:szCs w:val="24"/>
              </w:rPr>
            </w:pPr>
            <w:r w:rsidRPr="000B1685">
              <w:rPr>
                <w:color w:val="000000"/>
                <w:szCs w:val="24"/>
              </w:rPr>
              <w:t>0.163</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F795757" w14:textId="77777777" w:rsidR="006B63EA" w:rsidRPr="000B1685" w:rsidRDefault="006B63EA" w:rsidP="00F50500">
            <w:pPr>
              <w:spacing w:after="0" w:line="240" w:lineRule="auto"/>
              <w:rPr>
                <w:color w:val="000000"/>
                <w:szCs w:val="24"/>
              </w:rPr>
            </w:pPr>
            <w:r w:rsidRPr="000B1685">
              <w:rPr>
                <w:color w:val="000000"/>
                <w:szCs w:val="24"/>
              </w:rPr>
              <w:t>0.062</w:t>
            </w:r>
            <w:r w:rsidRPr="000B1685">
              <w:rPr>
                <w:color w:val="000000"/>
                <w:szCs w:val="24"/>
                <w:vertAlign w:val="superscript"/>
              </w:rPr>
              <w:t>***</w:t>
            </w:r>
          </w:p>
        </w:tc>
      </w:tr>
      <w:tr w:rsidR="006B63EA" w:rsidRPr="000B1685" w14:paraId="173705D8"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4310468C" w14:textId="77777777" w:rsidR="006B63EA" w:rsidRPr="000B1685" w:rsidRDefault="006B63EA" w:rsidP="00F50500">
            <w:pPr>
              <w:spacing w:after="0" w:line="240" w:lineRule="auto"/>
              <w:ind w:firstLineChars="200" w:firstLine="440"/>
              <w:rPr>
                <w:color w:val="000000"/>
                <w:szCs w:val="24"/>
              </w:rPr>
            </w:pPr>
            <w:r w:rsidRPr="000B1685">
              <w:rPr>
                <w:color w:val="000000"/>
                <w:szCs w:val="24"/>
              </w:rPr>
              <w:lastRenderedPageBreak/>
              <w:t>State Transfers</w:t>
            </w:r>
          </w:p>
        </w:tc>
        <w:tc>
          <w:tcPr>
            <w:tcW w:w="893" w:type="dxa"/>
            <w:tcBorders>
              <w:top w:val="nil"/>
              <w:left w:val="nil"/>
              <w:bottom w:val="nil"/>
              <w:right w:val="nil"/>
            </w:tcBorders>
            <w:shd w:val="clear" w:color="auto" w:fill="auto"/>
            <w:vAlign w:val="center"/>
            <w:hideMark/>
          </w:tcPr>
          <w:p w14:paraId="626F41CC" w14:textId="77777777" w:rsidR="006B63EA" w:rsidRPr="000B1685" w:rsidRDefault="006B63EA" w:rsidP="00F50500">
            <w:pPr>
              <w:spacing w:after="0" w:line="240" w:lineRule="auto"/>
              <w:rPr>
                <w:color w:val="000000"/>
                <w:szCs w:val="24"/>
              </w:rPr>
            </w:pPr>
            <w:r w:rsidRPr="000B1685">
              <w:rPr>
                <w:color w:val="000000"/>
                <w:szCs w:val="24"/>
              </w:rPr>
              <w:t>0.001</w:t>
            </w:r>
          </w:p>
        </w:tc>
        <w:tc>
          <w:tcPr>
            <w:tcW w:w="1224" w:type="dxa"/>
            <w:tcBorders>
              <w:top w:val="nil"/>
              <w:left w:val="nil"/>
              <w:bottom w:val="nil"/>
              <w:right w:val="nil"/>
            </w:tcBorders>
            <w:shd w:val="clear" w:color="auto" w:fill="auto"/>
            <w:vAlign w:val="center"/>
            <w:hideMark/>
          </w:tcPr>
          <w:p w14:paraId="613C2040" w14:textId="77777777" w:rsidR="006B63EA" w:rsidRPr="000B1685" w:rsidRDefault="006B63EA" w:rsidP="00F50500">
            <w:pPr>
              <w:spacing w:after="0" w:line="240" w:lineRule="auto"/>
              <w:rPr>
                <w:color w:val="000000"/>
                <w:szCs w:val="24"/>
              </w:rPr>
            </w:pPr>
            <w:r w:rsidRPr="000B1685">
              <w:rPr>
                <w:color w:val="000000"/>
                <w:szCs w:val="24"/>
              </w:rPr>
              <w:t>0.009</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AAE1BBA" w14:textId="77777777" w:rsidR="006B63EA" w:rsidRPr="000B1685" w:rsidRDefault="006B63EA" w:rsidP="00F50500">
            <w:pPr>
              <w:spacing w:after="0" w:line="240" w:lineRule="auto"/>
              <w:rPr>
                <w:color w:val="000000"/>
                <w:szCs w:val="24"/>
              </w:rPr>
            </w:pPr>
            <w:r w:rsidRPr="000B1685">
              <w:rPr>
                <w:color w:val="000000"/>
                <w:szCs w:val="24"/>
              </w:rPr>
              <w:t>0.046</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646A9EA9" w14:textId="77777777" w:rsidR="006B63EA" w:rsidRPr="000B1685" w:rsidRDefault="006B63EA" w:rsidP="00F50500">
            <w:pPr>
              <w:spacing w:after="0" w:line="240" w:lineRule="auto"/>
              <w:rPr>
                <w:color w:val="000000"/>
                <w:szCs w:val="24"/>
              </w:rPr>
            </w:pPr>
            <w:r w:rsidRPr="000B1685">
              <w:rPr>
                <w:color w:val="000000"/>
                <w:szCs w:val="24"/>
              </w:rPr>
              <w:t>0.036</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6955AF68" w14:textId="77777777" w:rsidR="006B63EA" w:rsidRPr="000B1685" w:rsidRDefault="006B63EA" w:rsidP="00F50500">
            <w:pPr>
              <w:spacing w:after="0" w:line="240" w:lineRule="auto"/>
              <w:rPr>
                <w:color w:val="000000"/>
                <w:szCs w:val="24"/>
              </w:rPr>
            </w:pPr>
            <w:r w:rsidRPr="000B1685">
              <w:rPr>
                <w:color w:val="000000"/>
                <w:szCs w:val="24"/>
              </w:rPr>
              <w:t>–0.022</w:t>
            </w:r>
            <w:r w:rsidRPr="000B1685">
              <w:rPr>
                <w:color w:val="000000"/>
                <w:szCs w:val="24"/>
                <w:vertAlign w:val="superscript"/>
              </w:rPr>
              <w:t>***</w:t>
            </w:r>
          </w:p>
        </w:tc>
      </w:tr>
      <w:tr w:rsidR="006B63EA" w:rsidRPr="000B1685" w14:paraId="79F154EC"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34E7F9E0" w14:textId="77777777" w:rsidR="006B63EA" w:rsidRPr="000B1685" w:rsidRDefault="006B63EA" w:rsidP="00F50500">
            <w:pPr>
              <w:spacing w:after="0" w:line="240" w:lineRule="auto"/>
              <w:rPr>
                <w:color w:val="000000"/>
                <w:szCs w:val="24"/>
              </w:rPr>
            </w:pPr>
            <w:r w:rsidRPr="000B1685">
              <w:rPr>
                <w:color w:val="000000"/>
                <w:szCs w:val="24"/>
              </w:rPr>
              <w:t>Automatic</w:t>
            </w:r>
          </w:p>
        </w:tc>
        <w:tc>
          <w:tcPr>
            <w:tcW w:w="893" w:type="dxa"/>
            <w:tcBorders>
              <w:top w:val="nil"/>
              <w:left w:val="nil"/>
              <w:bottom w:val="nil"/>
              <w:right w:val="nil"/>
            </w:tcBorders>
            <w:shd w:val="clear" w:color="auto" w:fill="auto"/>
            <w:vAlign w:val="center"/>
            <w:hideMark/>
          </w:tcPr>
          <w:p w14:paraId="4269C803" w14:textId="77777777" w:rsidR="006B63EA" w:rsidRPr="000B1685" w:rsidRDefault="006B63EA" w:rsidP="00F50500">
            <w:pPr>
              <w:spacing w:after="0" w:line="240" w:lineRule="auto"/>
              <w:rPr>
                <w:color w:val="000000"/>
                <w:szCs w:val="24"/>
              </w:rPr>
            </w:pPr>
            <w:r w:rsidRPr="000B1685">
              <w:rPr>
                <w:color w:val="000000"/>
                <w:szCs w:val="24"/>
              </w:rPr>
              <w:t>0.356</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6F2AF96C" w14:textId="77777777" w:rsidR="006B63EA" w:rsidRPr="000B1685" w:rsidRDefault="006B63EA" w:rsidP="00F50500">
            <w:pPr>
              <w:spacing w:after="0" w:line="240" w:lineRule="auto"/>
              <w:rPr>
                <w:color w:val="000000"/>
                <w:szCs w:val="24"/>
              </w:rPr>
            </w:pPr>
            <w:r w:rsidRPr="000B1685">
              <w:rPr>
                <w:color w:val="000000"/>
                <w:szCs w:val="24"/>
              </w:rPr>
              <w:t>0.363</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EAF985F" w14:textId="77777777" w:rsidR="006B63EA" w:rsidRPr="000B1685" w:rsidRDefault="006B63EA" w:rsidP="00F50500">
            <w:pPr>
              <w:spacing w:after="0" w:line="240" w:lineRule="auto"/>
              <w:rPr>
                <w:color w:val="000000"/>
                <w:szCs w:val="24"/>
              </w:rPr>
            </w:pPr>
            <w:r w:rsidRPr="000B1685">
              <w:rPr>
                <w:color w:val="000000"/>
                <w:szCs w:val="24"/>
              </w:rPr>
              <w:t>0.449</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11756355" w14:textId="77777777" w:rsidR="006B63EA" w:rsidRPr="000B1685" w:rsidRDefault="006B63EA" w:rsidP="00F50500">
            <w:pPr>
              <w:spacing w:after="0" w:line="240" w:lineRule="auto"/>
              <w:rPr>
                <w:color w:val="000000"/>
                <w:szCs w:val="24"/>
              </w:rPr>
            </w:pPr>
            <w:r w:rsidRPr="000B1685">
              <w:rPr>
                <w:color w:val="000000"/>
                <w:szCs w:val="24"/>
              </w:rPr>
              <w:t>0.481</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F708028" w14:textId="77777777" w:rsidR="006B63EA" w:rsidRPr="000B1685" w:rsidRDefault="006B63EA" w:rsidP="00F50500">
            <w:pPr>
              <w:spacing w:after="0" w:line="240" w:lineRule="auto"/>
              <w:rPr>
                <w:color w:val="000000"/>
                <w:szCs w:val="24"/>
              </w:rPr>
            </w:pPr>
            <w:r w:rsidRPr="000B1685">
              <w:rPr>
                <w:color w:val="000000"/>
                <w:szCs w:val="24"/>
              </w:rPr>
              <w:t>0.309</w:t>
            </w:r>
            <w:r w:rsidRPr="000B1685">
              <w:rPr>
                <w:color w:val="000000"/>
                <w:szCs w:val="24"/>
                <w:vertAlign w:val="superscript"/>
              </w:rPr>
              <w:t>***</w:t>
            </w:r>
          </w:p>
        </w:tc>
      </w:tr>
      <w:tr w:rsidR="006B63EA" w:rsidRPr="000B1685" w14:paraId="2CF715A1"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3A53CC22" w14:textId="77777777" w:rsidR="006B63EA" w:rsidRPr="000B1685" w:rsidRDefault="006B63EA" w:rsidP="00F50500">
            <w:pPr>
              <w:spacing w:after="0" w:line="240" w:lineRule="auto"/>
              <w:rPr>
                <w:color w:val="000000"/>
                <w:szCs w:val="24"/>
              </w:rPr>
            </w:pPr>
            <w:r w:rsidRPr="000B1685">
              <w:rPr>
                <w:color w:val="000000"/>
                <w:szCs w:val="24"/>
              </w:rPr>
              <w:t>Discretionary</w:t>
            </w:r>
          </w:p>
        </w:tc>
        <w:tc>
          <w:tcPr>
            <w:tcW w:w="893" w:type="dxa"/>
            <w:tcBorders>
              <w:top w:val="nil"/>
              <w:left w:val="nil"/>
              <w:bottom w:val="nil"/>
              <w:right w:val="nil"/>
            </w:tcBorders>
            <w:shd w:val="clear" w:color="auto" w:fill="auto"/>
            <w:vAlign w:val="center"/>
            <w:hideMark/>
          </w:tcPr>
          <w:p w14:paraId="3BCB0B7E" w14:textId="77777777" w:rsidR="006B63EA" w:rsidRPr="000B1685" w:rsidRDefault="006B63EA" w:rsidP="00F50500">
            <w:pPr>
              <w:spacing w:after="0" w:line="240" w:lineRule="auto"/>
              <w:rPr>
                <w:color w:val="000000"/>
                <w:szCs w:val="24"/>
              </w:rPr>
            </w:pPr>
            <w:r w:rsidRPr="000B1685">
              <w:rPr>
                <w:color w:val="000000"/>
                <w:szCs w:val="24"/>
              </w:rPr>
              <w:t>0.288</w:t>
            </w:r>
            <w:r w:rsidRPr="000B1685">
              <w:rPr>
                <w:color w:val="000000"/>
                <w:szCs w:val="24"/>
                <w:vertAlign w:val="superscript"/>
              </w:rPr>
              <w:t>***</w:t>
            </w:r>
          </w:p>
        </w:tc>
        <w:tc>
          <w:tcPr>
            <w:tcW w:w="1224" w:type="dxa"/>
            <w:tcBorders>
              <w:top w:val="nil"/>
              <w:left w:val="nil"/>
              <w:bottom w:val="nil"/>
              <w:right w:val="nil"/>
            </w:tcBorders>
            <w:shd w:val="clear" w:color="auto" w:fill="auto"/>
            <w:vAlign w:val="bottom"/>
            <w:hideMark/>
          </w:tcPr>
          <w:p w14:paraId="7784C420" w14:textId="77777777" w:rsidR="006B63EA" w:rsidRPr="000B1685" w:rsidRDefault="006B63EA" w:rsidP="00F50500">
            <w:pPr>
              <w:spacing w:after="0" w:line="240" w:lineRule="auto"/>
              <w:rPr>
                <w:color w:val="000000"/>
                <w:szCs w:val="24"/>
              </w:rPr>
            </w:pPr>
            <w:r w:rsidRPr="000B1685">
              <w:rPr>
                <w:color w:val="000000"/>
                <w:szCs w:val="24"/>
              </w:rPr>
              <w:t>–0.095</w:t>
            </w:r>
          </w:p>
        </w:tc>
        <w:tc>
          <w:tcPr>
            <w:tcW w:w="1172" w:type="dxa"/>
            <w:tcBorders>
              <w:top w:val="nil"/>
              <w:left w:val="nil"/>
              <w:bottom w:val="nil"/>
              <w:right w:val="nil"/>
            </w:tcBorders>
            <w:shd w:val="clear" w:color="auto" w:fill="auto"/>
            <w:vAlign w:val="bottom"/>
            <w:hideMark/>
          </w:tcPr>
          <w:p w14:paraId="3B64FA49" w14:textId="77777777" w:rsidR="006B63EA" w:rsidRPr="000B1685" w:rsidRDefault="006B63EA" w:rsidP="00F50500">
            <w:pPr>
              <w:spacing w:after="0" w:line="240" w:lineRule="auto"/>
              <w:rPr>
                <w:color w:val="000000"/>
                <w:szCs w:val="24"/>
              </w:rPr>
            </w:pPr>
            <w:r w:rsidRPr="000B1685">
              <w:rPr>
                <w:color w:val="000000"/>
                <w:szCs w:val="24"/>
              </w:rPr>
              <w:t>0.247</w:t>
            </w:r>
            <w:r w:rsidRPr="000B1685">
              <w:rPr>
                <w:color w:val="000000"/>
                <w:szCs w:val="24"/>
                <w:vertAlign w:val="superscript"/>
              </w:rPr>
              <w:t>*</w:t>
            </w:r>
          </w:p>
        </w:tc>
        <w:tc>
          <w:tcPr>
            <w:tcW w:w="1139" w:type="dxa"/>
            <w:tcBorders>
              <w:top w:val="nil"/>
              <w:left w:val="nil"/>
              <w:bottom w:val="nil"/>
              <w:right w:val="nil"/>
            </w:tcBorders>
            <w:shd w:val="clear" w:color="auto" w:fill="auto"/>
            <w:vAlign w:val="bottom"/>
            <w:hideMark/>
          </w:tcPr>
          <w:p w14:paraId="2BE28356" w14:textId="77777777" w:rsidR="006B63EA" w:rsidRPr="000B1685" w:rsidRDefault="006B63EA" w:rsidP="00F50500">
            <w:pPr>
              <w:spacing w:after="0" w:line="240" w:lineRule="auto"/>
              <w:rPr>
                <w:color w:val="000000"/>
                <w:szCs w:val="24"/>
              </w:rPr>
            </w:pPr>
            <w:r w:rsidRPr="000B1685">
              <w:rPr>
                <w:color w:val="000000"/>
                <w:szCs w:val="24"/>
              </w:rPr>
              <w:t>0.807</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2BD5324A" w14:textId="77777777" w:rsidR="006B63EA" w:rsidRPr="000B1685" w:rsidRDefault="006B63EA" w:rsidP="00F50500">
            <w:pPr>
              <w:spacing w:after="0" w:line="240" w:lineRule="auto"/>
              <w:rPr>
                <w:color w:val="000000"/>
                <w:szCs w:val="24"/>
              </w:rPr>
            </w:pPr>
            <w:r w:rsidRPr="000B1685">
              <w:rPr>
                <w:color w:val="000000"/>
                <w:szCs w:val="24"/>
              </w:rPr>
              <w:t>0.525</w:t>
            </w:r>
            <w:r w:rsidRPr="000B1685">
              <w:rPr>
                <w:color w:val="000000"/>
                <w:szCs w:val="24"/>
                <w:vertAlign w:val="superscript"/>
              </w:rPr>
              <w:t>***</w:t>
            </w:r>
          </w:p>
        </w:tc>
      </w:tr>
      <w:tr w:rsidR="006B63EA" w:rsidRPr="000B1685" w14:paraId="58CA86CF"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1E0585AD" w14:textId="77777777" w:rsidR="006B63EA" w:rsidRPr="000B1685" w:rsidRDefault="006B63EA" w:rsidP="00F50500">
            <w:pPr>
              <w:spacing w:after="0" w:line="240" w:lineRule="auto"/>
              <w:rPr>
                <w:color w:val="000000"/>
                <w:szCs w:val="24"/>
              </w:rPr>
            </w:pPr>
            <w:r w:rsidRPr="000B1685">
              <w:rPr>
                <w:color w:val="000000"/>
                <w:szCs w:val="24"/>
              </w:rPr>
              <w:t xml:space="preserve">Automatic: </w:t>
            </w:r>
          </w:p>
        </w:tc>
        <w:tc>
          <w:tcPr>
            <w:tcW w:w="893" w:type="dxa"/>
            <w:tcBorders>
              <w:top w:val="nil"/>
              <w:left w:val="nil"/>
              <w:bottom w:val="nil"/>
              <w:right w:val="nil"/>
            </w:tcBorders>
            <w:shd w:val="clear" w:color="auto" w:fill="auto"/>
            <w:noWrap/>
            <w:vAlign w:val="bottom"/>
            <w:hideMark/>
          </w:tcPr>
          <w:p w14:paraId="54E5FC90" w14:textId="77777777" w:rsidR="006B63EA" w:rsidRPr="000B1685" w:rsidRDefault="006B63EA" w:rsidP="00F50500">
            <w:pPr>
              <w:spacing w:after="0" w:line="240" w:lineRule="auto"/>
              <w:rPr>
                <w:color w:val="000000"/>
                <w:szCs w:val="24"/>
              </w:rPr>
            </w:pPr>
          </w:p>
        </w:tc>
        <w:tc>
          <w:tcPr>
            <w:tcW w:w="1224" w:type="dxa"/>
            <w:tcBorders>
              <w:top w:val="nil"/>
              <w:left w:val="nil"/>
              <w:bottom w:val="nil"/>
              <w:right w:val="nil"/>
            </w:tcBorders>
            <w:shd w:val="clear" w:color="auto" w:fill="auto"/>
            <w:noWrap/>
            <w:vAlign w:val="bottom"/>
            <w:hideMark/>
          </w:tcPr>
          <w:p w14:paraId="1616FB6E"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0AB859A5"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5D53C8A2"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7244E9CE" w14:textId="77777777" w:rsidR="006B63EA" w:rsidRPr="000B1685" w:rsidRDefault="006B63EA" w:rsidP="00F50500">
            <w:pPr>
              <w:spacing w:after="0" w:line="240" w:lineRule="auto"/>
              <w:rPr>
                <w:szCs w:val="24"/>
              </w:rPr>
            </w:pPr>
          </w:p>
        </w:tc>
      </w:tr>
      <w:tr w:rsidR="006B63EA" w:rsidRPr="000B1685" w14:paraId="26D1C51F"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6CA2A084"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Taxes</w:t>
            </w:r>
          </w:p>
        </w:tc>
        <w:tc>
          <w:tcPr>
            <w:tcW w:w="893" w:type="dxa"/>
            <w:tcBorders>
              <w:top w:val="nil"/>
              <w:left w:val="nil"/>
              <w:bottom w:val="nil"/>
              <w:right w:val="nil"/>
            </w:tcBorders>
            <w:shd w:val="clear" w:color="auto" w:fill="auto"/>
            <w:vAlign w:val="center"/>
            <w:hideMark/>
          </w:tcPr>
          <w:p w14:paraId="35F4E8AE" w14:textId="77777777" w:rsidR="006B63EA" w:rsidRPr="000B1685" w:rsidRDefault="006B63EA" w:rsidP="00F50500">
            <w:pPr>
              <w:spacing w:after="0" w:line="240" w:lineRule="auto"/>
              <w:rPr>
                <w:color w:val="000000"/>
                <w:szCs w:val="24"/>
              </w:rPr>
            </w:pPr>
            <w:r w:rsidRPr="000B1685">
              <w:rPr>
                <w:color w:val="000000"/>
                <w:szCs w:val="24"/>
              </w:rPr>
              <w:t>0.232</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0F8F3773" w14:textId="77777777" w:rsidR="006B63EA" w:rsidRPr="000B1685" w:rsidRDefault="006B63EA" w:rsidP="00F50500">
            <w:pPr>
              <w:spacing w:after="0" w:line="240" w:lineRule="auto"/>
              <w:rPr>
                <w:color w:val="000000"/>
                <w:szCs w:val="24"/>
              </w:rPr>
            </w:pPr>
            <w:r w:rsidRPr="000B1685">
              <w:rPr>
                <w:color w:val="000000"/>
                <w:szCs w:val="24"/>
              </w:rPr>
              <w:t>0.239</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44F0143" w14:textId="77777777" w:rsidR="006B63EA" w:rsidRPr="000B1685" w:rsidRDefault="006B63EA" w:rsidP="00F50500">
            <w:pPr>
              <w:spacing w:after="0" w:line="240" w:lineRule="auto"/>
              <w:rPr>
                <w:color w:val="000000"/>
                <w:szCs w:val="24"/>
              </w:rPr>
            </w:pPr>
            <w:r w:rsidRPr="000B1685">
              <w:rPr>
                <w:color w:val="000000"/>
                <w:szCs w:val="24"/>
              </w:rPr>
              <w:t>0.335</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65F00995" w14:textId="77777777" w:rsidR="006B63EA" w:rsidRPr="000B1685" w:rsidRDefault="006B63EA" w:rsidP="00F50500">
            <w:pPr>
              <w:spacing w:after="0" w:line="240" w:lineRule="auto"/>
              <w:rPr>
                <w:color w:val="000000"/>
                <w:szCs w:val="24"/>
              </w:rPr>
            </w:pPr>
            <w:r w:rsidRPr="000B1685">
              <w:rPr>
                <w:color w:val="000000"/>
                <w:szCs w:val="24"/>
              </w:rPr>
              <w:t>0.338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4AC7358" w14:textId="77777777" w:rsidR="006B63EA" w:rsidRPr="000B1685" w:rsidRDefault="006B63EA" w:rsidP="00F50500">
            <w:pPr>
              <w:spacing w:after="0" w:line="240" w:lineRule="auto"/>
              <w:rPr>
                <w:color w:val="000000"/>
                <w:szCs w:val="24"/>
              </w:rPr>
            </w:pPr>
            <w:r w:rsidRPr="000B1685">
              <w:rPr>
                <w:color w:val="000000"/>
                <w:szCs w:val="24"/>
              </w:rPr>
              <w:t>0.183</w:t>
            </w:r>
            <w:r w:rsidRPr="000B1685">
              <w:rPr>
                <w:color w:val="000000"/>
                <w:szCs w:val="24"/>
                <w:vertAlign w:val="superscript"/>
              </w:rPr>
              <w:t>***</w:t>
            </w:r>
          </w:p>
        </w:tc>
      </w:tr>
      <w:tr w:rsidR="006B63EA" w:rsidRPr="000B1685" w14:paraId="1988CF63"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5883FB0B"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Transfers</w:t>
            </w:r>
          </w:p>
        </w:tc>
        <w:tc>
          <w:tcPr>
            <w:tcW w:w="893" w:type="dxa"/>
            <w:tcBorders>
              <w:top w:val="nil"/>
              <w:left w:val="nil"/>
              <w:bottom w:val="nil"/>
              <w:right w:val="nil"/>
            </w:tcBorders>
            <w:shd w:val="clear" w:color="auto" w:fill="auto"/>
            <w:vAlign w:val="center"/>
            <w:hideMark/>
          </w:tcPr>
          <w:p w14:paraId="5A42CB75" w14:textId="77777777" w:rsidR="006B63EA" w:rsidRPr="000B1685" w:rsidRDefault="006B63EA" w:rsidP="00F50500">
            <w:pPr>
              <w:spacing w:after="0" w:line="240" w:lineRule="auto"/>
              <w:rPr>
                <w:color w:val="000000"/>
                <w:szCs w:val="24"/>
              </w:rPr>
            </w:pPr>
            <w:r w:rsidRPr="000B1685">
              <w:rPr>
                <w:color w:val="000000"/>
                <w:szCs w:val="24"/>
              </w:rPr>
              <w:t>0.125</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4F842803" w14:textId="77777777" w:rsidR="006B63EA" w:rsidRPr="000B1685" w:rsidRDefault="006B63EA" w:rsidP="00F50500">
            <w:pPr>
              <w:spacing w:after="0" w:line="240" w:lineRule="auto"/>
              <w:rPr>
                <w:color w:val="000000"/>
                <w:szCs w:val="24"/>
              </w:rPr>
            </w:pPr>
            <w:r w:rsidRPr="000B1685">
              <w:rPr>
                <w:color w:val="000000"/>
                <w:szCs w:val="24"/>
              </w:rPr>
              <w:t>0.124</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1BFFD322" w14:textId="77777777" w:rsidR="006B63EA" w:rsidRPr="000B1685" w:rsidRDefault="006B63EA" w:rsidP="00F50500">
            <w:pPr>
              <w:spacing w:after="0" w:line="240" w:lineRule="auto"/>
              <w:rPr>
                <w:color w:val="000000"/>
                <w:szCs w:val="24"/>
              </w:rPr>
            </w:pPr>
            <w:r w:rsidRPr="000B1685">
              <w:rPr>
                <w:color w:val="000000"/>
                <w:szCs w:val="24"/>
              </w:rPr>
              <w:t>0.113</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4053833D" w14:textId="77777777" w:rsidR="006B63EA" w:rsidRPr="000B1685" w:rsidRDefault="006B63EA" w:rsidP="00F50500">
            <w:pPr>
              <w:spacing w:after="0" w:line="240" w:lineRule="auto"/>
              <w:rPr>
                <w:color w:val="000000"/>
                <w:szCs w:val="24"/>
              </w:rPr>
            </w:pPr>
            <w:r w:rsidRPr="000B1685">
              <w:rPr>
                <w:color w:val="000000"/>
                <w:szCs w:val="24"/>
              </w:rPr>
              <w:t>0.142</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EDE845D" w14:textId="77777777" w:rsidR="006B63EA" w:rsidRPr="000B1685" w:rsidRDefault="006B63EA" w:rsidP="00F50500">
            <w:pPr>
              <w:spacing w:after="0" w:line="240" w:lineRule="auto"/>
              <w:rPr>
                <w:color w:val="000000"/>
                <w:szCs w:val="24"/>
              </w:rPr>
            </w:pPr>
            <w:r w:rsidRPr="000B1685">
              <w:rPr>
                <w:color w:val="000000"/>
                <w:szCs w:val="24"/>
              </w:rPr>
              <w:t>0.126</w:t>
            </w:r>
            <w:r w:rsidRPr="000B1685">
              <w:rPr>
                <w:color w:val="000000"/>
                <w:szCs w:val="24"/>
                <w:vertAlign w:val="superscript"/>
              </w:rPr>
              <w:t>***</w:t>
            </w:r>
          </w:p>
        </w:tc>
      </w:tr>
      <w:tr w:rsidR="006B63EA" w:rsidRPr="000B1685" w14:paraId="15A1AAAE"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3088B626"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Federal</w:t>
            </w:r>
          </w:p>
        </w:tc>
        <w:tc>
          <w:tcPr>
            <w:tcW w:w="893" w:type="dxa"/>
            <w:tcBorders>
              <w:top w:val="nil"/>
              <w:left w:val="nil"/>
              <w:bottom w:val="nil"/>
              <w:right w:val="nil"/>
            </w:tcBorders>
            <w:shd w:val="clear" w:color="auto" w:fill="auto"/>
            <w:noWrap/>
            <w:vAlign w:val="bottom"/>
            <w:hideMark/>
          </w:tcPr>
          <w:p w14:paraId="07C09797" w14:textId="77777777" w:rsidR="006B63EA" w:rsidRPr="000B1685" w:rsidRDefault="006B63EA" w:rsidP="00F50500">
            <w:pPr>
              <w:spacing w:after="0" w:line="240" w:lineRule="auto"/>
              <w:ind w:firstLineChars="100" w:firstLine="220"/>
              <w:rPr>
                <w:i/>
                <w:iCs/>
                <w:color w:val="000000"/>
                <w:szCs w:val="24"/>
              </w:rPr>
            </w:pPr>
          </w:p>
        </w:tc>
        <w:tc>
          <w:tcPr>
            <w:tcW w:w="1224" w:type="dxa"/>
            <w:tcBorders>
              <w:top w:val="nil"/>
              <w:left w:val="nil"/>
              <w:bottom w:val="nil"/>
              <w:right w:val="nil"/>
            </w:tcBorders>
            <w:shd w:val="clear" w:color="auto" w:fill="auto"/>
            <w:noWrap/>
            <w:vAlign w:val="bottom"/>
            <w:hideMark/>
          </w:tcPr>
          <w:p w14:paraId="02842FC9"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2429E0C7"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75A0F2F5"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3A95887B" w14:textId="77777777" w:rsidR="006B63EA" w:rsidRPr="000B1685" w:rsidRDefault="006B63EA" w:rsidP="00F50500">
            <w:pPr>
              <w:spacing w:after="0" w:line="240" w:lineRule="auto"/>
              <w:rPr>
                <w:szCs w:val="24"/>
              </w:rPr>
            </w:pPr>
          </w:p>
        </w:tc>
      </w:tr>
      <w:tr w:rsidR="006B63EA" w:rsidRPr="000B1685" w14:paraId="668729C4"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761DA070"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Taxes</w:t>
            </w:r>
          </w:p>
        </w:tc>
        <w:tc>
          <w:tcPr>
            <w:tcW w:w="893" w:type="dxa"/>
            <w:tcBorders>
              <w:top w:val="nil"/>
              <w:left w:val="nil"/>
              <w:bottom w:val="nil"/>
              <w:right w:val="nil"/>
            </w:tcBorders>
            <w:shd w:val="clear" w:color="auto" w:fill="auto"/>
            <w:vAlign w:val="center"/>
            <w:hideMark/>
          </w:tcPr>
          <w:p w14:paraId="69A0D09C" w14:textId="77777777" w:rsidR="006B63EA" w:rsidRPr="000B1685" w:rsidRDefault="006B63EA" w:rsidP="00F50500">
            <w:pPr>
              <w:spacing w:after="0" w:line="240" w:lineRule="auto"/>
              <w:rPr>
                <w:color w:val="000000"/>
                <w:szCs w:val="24"/>
              </w:rPr>
            </w:pPr>
            <w:r w:rsidRPr="000B1685">
              <w:rPr>
                <w:color w:val="000000"/>
                <w:szCs w:val="24"/>
              </w:rPr>
              <w:t>0.178</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596FEE7A" w14:textId="77777777" w:rsidR="006B63EA" w:rsidRPr="000B1685" w:rsidRDefault="006B63EA" w:rsidP="00F50500">
            <w:pPr>
              <w:spacing w:after="0" w:line="240" w:lineRule="auto"/>
              <w:rPr>
                <w:color w:val="000000"/>
                <w:szCs w:val="24"/>
              </w:rPr>
            </w:pPr>
            <w:r w:rsidRPr="000B1685">
              <w:rPr>
                <w:color w:val="000000"/>
                <w:szCs w:val="24"/>
              </w:rPr>
              <w:t>0.185</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361C9730" w14:textId="77777777" w:rsidR="006B63EA" w:rsidRPr="000B1685" w:rsidRDefault="006B63EA" w:rsidP="00F50500">
            <w:pPr>
              <w:spacing w:after="0" w:line="240" w:lineRule="auto"/>
              <w:rPr>
                <w:color w:val="000000"/>
                <w:szCs w:val="24"/>
              </w:rPr>
            </w:pPr>
            <w:r w:rsidRPr="000B1685">
              <w:rPr>
                <w:color w:val="000000"/>
                <w:szCs w:val="24"/>
              </w:rPr>
              <w:t>0.264</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01E0D040" w14:textId="77777777" w:rsidR="006B63EA" w:rsidRPr="000B1685" w:rsidRDefault="006B63EA" w:rsidP="00F50500">
            <w:pPr>
              <w:spacing w:after="0" w:line="240" w:lineRule="auto"/>
              <w:rPr>
                <w:color w:val="000000"/>
                <w:szCs w:val="24"/>
              </w:rPr>
            </w:pPr>
            <w:r w:rsidRPr="000B1685">
              <w:rPr>
                <w:color w:val="000000"/>
                <w:szCs w:val="24"/>
              </w:rPr>
              <w:t>0.268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28A1E97D" w14:textId="77777777" w:rsidR="006B63EA" w:rsidRPr="000B1685" w:rsidRDefault="006B63EA" w:rsidP="00F50500">
            <w:pPr>
              <w:spacing w:after="0" w:line="240" w:lineRule="auto"/>
              <w:rPr>
                <w:color w:val="000000"/>
                <w:szCs w:val="24"/>
              </w:rPr>
            </w:pPr>
            <w:r w:rsidRPr="000B1685">
              <w:rPr>
                <w:color w:val="000000"/>
                <w:szCs w:val="24"/>
              </w:rPr>
              <w:t>0.136</w:t>
            </w:r>
            <w:r w:rsidRPr="000B1685">
              <w:rPr>
                <w:color w:val="000000"/>
                <w:szCs w:val="24"/>
                <w:vertAlign w:val="superscript"/>
              </w:rPr>
              <w:t>***</w:t>
            </w:r>
          </w:p>
        </w:tc>
      </w:tr>
      <w:tr w:rsidR="006B63EA" w:rsidRPr="000B1685" w14:paraId="766B88FD"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6A5A2E60"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Transfers</w:t>
            </w:r>
          </w:p>
        </w:tc>
        <w:tc>
          <w:tcPr>
            <w:tcW w:w="893" w:type="dxa"/>
            <w:tcBorders>
              <w:top w:val="nil"/>
              <w:left w:val="nil"/>
              <w:bottom w:val="nil"/>
              <w:right w:val="nil"/>
            </w:tcBorders>
            <w:shd w:val="clear" w:color="auto" w:fill="auto"/>
            <w:vAlign w:val="center"/>
            <w:hideMark/>
          </w:tcPr>
          <w:p w14:paraId="20B2017A" w14:textId="77777777" w:rsidR="006B63EA" w:rsidRPr="000B1685" w:rsidRDefault="006B63EA" w:rsidP="00F50500">
            <w:pPr>
              <w:spacing w:after="0" w:line="240" w:lineRule="auto"/>
              <w:rPr>
                <w:color w:val="000000"/>
                <w:szCs w:val="24"/>
              </w:rPr>
            </w:pPr>
            <w:r w:rsidRPr="000B1685">
              <w:rPr>
                <w:color w:val="000000"/>
                <w:szCs w:val="24"/>
              </w:rPr>
              <w:t>0.116</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67EF6EAC" w14:textId="77777777" w:rsidR="006B63EA" w:rsidRPr="000B1685" w:rsidRDefault="006B63EA" w:rsidP="00F50500">
            <w:pPr>
              <w:spacing w:after="0" w:line="240" w:lineRule="auto"/>
              <w:rPr>
                <w:color w:val="000000"/>
                <w:szCs w:val="24"/>
              </w:rPr>
            </w:pPr>
            <w:r w:rsidRPr="000B1685">
              <w:rPr>
                <w:color w:val="000000"/>
                <w:szCs w:val="24"/>
              </w:rPr>
              <w:t>0.116</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6775B604" w14:textId="77777777" w:rsidR="006B63EA" w:rsidRPr="000B1685" w:rsidRDefault="006B63EA" w:rsidP="00F50500">
            <w:pPr>
              <w:spacing w:after="0" w:line="240" w:lineRule="auto"/>
              <w:rPr>
                <w:color w:val="000000"/>
                <w:szCs w:val="24"/>
              </w:rPr>
            </w:pPr>
            <w:r w:rsidRPr="000B1685">
              <w:rPr>
                <w:color w:val="000000"/>
                <w:szCs w:val="24"/>
              </w:rPr>
              <w:t>0.109</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29D4A91F" w14:textId="77777777" w:rsidR="006B63EA" w:rsidRPr="000B1685" w:rsidRDefault="006B63EA" w:rsidP="00F50500">
            <w:pPr>
              <w:spacing w:after="0" w:line="240" w:lineRule="auto"/>
              <w:rPr>
                <w:color w:val="000000"/>
                <w:szCs w:val="24"/>
              </w:rPr>
            </w:pPr>
            <w:r w:rsidRPr="000B1685">
              <w:rPr>
                <w:color w:val="000000"/>
                <w:szCs w:val="24"/>
              </w:rPr>
              <w:t>0.124</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E68D2CA" w14:textId="77777777" w:rsidR="006B63EA" w:rsidRPr="000B1685" w:rsidRDefault="006B63EA" w:rsidP="00F50500">
            <w:pPr>
              <w:spacing w:after="0" w:line="240" w:lineRule="auto"/>
              <w:rPr>
                <w:color w:val="000000"/>
                <w:szCs w:val="24"/>
              </w:rPr>
            </w:pPr>
            <w:r w:rsidRPr="000B1685">
              <w:rPr>
                <w:color w:val="000000"/>
                <w:szCs w:val="24"/>
              </w:rPr>
              <w:t>0.118</w:t>
            </w:r>
            <w:r w:rsidRPr="000B1685">
              <w:rPr>
                <w:color w:val="000000"/>
                <w:szCs w:val="24"/>
                <w:vertAlign w:val="superscript"/>
              </w:rPr>
              <w:t>***</w:t>
            </w:r>
          </w:p>
        </w:tc>
      </w:tr>
      <w:tr w:rsidR="006B63EA" w:rsidRPr="000B1685" w14:paraId="44C49D0D"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16734A8C"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State</w:t>
            </w:r>
          </w:p>
        </w:tc>
        <w:tc>
          <w:tcPr>
            <w:tcW w:w="893" w:type="dxa"/>
            <w:tcBorders>
              <w:top w:val="nil"/>
              <w:left w:val="nil"/>
              <w:bottom w:val="nil"/>
              <w:right w:val="nil"/>
            </w:tcBorders>
            <w:shd w:val="clear" w:color="auto" w:fill="auto"/>
            <w:vAlign w:val="center"/>
            <w:hideMark/>
          </w:tcPr>
          <w:p w14:paraId="5FFFA16B" w14:textId="77777777" w:rsidR="006B63EA" w:rsidRPr="000B1685" w:rsidRDefault="006B63EA" w:rsidP="00F50500">
            <w:pPr>
              <w:spacing w:after="0" w:line="240" w:lineRule="auto"/>
              <w:ind w:firstLineChars="100" w:firstLine="220"/>
              <w:rPr>
                <w:i/>
                <w:iCs/>
                <w:color w:val="000000"/>
                <w:szCs w:val="24"/>
              </w:rPr>
            </w:pPr>
          </w:p>
        </w:tc>
        <w:tc>
          <w:tcPr>
            <w:tcW w:w="1224" w:type="dxa"/>
            <w:tcBorders>
              <w:top w:val="nil"/>
              <w:left w:val="nil"/>
              <w:bottom w:val="nil"/>
              <w:right w:val="nil"/>
            </w:tcBorders>
            <w:shd w:val="clear" w:color="auto" w:fill="auto"/>
            <w:noWrap/>
            <w:vAlign w:val="bottom"/>
            <w:hideMark/>
          </w:tcPr>
          <w:p w14:paraId="6CE0676D"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77ECAD77"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4DC7AB96"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000E6EFD" w14:textId="77777777" w:rsidR="006B63EA" w:rsidRPr="000B1685" w:rsidRDefault="006B63EA" w:rsidP="00F50500">
            <w:pPr>
              <w:spacing w:after="0" w:line="240" w:lineRule="auto"/>
              <w:rPr>
                <w:szCs w:val="24"/>
              </w:rPr>
            </w:pPr>
          </w:p>
        </w:tc>
      </w:tr>
      <w:tr w:rsidR="006B63EA" w:rsidRPr="000B1685" w14:paraId="02F79587"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45C9DDF4"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Taxes</w:t>
            </w:r>
          </w:p>
        </w:tc>
        <w:tc>
          <w:tcPr>
            <w:tcW w:w="893" w:type="dxa"/>
            <w:tcBorders>
              <w:top w:val="nil"/>
              <w:left w:val="nil"/>
              <w:bottom w:val="nil"/>
              <w:right w:val="nil"/>
            </w:tcBorders>
            <w:shd w:val="clear" w:color="auto" w:fill="auto"/>
            <w:vAlign w:val="center"/>
            <w:hideMark/>
          </w:tcPr>
          <w:p w14:paraId="6C54C622" w14:textId="77777777" w:rsidR="006B63EA" w:rsidRPr="000B1685" w:rsidRDefault="006B63EA" w:rsidP="00F50500">
            <w:pPr>
              <w:spacing w:after="0" w:line="240" w:lineRule="auto"/>
              <w:rPr>
                <w:color w:val="000000"/>
                <w:szCs w:val="24"/>
              </w:rPr>
            </w:pPr>
            <w:r w:rsidRPr="000B1685">
              <w:rPr>
                <w:color w:val="000000"/>
                <w:szCs w:val="24"/>
              </w:rPr>
              <w:t>0.054</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0B420728" w14:textId="77777777" w:rsidR="006B63EA" w:rsidRPr="000B1685" w:rsidRDefault="006B63EA" w:rsidP="00F50500">
            <w:pPr>
              <w:spacing w:after="0" w:line="240" w:lineRule="auto"/>
              <w:rPr>
                <w:color w:val="000000"/>
                <w:szCs w:val="24"/>
              </w:rPr>
            </w:pPr>
            <w:r w:rsidRPr="000B1685">
              <w:rPr>
                <w:color w:val="000000"/>
                <w:szCs w:val="24"/>
              </w:rPr>
              <w:t>0.054</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7F19464B" w14:textId="77777777" w:rsidR="006B63EA" w:rsidRPr="000B1685" w:rsidRDefault="006B63EA" w:rsidP="00F50500">
            <w:pPr>
              <w:spacing w:after="0" w:line="240" w:lineRule="auto"/>
              <w:rPr>
                <w:color w:val="000000"/>
                <w:szCs w:val="24"/>
              </w:rPr>
            </w:pPr>
            <w:r w:rsidRPr="000B1685">
              <w:rPr>
                <w:color w:val="000000"/>
                <w:szCs w:val="24"/>
              </w:rPr>
              <w:t>0.072</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07AAB75E" w14:textId="77777777" w:rsidR="006B63EA" w:rsidRPr="000B1685" w:rsidRDefault="006B63EA" w:rsidP="00F50500">
            <w:pPr>
              <w:spacing w:after="0" w:line="240" w:lineRule="auto"/>
              <w:rPr>
                <w:color w:val="000000"/>
                <w:szCs w:val="24"/>
              </w:rPr>
            </w:pPr>
            <w:r w:rsidRPr="000B1685">
              <w:rPr>
                <w:color w:val="000000"/>
                <w:szCs w:val="24"/>
              </w:rPr>
              <w:t>0.070</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3B493809" w14:textId="77777777" w:rsidR="006B63EA" w:rsidRPr="000B1685" w:rsidRDefault="006B63EA" w:rsidP="00F50500">
            <w:pPr>
              <w:spacing w:after="0" w:line="240" w:lineRule="auto"/>
              <w:rPr>
                <w:color w:val="000000"/>
                <w:szCs w:val="24"/>
              </w:rPr>
            </w:pPr>
            <w:r w:rsidRPr="000B1685">
              <w:rPr>
                <w:color w:val="000000"/>
                <w:szCs w:val="24"/>
              </w:rPr>
              <w:t>0.047</w:t>
            </w:r>
            <w:r w:rsidRPr="000B1685">
              <w:rPr>
                <w:color w:val="000000"/>
                <w:szCs w:val="24"/>
                <w:vertAlign w:val="superscript"/>
              </w:rPr>
              <w:t>***</w:t>
            </w:r>
          </w:p>
        </w:tc>
      </w:tr>
      <w:tr w:rsidR="006B63EA" w:rsidRPr="000B1685" w14:paraId="41323CAA"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6F3010DD"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Transfers</w:t>
            </w:r>
          </w:p>
        </w:tc>
        <w:tc>
          <w:tcPr>
            <w:tcW w:w="893" w:type="dxa"/>
            <w:tcBorders>
              <w:top w:val="nil"/>
              <w:left w:val="nil"/>
              <w:bottom w:val="nil"/>
              <w:right w:val="nil"/>
            </w:tcBorders>
            <w:shd w:val="clear" w:color="auto" w:fill="auto"/>
            <w:vAlign w:val="center"/>
            <w:hideMark/>
          </w:tcPr>
          <w:p w14:paraId="2203F0AA" w14:textId="77777777" w:rsidR="006B63EA" w:rsidRPr="000B1685" w:rsidRDefault="006B63EA" w:rsidP="00F50500">
            <w:pPr>
              <w:spacing w:after="0" w:line="240" w:lineRule="auto"/>
              <w:rPr>
                <w:color w:val="000000"/>
                <w:szCs w:val="24"/>
              </w:rPr>
            </w:pPr>
            <w:r w:rsidRPr="000B1685">
              <w:rPr>
                <w:color w:val="000000"/>
                <w:szCs w:val="24"/>
              </w:rPr>
              <w:t>0.008</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0C34766A" w14:textId="77777777" w:rsidR="006B63EA" w:rsidRPr="000B1685" w:rsidRDefault="006B63EA" w:rsidP="00F50500">
            <w:pPr>
              <w:spacing w:after="0" w:line="240" w:lineRule="auto"/>
              <w:rPr>
                <w:color w:val="000000"/>
                <w:szCs w:val="24"/>
              </w:rPr>
            </w:pPr>
            <w:r w:rsidRPr="000B1685">
              <w:rPr>
                <w:color w:val="000000"/>
                <w:szCs w:val="24"/>
              </w:rPr>
              <w:t>0.008</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3AF6D04" w14:textId="77777777" w:rsidR="006B63EA" w:rsidRPr="000B1685" w:rsidRDefault="006B63EA" w:rsidP="00F50500">
            <w:pPr>
              <w:spacing w:after="0" w:line="240" w:lineRule="auto"/>
              <w:rPr>
                <w:color w:val="000000"/>
                <w:szCs w:val="24"/>
              </w:rPr>
            </w:pPr>
            <w:r w:rsidRPr="000B1685">
              <w:rPr>
                <w:color w:val="000000"/>
                <w:szCs w:val="24"/>
              </w:rPr>
              <w:t>0.005</w:t>
            </w:r>
          </w:p>
        </w:tc>
        <w:tc>
          <w:tcPr>
            <w:tcW w:w="1139" w:type="dxa"/>
            <w:tcBorders>
              <w:top w:val="nil"/>
              <w:left w:val="nil"/>
              <w:bottom w:val="nil"/>
              <w:right w:val="nil"/>
            </w:tcBorders>
            <w:shd w:val="clear" w:color="auto" w:fill="auto"/>
            <w:vAlign w:val="center"/>
            <w:hideMark/>
          </w:tcPr>
          <w:p w14:paraId="0BF60840" w14:textId="77777777" w:rsidR="006B63EA" w:rsidRPr="000B1685" w:rsidRDefault="006B63EA" w:rsidP="00F50500">
            <w:pPr>
              <w:spacing w:after="0" w:line="240" w:lineRule="auto"/>
              <w:rPr>
                <w:color w:val="000000"/>
                <w:szCs w:val="24"/>
              </w:rPr>
            </w:pPr>
            <w:r w:rsidRPr="000B1685">
              <w:rPr>
                <w:color w:val="000000"/>
                <w:szCs w:val="24"/>
              </w:rPr>
              <w:t>0.018</w:t>
            </w:r>
          </w:p>
        </w:tc>
        <w:tc>
          <w:tcPr>
            <w:tcW w:w="1172" w:type="dxa"/>
            <w:tcBorders>
              <w:top w:val="nil"/>
              <w:left w:val="nil"/>
              <w:bottom w:val="nil"/>
              <w:right w:val="nil"/>
            </w:tcBorders>
            <w:shd w:val="clear" w:color="auto" w:fill="auto"/>
            <w:vAlign w:val="center"/>
            <w:hideMark/>
          </w:tcPr>
          <w:p w14:paraId="78A731E6" w14:textId="77777777" w:rsidR="006B63EA" w:rsidRPr="000B1685" w:rsidRDefault="006B63EA" w:rsidP="00F50500">
            <w:pPr>
              <w:spacing w:after="0" w:line="240" w:lineRule="auto"/>
              <w:rPr>
                <w:color w:val="000000"/>
                <w:szCs w:val="24"/>
              </w:rPr>
            </w:pPr>
            <w:r w:rsidRPr="000B1685">
              <w:rPr>
                <w:color w:val="000000"/>
                <w:szCs w:val="24"/>
              </w:rPr>
              <w:t>0.008</w:t>
            </w:r>
            <w:r w:rsidRPr="000B1685">
              <w:rPr>
                <w:color w:val="000000"/>
                <w:szCs w:val="24"/>
                <w:vertAlign w:val="superscript"/>
              </w:rPr>
              <w:t>**</w:t>
            </w:r>
          </w:p>
        </w:tc>
      </w:tr>
      <w:tr w:rsidR="006B63EA" w:rsidRPr="000B1685" w14:paraId="79C25BA6"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3F4E2631" w14:textId="77777777" w:rsidR="006B63EA" w:rsidRPr="000B1685" w:rsidRDefault="006B63EA" w:rsidP="00F50500">
            <w:pPr>
              <w:spacing w:after="0" w:line="240" w:lineRule="auto"/>
              <w:rPr>
                <w:color w:val="000000"/>
                <w:szCs w:val="24"/>
              </w:rPr>
            </w:pPr>
            <w:r w:rsidRPr="000B1685">
              <w:rPr>
                <w:color w:val="000000"/>
                <w:szCs w:val="24"/>
              </w:rPr>
              <w:t>Discretionary:</w:t>
            </w:r>
          </w:p>
        </w:tc>
        <w:tc>
          <w:tcPr>
            <w:tcW w:w="893" w:type="dxa"/>
            <w:tcBorders>
              <w:top w:val="nil"/>
              <w:left w:val="nil"/>
              <w:bottom w:val="nil"/>
              <w:right w:val="nil"/>
            </w:tcBorders>
            <w:shd w:val="clear" w:color="auto" w:fill="auto"/>
            <w:noWrap/>
            <w:vAlign w:val="bottom"/>
            <w:hideMark/>
          </w:tcPr>
          <w:p w14:paraId="341BF6E0" w14:textId="77777777" w:rsidR="006B63EA" w:rsidRPr="000B1685" w:rsidRDefault="006B63EA" w:rsidP="00F50500">
            <w:pPr>
              <w:spacing w:after="0" w:line="240" w:lineRule="auto"/>
              <w:rPr>
                <w:color w:val="000000"/>
                <w:szCs w:val="24"/>
              </w:rPr>
            </w:pPr>
          </w:p>
        </w:tc>
        <w:tc>
          <w:tcPr>
            <w:tcW w:w="1224" w:type="dxa"/>
            <w:tcBorders>
              <w:top w:val="nil"/>
              <w:left w:val="nil"/>
              <w:bottom w:val="nil"/>
              <w:right w:val="nil"/>
            </w:tcBorders>
            <w:shd w:val="clear" w:color="auto" w:fill="auto"/>
            <w:noWrap/>
            <w:vAlign w:val="bottom"/>
            <w:hideMark/>
          </w:tcPr>
          <w:p w14:paraId="2FDAB762"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74B9F36E"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1CBCB215"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0E08917F" w14:textId="77777777" w:rsidR="006B63EA" w:rsidRPr="000B1685" w:rsidRDefault="006B63EA" w:rsidP="00F50500">
            <w:pPr>
              <w:spacing w:after="0" w:line="240" w:lineRule="auto"/>
              <w:rPr>
                <w:szCs w:val="24"/>
              </w:rPr>
            </w:pPr>
          </w:p>
        </w:tc>
      </w:tr>
      <w:tr w:rsidR="006B63EA" w:rsidRPr="000B1685" w14:paraId="45C00663"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3042D715"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Taxes</w:t>
            </w:r>
          </w:p>
        </w:tc>
        <w:tc>
          <w:tcPr>
            <w:tcW w:w="893" w:type="dxa"/>
            <w:tcBorders>
              <w:top w:val="nil"/>
              <w:left w:val="nil"/>
              <w:bottom w:val="nil"/>
              <w:right w:val="nil"/>
            </w:tcBorders>
            <w:shd w:val="clear" w:color="auto" w:fill="auto"/>
            <w:vAlign w:val="center"/>
            <w:hideMark/>
          </w:tcPr>
          <w:p w14:paraId="0F420A23" w14:textId="77777777" w:rsidR="006B63EA" w:rsidRPr="000B1685" w:rsidRDefault="006B63EA" w:rsidP="00F50500">
            <w:pPr>
              <w:spacing w:after="0" w:line="240" w:lineRule="auto"/>
              <w:rPr>
                <w:color w:val="000000"/>
                <w:szCs w:val="24"/>
              </w:rPr>
            </w:pPr>
            <w:r w:rsidRPr="000B1685">
              <w:rPr>
                <w:color w:val="000000"/>
                <w:szCs w:val="24"/>
              </w:rPr>
              <w:t>0.064</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738B9B75" w14:textId="77777777" w:rsidR="006B63EA" w:rsidRPr="000B1685" w:rsidRDefault="006B63EA" w:rsidP="00F50500">
            <w:pPr>
              <w:spacing w:after="0" w:line="240" w:lineRule="auto"/>
              <w:rPr>
                <w:color w:val="000000"/>
                <w:szCs w:val="24"/>
              </w:rPr>
            </w:pPr>
            <w:r w:rsidRPr="000B1685">
              <w:rPr>
                <w:color w:val="000000"/>
                <w:szCs w:val="24"/>
              </w:rPr>
              <w:t>–0.144</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4DD7C0ED" w14:textId="77777777" w:rsidR="006B63EA" w:rsidRPr="000B1685" w:rsidRDefault="006B63EA" w:rsidP="00F50500">
            <w:pPr>
              <w:spacing w:after="0" w:line="240" w:lineRule="auto"/>
              <w:rPr>
                <w:color w:val="000000"/>
                <w:szCs w:val="24"/>
              </w:rPr>
            </w:pPr>
            <w:r w:rsidRPr="000B1685">
              <w:rPr>
                <w:color w:val="000000"/>
                <w:szCs w:val="24"/>
              </w:rPr>
              <w:t>–0.049</w:t>
            </w:r>
          </w:p>
        </w:tc>
        <w:tc>
          <w:tcPr>
            <w:tcW w:w="1139" w:type="dxa"/>
            <w:tcBorders>
              <w:top w:val="nil"/>
              <w:left w:val="nil"/>
              <w:bottom w:val="nil"/>
              <w:right w:val="nil"/>
            </w:tcBorders>
            <w:shd w:val="clear" w:color="auto" w:fill="auto"/>
            <w:vAlign w:val="center"/>
            <w:hideMark/>
          </w:tcPr>
          <w:p w14:paraId="691133D0" w14:textId="77777777" w:rsidR="006B63EA" w:rsidRPr="000B1685" w:rsidRDefault="006B63EA" w:rsidP="00F50500">
            <w:pPr>
              <w:spacing w:after="0" w:line="240" w:lineRule="auto"/>
              <w:rPr>
                <w:color w:val="000000"/>
                <w:szCs w:val="24"/>
              </w:rPr>
            </w:pPr>
            <w:r w:rsidRPr="000B1685">
              <w:rPr>
                <w:color w:val="000000"/>
                <w:szCs w:val="24"/>
              </w:rPr>
              <w:t>0.445</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53FDAC18" w14:textId="77777777" w:rsidR="006B63EA" w:rsidRPr="000B1685" w:rsidRDefault="006B63EA" w:rsidP="00F50500">
            <w:pPr>
              <w:spacing w:after="0" w:line="240" w:lineRule="auto"/>
              <w:rPr>
                <w:color w:val="000000"/>
                <w:szCs w:val="24"/>
              </w:rPr>
            </w:pPr>
            <w:r w:rsidRPr="000B1685">
              <w:rPr>
                <w:color w:val="000000"/>
                <w:szCs w:val="24"/>
              </w:rPr>
              <w:t>0.206</w:t>
            </w:r>
            <w:r w:rsidRPr="000B1685">
              <w:rPr>
                <w:color w:val="000000"/>
                <w:szCs w:val="24"/>
                <w:vertAlign w:val="superscript"/>
              </w:rPr>
              <w:t>***</w:t>
            </w:r>
          </w:p>
        </w:tc>
      </w:tr>
      <w:tr w:rsidR="006B63EA" w:rsidRPr="000B1685" w14:paraId="3FE6850D"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72C1CC7E"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Transfers</w:t>
            </w:r>
          </w:p>
        </w:tc>
        <w:tc>
          <w:tcPr>
            <w:tcW w:w="893" w:type="dxa"/>
            <w:tcBorders>
              <w:top w:val="nil"/>
              <w:left w:val="nil"/>
              <w:bottom w:val="nil"/>
              <w:right w:val="nil"/>
            </w:tcBorders>
            <w:shd w:val="clear" w:color="auto" w:fill="auto"/>
            <w:vAlign w:val="center"/>
            <w:hideMark/>
          </w:tcPr>
          <w:p w14:paraId="0FCEF763" w14:textId="77777777" w:rsidR="006B63EA" w:rsidRPr="000B1685" w:rsidRDefault="006B63EA" w:rsidP="00F50500">
            <w:pPr>
              <w:spacing w:after="0" w:line="240" w:lineRule="auto"/>
              <w:rPr>
                <w:color w:val="000000"/>
                <w:szCs w:val="24"/>
              </w:rPr>
            </w:pPr>
            <w:r w:rsidRPr="000B1685">
              <w:rPr>
                <w:color w:val="000000"/>
                <w:szCs w:val="24"/>
              </w:rPr>
              <w:t>0.119</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11F53CF3" w14:textId="77777777" w:rsidR="006B63EA" w:rsidRPr="000B1685" w:rsidRDefault="006B63EA" w:rsidP="00F50500">
            <w:pPr>
              <w:spacing w:after="0" w:line="240" w:lineRule="auto"/>
              <w:rPr>
                <w:color w:val="000000"/>
                <w:szCs w:val="24"/>
              </w:rPr>
            </w:pPr>
            <w:r w:rsidRPr="000B1685">
              <w:rPr>
                <w:color w:val="000000"/>
                <w:szCs w:val="24"/>
              </w:rPr>
              <w:t>0.075</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83001A9" w14:textId="77777777" w:rsidR="006B63EA" w:rsidRPr="000B1685" w:rsidRDefault="006B63EA" w:rsidP="00F50500">
            <w:pPr>
              <w:spacing w:after="0" w:line="240" w:lineRule="auto"/>
              <w:rPr>
                <w:color w:val="000000"/>
                <w:szCs w:val="24"/>
              </w:rPr>
            </w:pPr>
            <w:r w:rsidRPr="000B1685">
              <w:rPr>
                <w:color w:val="000000"/>
                <w:szCs w:val="24"/>
              </w:rPr>
              <w:t>0.269</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34BC5988" w14:textId="77777777" w:rsidR="006B63EA" w:rsidRPr="000B1685" w:rsidRDefault="006B63EA" w:rsidP="00F50500">
            <w:pPr>
              <w:spacing w:after="0" w:line="240" w:lineRule="auto"/>
              <w:rPr>
                <w:color w:val="000000"/>
                <w:szCs w:val="24"/>
              </w:rPr>
            </w:pPr>
            <w:r w:rsidRPr="000B1685">
              <w:rPr>
                <w:color w:val="000000"/>
                <w:szCs w:val="24"/>
              </w:rPr>
              <w:t>0.056</w:t>
            </w:r>
          </w:p>
        </w:tc>
        <w:tc>
          <w:tcPr>
            <w:tcW w:w="1172" w:type="dxa"/>
            <w:tcBorders>
              <w:top w:val="nil"/>
              <w:left w:val="nil"/>
              <w:bottom w:val="nil"/>
              <w:right w:val="nil"/>
            </w:tcBorders>
            <w:shd w:val="clear" w:color="auto" w:fill="auto"/>
            <w:vAlign w:val="center"/>
            <w:hideMark/>
          </w:tcPr>
          <w:p w14:paraId="38C38588" w14:textId="77777777" w:rsidR="006B63EA" w:rsidRPr="000B1685" w:rsidRDefault="006B63EA" w:rsidP="00F50500">
            <w:pPr>
              <w:spacing w:after="0" w:line="240" w:lineRule="auto"/>
              <w:rPr>
                <w:color w:val="000000"/>
                <w:szCs w:val="24"/>
              </w:rPr>
            </w:pPr>
            <w:r w:rsidRPr="000B1685">
              <w:rPr>
                <w:color w:val="000000"/>
                <w:szCs w:val="24"/>
              </w:rPr>
              <w:t>0.128</w:t>
            </w:r>
            <w:r w:rsidRPr="000B1685">
              <w:rPr>
                <w:color w:val="000000"/>
                <w:szCs w:val="24"/>
                <w:vertAlign w:val="superscript"/>
              </w:rPr>
              <w:t>**</w:t>
            </w:r>
          </w:p>
        </w:tc>
      </w:tr>
      <w:tr w:rsidR="006B63EA" w:rsidRPr="000B1685" w14:paraId="5132BF41"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098B2AFA"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Federal</w:t>
            </w:r>
          </w:p>
        </w:tc>
        <w:tc>
          <w:tcPr>
            <w:tcW w:w="893" w:type="dxa"/>
            <w:tcBorders>
              <w:top w:val="nil"/>
              <w:left w:val="nil"/>
              <w:bottom w:val="nil"/>
              <w:right w:val="nil"/>
            </w:tcBorders>
            <w:shd w:val="clear" w:color="auto" w:fill="auto"/>
            <w:noWrap/>
            <w:vAlign w:val="bottom"/>
            <w:hideMark/>
          </w:tcPr>
          <w:p w14:paraId="3AFC77D6" w14:textId="77777777" w:rsidR="006B63EA" w:rsidRPr="000B1685" w:rsidRDefault="006B63EA" w:rsidP="00F50500">
            <w:pPr>
              <w:spacing w:after="0" w:line="240" w:lineRule="auto"/>
              <w:ind w:firstLineChars="100" w:firstLine="220"/>
              <w:rPr>
                <w:i/>
                <w:iCs/>
                <w:color w:val="000000"/>
                <w:szCs w:val="24"/>
              </w:rPr>
            </w:pPr>
          </w:p>
        </w:tc>
        <w:tc>
          <w:tcPr>
            <w:tcW w:w="1224" w:type="dxa"/>
            <w:tcBorders>
              <w:top w:val="nil"/>
              <w:left w:val="nil"/>
              <w:bottom w:val="nil"/>
              <w:right w:val="nil"/>
            </w:tcBorders>
            <w:shd w:val="clear" w:color="auto" w:fill="auto"/>
            <w:noWrap/>
            <w:vAlign w:val="bottom"/>
            <w:hideMark/>
          </w:tcPr>
          <w:p w14:paraId="028E1D5E"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210963B6"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0042F851"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243CF293" w14:textId="77777777" w:rsidR="006B63EA" w:rsidRPr="000B1685" w:rsidRDefault="006B63EA" w:rsidP="00F50500">
            <w:pPr>
              <w:spacing w:after="0" w:line="240" w:lineRule="auto"/>
              <w:rPr>
                <w:szCs w:val="24"/>
              </w:rPr>
            </w:pPr>
          </w:p>
        </w:tc>
      </w:tr>
      <w:tr w:rsidR="006B63EA" w:rsidRPr="000B1685" w14:paraId="22970587"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22DFFE47"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Taxes</w:t>
            </w:r>
          </w:p>
        </w:tc>
        <w:tc>
          <w:tcPr>
            <w:tcW w:w="893" w:type="dxa"/>
            <w:tcBorders>
              <w:top w:val="nil"/>
              <w:left w:val="nil"/>
              <w:bottom w:val="nil"/>
              <w:right w:val="nil"/>
            </w:tcBorders>
            <w:shd w:val="clear" w:color="auto" w:fill="auto"/>
            <w:vAlign w:val="center"/>
            <w:hideMark/>
          </w:tcPr>
          <w:p w14:paraId="062A9F38" w14:textId="77777777" w:rsidR="006B63EA" w:rsidRPr="000B1685" w:rsidRDefault="006B63EA" w:rsidP="00F50500">
            <w:pPr>
              <w:spacing w:after="0" w:line="240" w:lineRule="auto"/>
              <w:rPr>
                <w:color w:val="000000"/>
                <w:szCs w:val="24"/>
              </w:rPr>
            </w:pPr>
            <w:r w:rsidRPr="000B1685">
              <w:rPr>
                <w:color w:val="000000"/>
                <w:szCs w:val="24"/>
              </w:rPr>
              <w:t>0.061</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2C2AEE61" w14:textId="77777777" w:rsidR="006B63EA" w:rsidRPr="000B1685" w:rsidRDefault="006B63EA" w:rsidP="00F50500">
            <w:pPr>
              <w:spacing w:after="0" w:line="240" w:lineRule="auto"/>
              <w:rPr>
                <w:color w:val="000000"/>
                <w:szCs w:val="24"/>
              </w:rPr>
            </w:pPr>
            <w:r w:rsidRPr="000B1685">
              <w:rPr>
                <w:color w:val="000000"/>
                <w:szCs w:val="24"/>
              </w:rPr>
              <w:t>–0.140</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607BA36" w14:textId="77777777" w:rsidR="006B63EA" w:rsidRPr="000B1685" w:rsidRDefault="006B63EA" w:rsidP="00F50500">
            <w:pPr>
              <w:spacing w:after="0" w:line="240" w:lineRule="auto"/>
              <w:rPr>
                <w:color w:val="000000"/>
                <w:szCs w:val="24"/>
              </w:rPr>
            </w:pPr>
            <w:r w:rsidRPr="000B1685">
              <w:rPr>
                <w:color w:val="000000"/>
                <w:szCs w:val="24"/>
              </w:rPr>
              <w:t>0.017</w:t>
            </w:r>
          </w:p>
        </w:tc>
        <w:tc>
          <w:tcPr>
            <w:tcW w:w="1139" w:type="dxa"/>
            <w:tcBorders>
              <w:top w:val="nil"/>
              <w:left w:val="nil"/>
              <w:bottom w:val="nil"/>
              <w:right w:val="nil"/>
            </w:tcBorders>
            <w:shd w:val="clear" w:color="auto" w:fill="auto"/>
            <w:vAlign w:val="center"/>
            <w:hideMark/>
          </w:tcPr>
          <w:p w14:paraId="717F5B38" w14:textId="77777777" w:rsidR="006B63EA" w:rsidRPr="000B1685" w:rsidRDefault="006B63EA" w:rsidP="00F50500">
            <w:pPr>
              <w:spacing w:after="0" w:line="240" w:lineRule="auto"/>
              <w:rPr>
                <w:color w:val="000000"/>
                <w:szCs w:val="24"/>
              </w:rPr>
            </w:pPr>
            <w:r w:rsidRPr="000B1685">
              <w:rPr>
                <w:color w:val="000000"/>
                <w:szCs w:val="24"/>
              </w:rPr>
              <w:t>0.352</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3DDB56A0" w14:textId="77777777" w:rsidR="006B63EA" w:rsidRPr="000B1685" w:rsidRDefault="006B63EA" w:rsidP="00F50500">
            <w:pPr>
              <w:spacing w:after="0" w:line="240" w:lineRule="auto"/>
              <w:rPr>
                <w:color w:val="000000"/>
                <w:szCs w:val="24"/>
              </w:rPr>
            </w:pPr>
            <w:r w:rsidRPr="000B1685">
              <w:rPr>
                <w:color w:val="000000"/>
                <w:szCs w:val="24"/>
              </w:rPr>
              <w:t>0.190</w:t>
            </w:r>
            <w:r w:rsidRPr="000B1685">
              <w:rPr>
                <w:color w:val="000000"/>
                <w:szCs w:val="24"/>
                <w:vertAlign w:val="superscript"/>
              </w:rPr>
              <w:t>***</w:t>
            </w:r>
          </w:p>
        </w:tc>
      </w:tr>
      <w:tr w:rsidR="006B63EA" w:rsidRPr="000B1685" w14:paraId="2D35BE6F"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16BBD7E0"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Transfers</w:t>
            </w:r>
          </w:p>
        </w:tc>
        <w:tc>
          <w:tcPr>
            <w:tcW w:w="893" w:type="dxa"/>
            <w:tcBorders>
              <w:top w:val="nil"/>
              <w:left w:val="nil"/>
              <w:bottom w:val="nil"/>
              <w:right w:val="nil"/>
            </w:tcBorders>
            <w:shd w:val="clear" w:color="auto" w:fill="auto"/>
            <w:vAlign w:val="center"/>
            <w:hideMark/>
          </w:tcPr>
          <w:p w14:paraId="3F5558F5" w14:textId="77777777" w:rsidR="006B63EA" w:rsidRPr="000B1685" w:rsidRDefault="006B63EA" w:rsidP="00F50500">
            <w:pPr>
              <w:spacing w:after="0" w:line="240" w:lineRule="auto"/>
              <w:rPr>
                <w:color w:val="000000"/>
                <w:szCs w:val="24"/>
              </w:rPr>
            </w:pPr>
            <w:r w:rsidRPr="000B1685">
              <w:rPr>
                <w:color w:val="000000"/>
                <w:szCs w:val="24"/>
              </w:rPr>
              <w:t>0.126</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48428BC4" w14:textId="77777777" w:rsidR="006B63EA" w:rsidRPr="000B1685" w:rsidRDefault="006B63EA" w:rsidP="00F50500">
            <w:pPr>
              <w:spacing w:after="0" w:line="240" w:lineRule="auto"/>
              <w:rPr>
                <w:color w:val="000000"/>
                <w:szCs w:val="24"/>
              </w:rPr>
            </w:pPr>
            <w:r w:rsidRPr="000B1685">
              <w:rPr>
                <w:color w:val="000000"/>
                <w:szCs w:val="24"/>
              </w:rPr>
              <w:t>0.075</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3BF8B319" w14:textId="77777777" w:rsidR="006B63EA" w:rsidRPr="000B1685" w:rsidRDefault="006B63EA" w:rsidP="00F50500">
            <w:pPr>
              <w:spacing w:after="0" w:line="240" w:lineRule="auto"/>
              <w:rPr>
                <w:color w:val="000000"/>
                <w:szCs w:val="24"/>
              </w:rPr>
            </w:pPr>
            <w:r w:rsidRPr="000B1685">
              <w:rPr>
                <w:color w:val="000000"/>
                <w:szCs w:val="24"/>
              </w:rPr>
              <w:t>0.228</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4EFB9834" w14:textId="77777777" w:rsidR="006B63EA" w:rsidRPr="000B1685" w:rsidRDefault="006B63EA" w:rsidP="00F50500">
            <w:pPr>
              <w:spacing w:after="0" w:line="240" w:lineRule="auto"/>
              <w:rPr>
                <w:color w:val="000000"/>
                <w:szCs w:val="24"/>
              </w:rPr>
            </w:pPr>
            <w:r w:rsidRPr="000B1685">
              <w:rPr>
                <w:color w:val="000000"/>
                <w:szCs w:val="24"/>
              </w:rPr>
              <w:t>0.038</w:t>
            </w:r>
          </w:p>
        </w:tc>
        <w:tc>
          <w:tcPr>
            <w:tcW w:w="1172" w:type="dxa"/>
            <w:tcBorders>
              <w:top w:val="nil"/>
              <w:left w:val="nil"/>
              <w:bottom w:val="nil"/>
              <w:right w:val="nil"/>
            </w:tcBorders>
            <w:shd w:val="clear" w:color="auto" w:fill="auto"/>
            <w:vAlign w:val="center"/>
            <w:hideMark/>
          </w:tcPr>
          <w:p w14:paraId="250ADFBB" w14:textId="77777777" w:rsidR="006B63EA" w:rsidRPr="000B1685" w:rsidRDefault="006B63EA" w:rsidP="00F50500">
            <w:pPr>
              <w:spacing w:after="0" w:line="240" w:lineRule="auto"/>
              <w:rPr>
                <w:color w:val="000000"/>
                <w:szCs w:val="24"/>
              </w:rPr>
            </w:pPr>
            <w:r w:rsidRPr="000B1685">
              <w:rPr>
                <w:color w:val="000000"/>
                <w:szCs w:val="24"/>
              </w:rPr>
              <w:t>0.158</w:t>
            </w:r>
            <w:r w:rsidRPr="000B1685">
              <w:rPr>
                <w:color w:val="000000"/>
                <w:szCs w:val="24"/>
                <w:vertAlign w:val="superscript"/>
              </w:rPr>
              <w:t>***</w:t>
            </w:r>
          </w:p>
        </w:tc>
      </w:tr>
      <w:tr w:rsidR="006B63EA" w:rsidRPr="000B1685" w14:paraId="09287432"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01D77654"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Federal Purchases</w:t>
            </w:r>
          </w:p>
        </w:tc>
        <w:tc>
          <w:tcPr>
            <w:tcW w:w="893" w:type="dxa"/>
            <w:tcBorders>
              <w:top w:val="nil"/>
              <w:left w:val="nil"/>
              <w:bottom w:val="nil"/>
              <w:right w:val="nil"/>
            </w:tcBorders>
            <w:shd w:val="clear" w:color="auto" w:fill="auto"/>
            <w:noWrap/>
            <w:vAlign w:val="bottom"/>
            <w:hideMark/>
          </w:tcPr>
          <w:p w14:paraId="41E32B5D" w14:textId="77777777" w:rsidR="006B63EA" w:rsidRPr="000B1685" w:rsidRDefault="006B63EA" w:rsidP="00F50500">
            <w:pPr>
              <w:spacing w:after="0" w:line="240" w:lineRule="auto"/>
              <w:rPr>
                <w:color w:val="000000"/>
                <w:szCs w:val="24"/>
              </w:rPr>
            </w:pPr>
            <w:r w:rsidRPr="000B1685">
              <w:rPr>
                <w:color w:val="000000"/>
                <w:szCs w:val="24"/>
              </w:rPr>
              <w:t>0.174***</w:t>
            </w:r>
          </w:p>
        </w:tc>
        <w:tc>
          <w:tcPr>
            <w:tcW w:w="1224" w:type="dxa"/>
            <w:tcBorders>
              <w:top w:val="nil"/>
              <w:left w:val="nil"/>
              <w:bottom w:val="nil"/>
              <w:right w:val="nil"/>
            </w:tcBorders>
            <w:shd w:val="clear" w:color="auto" w:fill="auto"/>
            <w:noWrap/>
            <w:vAlign w:val="bottom"/>
            <w:hideMark/>
          </w:tcPr>
          <w:p w14:paraId="43036721" w14:textId="77777777" w:rsidR="006B63EA" w:rsidRPr="000B1685" w:rsidRDefault="006B63EA" w:rsidP="00F50500">
            <w:pPr>
              <w:spacing w:after="0" w:line="240" w:lineRule="auto"/>
              <w:rPr>
                <w:color w:val="000000"/>
                <w:szCs w:val="24"/>
              </w:rPr>
            </w:pPr>
            <w:r w:rsidRPr="000B1685">
              <w:rPr>
                <w:color w:val="000000"/>
                <w:szCs w:val="24"/>
              </w:rPr>
              <w:t>0.051</w:t>
            </w:r>
          </w:p>
        </w:tc>
        <w:tc>
          <w:tcPr>
            <w:tcW w:w="1172" w:type="dxa"/>
            <w:tcBorders>
              <w:top w:val="nil"/>
              <w:left w:val="nil"/>
              <w:bottom w:val="nil"/>
              <w:right w:val="nil"/>
            </w:tcBorders>
            <w:shd w:val="clear" w:color="auto" w:fill="auto"/>
            <w:noWrap/>
            <w:vAlign w:val="bottom"/>
            <w:hideMark/>
          </w:tcPr>
          <w:p w14:paraId="74982D62" w14:textId="77777777" w:rsidR="006B63EA" w:rsidRPr="000B1685" w:rsidRDefault="006B63EA" w:rsidP="00F50500">
            <w:pPr>
              <w:spacing w:after="0" w:line="240" w:lineRule="auto"/>
              <w:rPr>
                <w:color w:val="000000"/>
                <w:szCs w:val="24"/>
              </w:rPr>
            </w:pPr>
            <w:r w:rsidRPr="000B1685">
              <w:rPr>
                <w:color w:val="000000"/>
                <w:szCs w:val="24"/>
              </w:rPr>
              <w:t>0.07</w:t>
            </w:r>
          </w:p>
        </w:tc>
        <w:tc>
          <w:tcPr>
            <w:tcW w:w="1139" w:type="dxa"/>
            <w:tcBorders>
              <w:top w:val="nil"/>
              <w:left w:val="nil"/>
              <w:bottom w:val="nil"/>
              <w:right w:val="nil"/>
            </w:tcBorders>
            <w:shd w:val="clear" w:color="auto" w:fill="auto"/>
            <w:noWrap/>
            <w:vAlign w:val="bottom"/>
            <w:hideMark/>
          </w:tcPr>
          <w:p w14:paraId="0D1204FC" w14:textId="77777777" w:rsidR="006B63EA" w:rsidRPr="000B1685" w:rsidRDefault="006B63EA" w:rsidP="00F50500">
            <w:pPr>
              <w:spacing w:after="0" w:line="240" w:lineRule="auto"/>
              <w:rPr>
                <w:color w:val="000000"/>
                <w:szCs w:val="24"/>
              </w:rPr>
            </w:pPr>
            <w:r w:rsidRPr="000B1685">
              <w:rPr>
                <w:color w:val="000000"/>
                <w:szCs w:val="24"/>
              </w:rPr>
              <w:t>0.327**</w:t>
            </w:r>
          </w:p>
        </w:tc>
        <w:tc>
          <w:tcPr>
            <w:tcW w:w="1172" w:type="dxa"/>
            <w:tcBorders>
              <w:top w:val="nil"/>
              <w:left w:val="nil"/>
              <w:bottom w:val="nil"/>
              <w:right w:val="nil"/>
            </w:tcBorders>
            <w:shd w:val="clear" w:color="auto" w:fill="auto"/>
            <w:noWrap/>
            <w:vAlign w:val="bottom"/>
            <w:hideMark/>
          </w:tcPr>
          <w:p w14:paraId="0755FF1B" w14:textId="77777777" w:rsidR="006B63EA" w:rsidRPr="000B1685" w:rsidRDefault="006B63EA" w:rsidP="00F50500">
            <w:pPr>
              <w:spacing w:after="0" w:line="240" w:lineRule="auto"/>
              <w:rPr>
                <w:color w:val="000000"/>
                <w:szCs w:val="24"/>
              </w:rPr>
            </w:pPr>
          </w:p>
        </w:tc>
      </w:tr>
      <w:tr w:rsidR="006B63EA" w:rsidRPr="000B1685" w14:paraId="79B73503" w14:textId="77777777" w:rsidTr="00F50500">
        <w:trPr>
          <w:trHeight w:val="300"/>
          <w:jc w:val="center"/>
        </w:trPr>
        <w:tc>
          <w:tcPr>
            <w:tcW w:w="2320" w:type="dxa"/>
            <w:tcBorders>
              <w:top w:val="nil"/>
              <w:left w:val="nil"/>
              <w:bottom w:val="nil"/>
              <w:right w:val="nil"/>
            </w:tcBorders>
            <w:shd w:val="clear" w:color="auto" w:fill="auto"/>
            <w:noWrap/>
            <w:vAlign w:val="bottom"/>
            <w:hideMark/>
          </w:tcPr>
          <w:p w14:paraId="6FFE5D48" w14:textId="77777777" w:rsidR="006B63EA" w:rsidRPr="000B1685" w:rsidRDefault="006B63EA" w:rsidP="00F50500">
            <w:pPr>
              <w:spacing w:after="0" w:line="240" w:lineRule="auto"/>
              <w:ind w:firstLineChars="100" w:firstLine="220"/>
              <w:rPr>
                <w:i/>
                <w:iCs/>
                <w:color w:val="000000"/>
                <w:szCs w:val="24"/>
              </w:rPr>
            </w:pPr>
            <w:r w:rsidRPr="000B1685">
              <w:rPr>
                <w:i/>
                <w:iCs/>
                <w:color w:val="000000"/>
                <w:szCs w:val="24"/>
              </w:rPr>
              <w:t>State</w:t>
            </w:r>
          </w:p>
        </w:tc>
        <w:tc>
          <w:tcPr>
            <w:tcW w:w="893" w:type="dxa"/>
            <w:tcBorders>
              <w:top w:val="nil"/>
              <w:left w:val="nil"/>
              <w:bottom w:val="nil"/>
              <w:right w:val="nil"/>
            </w:tcBorders>
            <w:shd w:val="clear" w:color="auto" w:fill="auto"/>
            <w:noWrap/>
            <w:vAlign w:val="bottom"/>
            <w:hideMark/>
          </w:tcPr>
          <w:p w14:paraId="0C4D7910" w14:textId="77777777" w:rsidR="006B63EA" w:rsidRPr="000B1685" w:rsidRDefault="006B63EA" w:rsidP="00F50500">
            <w:pPr>
              <w:spacing w:after="0" w:line="240" w:lineRule="auto"/>
              <w:ind w:firstLineChars="100" w:firstLine="220"/>
              <w:rPr>
                <w:i/>
                <w:iCs/>
                <w:color w:val="000000"/>
                <w:szCs w:val="24"/>
              </w:rPr>
            </w:pPr>
          </w:p>
        </w:tc>
        <w:tc>
          <w:tcPr>
            <w:tcW w:w="1224" w:type="dxa"/>
            <w:tcBorders>
              <w:top w:val="nil"/>
              <w:left w:val="nil"/>
              <w:bottom w:val="nil"/>
              <w:right w:val="nil"/>
            </w:tcBorders>
            <w:shd w:val="clear" w:color="auto" w:fill="auto"/>
            <w:noWrap/>
            <w:vAlign w:val="bottom"/>
            <w:hideMark/>
          </w:tcPr>
          <w:p w14:paraId="132A0F7D"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4FA0FC7C" w14:textId="77777777" w:rsidR="006B63EA" w:rsidRPr="000B1685" w:rsidRDefault="006B63EA" w:rsidP="00F50500">
            <w:pPr>
              <w:spacing w:after="0" w:line="240" w:lineRule="auto"/>
              <w:rPr>
                <w:szCs w:val="24"/>
              </w:rPr>
            </w:pPr>
          </w:p>
        </w:tc>
        <w:tc>
          <w:tcPr>
            <w:tcW w:w="1139" w:type="dxa"/>
            <w:tcBorders>
              <w:top w:val="nil"/>
              <w:left w:val="nil"/>
              <w:bottom w:val="nil"/>
              <w:right w:val="nil"/>
            </w:tcBorders>
            <w:shd w:val="clear" w:color="auto" w:fill="auto"/>
            <w:noWrap/>
            <w:vAlign w:val="bottom"/>
            <w:hideMark/>
          </w:tcPr>
          <w:p w14:paraId="6E030539" w14:textId="77777777" w:rsidR="006B63EA" w:rsidRPr="000B1685" w:rsidRDefault="006B63EA" w:rsidP="00F50500">
            <w:pPr>
              <w:spacing w:after="0" w:line="240" w:lineRule="auto"/>
              <w:rPr>
                <w:szCs w:val="24"/>
              </w:rPr>
            </w:pPr>
          </w:p>
        </w:tc>
        <w:tc>
          <w:tcPr>
            <w:tcW w:w="1172" w:type="dxa"/>
            <w:tcBorders>
              <w:top w:val="nil"/>
              <w:left w:val="nil"/>
              <w:bottom w:val="nil"/>
              <w:right w:val="nil"/>
            </w:tcBorders>
            <w:shd w:val="clear" w:color="auto" w:fill="auto"/>
            <w:noWrap/>
            <w:vAlign w:val="bottom"/>
            <w:hideMark/>
          </w:tcPr>
          <w:p w14:paraId="04EC564B" w14:textId="77777777" w:rsidR="006B63EA" w:rsidRPr="000B1685" w:rsidRDefault="006B63EA" w:rsidP="00F50500">
            <w:pPr>
              <w:spacing w:after="0" w:line="240" w:lineRule="auto"/>
              <w:rPr>
                <w:szCs w:val="24"/>
              </w:rPr>
            </w:pPr>
          </w:p>
        </w:tc>
      </w:tr>
      <w:tr w:rsidR="006B63EA" w:rsidRPr="000B1685" w14:paraId="0CD35CF0"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0479B605"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Taxes</w:t>
            </w:r>
          </w:p>
        </w:tc>
        <w:tc>
          <w:tcPr>
            <w:tcW w:w="893" w:type="dxa"/>
            <w:tcBorders>
              <w:top w:val="nil"/>
              <w:left w:val="nil"/>
              <w:bottom w:val="nil"/>
              <w:right w:val="nil"/>
            </w:tcBorders>
            <w:shd w:val="clear" w:color="auto" w:fill="auto"/>
            <w:vAlign w:val="center"/>
            <w:hideMark/>
          </w:tcPr>
          <w:p w14:paraId="4C489018" w14:textId="77777777" w:rsidR="006B63EA" w:rsidRPr="000B1685" w:rsidRDefault="006B63EA" w:rsidP="00F50500">
            <w:pPr>
              <w:spacing w:after="0" w:line="240" w:lineRule="auto"/>
              <w:rPr>
                <w:color w:val="000000"/>
                <w:szCs w:val="24"/>
              </w:rPr>
            </w:pPr>
            <w:r w:rsidRPr="000B1685">
              <w:rPr>
                <w:color w:val="000000"/>
                <w:szCs w:val="24"/>
              </w:rPr>
              <w:t>0.003</w:t>
            </w:r>
          </w:p>
        </w:tc>
        <w:tc>
          <w:tcPr>
            <w:tcW w:w="1224" w:type="dxa"/>
            <w:tcBorders>
              <w:top w:val="nil"/>
              <w:left w:val="nil"/>
              <w:bottom w:val="nil"/>
              <w:right w:val="nil"/>
            </w:tcBorders>
            <w:shd w:val="clear" w:color="auto" w:fill="auto"/>
            <w:vAlign w:val="center"/>
            <w:hideMark/>
          </w:tcPr>
          <w:p w14:paraId="16CCBDFD" w14:textId="77777777" w:rsidR="006B63EA" w:rsidRPr="000B1685" w:rsidRDefault="006B63EA" w:rsidP="00F50500">
            <w:pPr>
              <w:spacing w:after="0" w:line="240" w:lineRule="auto"/>
              <w:rPr>
                <w:color w:val="000000"/>
                <w:szCs w:val="24"/>
              </w:rPr>
            </w:pPr>
            <w:r w:rsidRPr="000B1685">
              <w:rPr>
                <w:color w:val="000000"/>
                <w:szCs w:val="24"/>
              </w:rPr>
              <w:t>–0.004</w:t>
            </w:r>
          </w:p>
        </w:tc>
        <w:tc>
          <w:tcPr>
            <w:tcW w:w="1172" w:type="dxa"/>
            <w:tcBorders>
              <w:top w:val="nil"/>
              <w:left w:val="nil"/>
              <w:bottom w:val="nil"/>
              <w:right w:val="nil"/>
            </w:tcBorders>
            <w:shd w:val="clear" w:color="auto" w:fill="auto"/>
            <w:vAlign w:val="center"/>
            <w:hideMark/>
          </w:tcPr>
          <w:p w14:paraId="47A16183" w14:textId="77777777" w:rsidR="006B63EA" w:rsidRPr="000B1685" w:rsidRDefault="006B63EA" w:rsidP="00F50500">
            <w:pPr>
              <w:spacing w:after="0" w:line="240" w:lineRule="auto"/>
              <w:rPr>
                <w:color w:val="000000"/>
                <w:szCs w:val="24"/>
              </w:rPr>
            </w:pPr>
            <w:r w:rsidRPr="000B1685">
              <w:rPr>
                <w:color w:val="000000"/>
                <w:szCs w:val="24"/>
              </w:rPr>
              <w:t>–0.066</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1526A6D3" w14:textId="77777777" w:rsidR="006B63EA" w:rsidRPr="000B1685" w:rsidRDefault="006B63EA" w:rsidP="00F50500">
            <w:pPr>
              <w:spacing w:after="0" w:line="240" w:lineRule="auto"/>
              <w:rPr>
                <w:color w:val="000000"/>
                <w:szCs w:val="24"/>
              </w:rPr>
            </w:pPr>
            <w:r w:rsidRPr="000B1685">
              <w:rPr>
                <w:color w:val="000000"/>
                <w:szCs w:val="24"/>
              </w:rPr>
              <w:t>0.093</w:t>
            </w:r>
            <w:r w:rsidRPr="000B1685">
              <w:rPr>
                <w:color w:val="000000"/>
                <w:szCs w:val="24"/>
                <w:vertAlign w:val="superscript"/>
              </w:rPr>
              <w:t>***</w:t>
            </w:r>
          </w:p>
        </w:tc>
        <w:tc>
          <w:tcPr>
            <w:tcW w:w="1172" w:type="dxa"/>
            <w:tcBorders>
              <w:top w:val="nil"/>
              <w:left w:val="nil"/>
              <w:bottom w:val="nil"/>
              <w:right w:val="nil"/>
            </w:tcBorders>
            <w:shd w:val="clear" w:color="auto" w:fill="auto"/>
            <w:vAlign w:val="center"/>
            <w:hideMark/>
          </w:tcPr>
          <w:p w14:paraId="06DAA407" w14:textId="77777777" w:rsidR="006B63EA" w:rsidRPr="000B1685" w:rsidRDefault="006B63EA" w:rsidP="00F50500">
            <w:pPr>
              <w:spacing w:after="0" w:line="240" w:lineRule="auto"/>
              <w:rPr>
                <w:color w:val="000000"/>
                <w:szCs w:val="24"/>
              </w:rPr>
            </w:pPr>
            <w:r w:rsidRPr="000B1685">
              <w:rPr>
                <w:color w:val="000000"/>
                <w:szCs w:val="24"/>
              </w:rPr>
              <w:t>0.016</w:t>
            </w:r>
          </w:p>
        </w:tc>
      </w:tr>
      <w:tr w:rsidR="006B63EA" w:rsidRPr="000B1685" w14:paraId="55494EF1" w14:textId="77777777" w:rsidTr="00F50500">
        <w:trPr>
          <w:trHeight w:val="360"/>
          <w:jc w:val="center"/>
        </w:trPr>
        <w:tc>
          <w:tcPr>
            <w:tcW w:w="2320" w:type="dxa"/>
            <w:tcBorders>
              <w:top w:val="nil"/>
              <w:left w:val="nil"/>
              <w:bottom w:val="nil"/>
              <w:right w:val="nil"/>
            </w:tcBorders>
            <w:shd w:val="clear" w:color="auto" w:fill="auto"/>
            <w:noWrap/>
            <w:vAlign w:val="bottom"/>
            <w:hideMark/>
          </w:tcPr>
          <w:p w14:paraId="23A1261A"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Transfers</w:t>
            </w:r>
          </w:p>
        </w:tc>
        <w:tc>
          <w:tcPr>
            <w:tcW w:w="893" w:type="dxa"/>
            <w:tcBorders>
              <w:top w:val="nil"/>
              <w:left w:val="nil"/>
              <w:bottom w:val="nil"/>
              <w:right w:val="nil"/>
            </w:tcBorders>
            <w:shd w:val="clear" w:color="auto" w:fill="auto"/>
            <w:vAlign w:val="center"/>
            <w:hideMark/>
          </w:tcPr>
          <w:p w14:paraId="783F6EC9" w14:textId="77777777" w:rsidR="006B63EA" w:rsidRPr="000B1685" w:rsidRDefault="006B63EA" w:rsidP="00F50500">
            <w:pPr>
              <w:spacing w:after="0" w:line="240" w:lineRule="auto"/>
              <w:rPr>
                <w:color w:val="000000"/>
                <w:szCs w:val="24"/>
              </w:rPr>
            </w:pPr>
            <w:r w:rsidRPr="000B1685">
              <w:rPr>
                <w:color w:val="000000"/>
                <w:szCs w:val="24"/>
              </w:rPr>
              <w:t>–0.007</w:t>
            </w:r>
            <w:r w:rsidRPr="000B1685">
              <w:rPr>
                <w:color w:val="000000"/>
                <w:szCs w:val="24"/>
                <w:vertAlign w:val="superscript"/>
              </w:rPr>
              <w:t>*</w:t>
            </w:r>
          </w:p>
        </w:tc>
        <w:tc>
          <w:tcPr>
            <w:tcW w:w="1224" w:type="dxa"/>
            <w:tcBorders>
              <w:top w:val="nil"/>
              <w:left w:val="nil"/>
              <w:bottom w:val="nil"/>
              <w:right w:val="nil"/>
            </w:tcBorders>
            <w:shd w:val="clear" w:color="auto" w:fill="auto"/>
            <w:vAlign w:val="center"/>
            <w:hideMark/>
          </w:tcPr>
          <w:p w14:paraId="348A0FD4" w14:textId="77777777" w:rsidR="006B63EA" w:rsidRPr="000B1685" w:rsidRDefault="006B63EA" w:rsidP="00F50500">
            <w:pPr>
              <w:spacing w:after="0" w:line="240" w:lineRule="auto"/>
              <w:rPr>
                <w:color w:val="000000"/>
                <w:szCs w:val="24"/>
              </w:rPr>
            </w:pPr>
            <w:r w:rsidRPr="000B1685">
              <w:rPr>
                <w:color w:val="000000"/>
                <w:szCs w:val="24"/>
              </w:rPr>
              <w:t>0.001</w:t>
            </w:r>
          </w:p>
        </w:tc>
        <w:tc>
          <w:tcPr>
            <w:tcW w:w="1172" w:type="dxa"/>
            <w:tcBorders>
              <w:top w:val="nil"/>
              <w:left w:val="nil"/>
              <w:bottom w:val="nil"/>
              <w:right w:val="nil"/>
            </w:tcBorders>
            <w:shd w:val="clear" w:color="auto" w:fill="auto"/>
            <w:vAlign w:val="center"/>
            <w:hideMark/>
          </w:tcPr>
          <w:p w14:paraId="2F8E06C4" w14:textId="77777777" w:rsidR="006B63EA" w:rsidRPr="000B1685" w:rsidRDefault="006B63EA" w:rsidP="00F50500">
            <w:pPr>
              <w:spacing w:after="0" w:line="240" w:lineRule="auto"/>
              <w:rPr>
                <w:color w:val="000000"/>
                <w:szCs w:val="24"/>
              </w:rPr>
            </w:pPr>
            <w:r w:rsidRPr="000B1685">
              <w:rPr>
                <w:color w:val="000000"/>
                <w:szCs w:val="24"/>
              </w:rPr>
              <w:t>0.041</w:t>
            </w:r>
            <w:r w:rsidRPr="000B1685">
              <w:rPr>
                <w:color w:val="000000"/>
                <w:szCs w:val="24"/>
                <w:vertAlign w:val="superscript"/>
              </w:rPr>
              <w:t>***</w:t>
            </w:r>
          </w:p>
        </w:tc>
        <w:tc>
          <w:tcPr>
            <w:tcW w:w="1139" w:type="dxa"/>
            <w:tcBorders>
              <w:top w:val="nil"/>
              <w:left w:val="nil"/>
              <w:bottom w:val="nil"/>
              <w:right w:val="nil"/>
            </w:tcBorders>
            <w:shd w:val="clear" w:color="auto" w:fill="auto"/>
            <w:vAlign w:val="center"/>
            <w:hideMark/>
          </w:tcPr>
          <w:p w14:paraId="76A6635E" w14:textId="77777777" w:rsidR="006B63EA" w:rsidRPr="000B1685" w:rsidRDefault="006B63EA" w:rsidP="00F50500">
            <w:pPr>
              <w:spacing w:after="0" w:line="240" w:lineRule="auto"/>
              <w:rPr>
                <w:color w:val="000000"/>
                <w:szCs w:val="24"/>
              </w:rPr>
            </w:pPr>
            <w:r w:rsidRPr="000B1685">
              <w:rPr>
                <w:color w:val="000000"/>
                <w:szCs w:val="24"/>
              </w:rPr>
              <w:t>0.018</w:t>
            </w:r>
          </w:p>
        </w:tc>
        <w:tc>
          <w:tcPr>
            <w:tcW w:w="1172" w:type="dxa"/>
            <w:tcBorders>
              <w:top w:val="nil"/>
              <w:left w:val="nil"/>
              <w:bottom w:val="nil"/>
              <w:right w:val="nil"/>
            </w:tcBorders>
            <w:shd w:val="clear" w:color="auto" w:fill="auto"/>
            <w:vAlign w:val="center"/>
            <w:hideMark/>
          </w:tcPr>
          <w:p w14:paraId="683F0901" w14:textId="77777777" w:rsidR="006B63EA" w:rsidRPr="000B1685" w:rsidRDefault="006B63EA" w:rsidP="00F50500">
            <w:pPr>
              <w:spacing w:after="0" w:line="240" w:lineRule="auto"/>
              <w:rPr>
                <w:color w:val="000000"/>
                <w:szCs w:val="24"/>
              </w:rPr>
            </w:pPr>
            <w:r w:rsidRPr="000B1685">
              <w:rPr>
                <w:color w:val="000000"/>
                <w:szCs w:val="24"/>
              </w:rPr>
              <w:t>–0.030</w:t>
            </w:r>
            <w:r w:rsidRPr="000B1685">
              <w:rPr>
                <w:color w:val="000000"/>
                <w:szCs w:val="24"/>
                <w:vertAlign w:val="superscript"/>
              </w:rPr>
              <w:t>***</w:t>
            </w:r>
          </w:p>
        </w:tc>
      </w:tr>
      <w:tr w:rsidR="006B63EA" w:rsidRPr="000B1685" w14:paraId="07E48E0C" w14:textId="77777777" w:rsidTr="00F50500">
        <w:trPr>
          <w:trHeight w:val="300"/>
          <w:jc w:val="center"/>
        </w:trPr>
        <w:tc>
          <w:tcPr>
            <w:tcW w:w="2320" w:type="dxa"/>
            <w:tcBorders>
              <w:top w:val="nil"/>
              <w:left w:val="nil"/>
              <w:bottom w:val="single" w:sz="4" w:space="0" w:color="auto"/>
              <w:right w:val="nil"/>
            </w:tcBorders>
            <w:shd w:val="clear" w:color="auto" w:fill="auto"/>
            <w:noWrap/>
            <w:vAlign w:val="bottom"/>
            <w:hideMark/>
          </w:tcPr>
          <w:p w14:paraId="78665CBF" w14:textId="77777777" w:rsidR="006B63EA" w:rsidRPr="000B1685" w:rsidRDefault="006B63EA" w:rsidP="00F50500">
            <w:pPr>
              <w:spacing w:after="0" w:line="240" w:lineRule="auto"/>
              <w:ind w:firstLineChars="200" w:firstLine="440"/>
              <w:rPr>
                <w:color w:val="000000"/>
                <w:szCs w:val="24"/>
              </w:rPr>
            </w:pPr>
            <w:r w:rsidRPr="000B1685">
              <w:rPr>
                <w:color w:val="000000"/>
                <w:szCs w:val="24"/>
              </w:rPr>
              <w:t>State Purchases</w:t>
            </w:r>
          </w:p>
        </w:tc>
        <w:tc>
          <w:tcPr>
            <w:tcW w:w="893" w:type="dxa"/>
            <w:tcBorders>
              <w:top w:val="nil"/>
              <w:left w:val="nil"/>
              <w:bottom w:val="single" w:sz="4" w:space="0" w:color="auto"/>
              <w:right w:val="nil"/>
            </w:tcBorders>
            <w:shd w:val="clear" w:color="auto" w:fill="auto"/>
            <w:noWrap/>
            <w:vAlign w:val="bottom"/>
            <w:hideMark/>
          </w:tcPr>
          <w:p w14:paraId="0A010C7E" w14:textId="77777777" w:rsidR="006B63EA" w:rsidRPr="000B1685" w:rsidRDefault="006B63EA" w:rsidP="00F50500">
            <w:pPr>
              <w:spacing w:after="0" w:line="240" w:lineRule="auto"/>
              <w:rPr>
                <w:color w:val="000000"/>
                <w:szCs w:val="24"/>
              </w:rPr>
            </w:pPr>
            <w:r w:rsidRPr="000B1685">
              <w:rPr>
                <w:color w:val="000000"/>
                <w:szCs w:val="24"/>
              </w:rPr>
              <w:t>–0.070**</w:t>
            </w:r>
          </w:p>
        </w:tc>
        <w:tc>
          <w:tcPr>
            <w:tcW w:w="1224" w:type="dxa"/>
            <w:tcBorders>
              <w:top w:val="nil"/>
              <w:left w:val="nil"/>
              <w:bottom w:val="single" w:sz="4" w:space="0" w:color="auto"/>
              <w:right w:val="nil"/>
            </w:tcBorders>
            <w:shd w:val="clear" w:color="auto" w:fill="auto"/>
            <w:noWrap/>
            <w:vAlign w:val="bottom"/>
            <w:hideMark/>
          </w:tcPr>
          <w:p w14:paraId="6548F00C" w14:textId="77777777" w:rsidR="006B63EA" w:rsidRPr="000B1685" w:rsidRDefault="006B63EA" w:rsidP="00F50500">
            <w:pPr>
              <w:spacing w:after="0" w:line="240" w:lineRule="auto"/>
              <w:rPr>
                <w:color w:val="000000"/>
                <w:szCs w:val="24"/>
              </w:rPr>
            </w:pPr>
            <w:r w:rsidRPr="000B1685">
              <w:rPr>
                <w:color w:val="000000"/>
                <w:szCs w:val="24"/>
              </w:rPr>
              <w:t>–0.077</w:t>
            </w:r>
          </w:p>
        </w:tc>
        <w:tc>
          <w:tcPr>
            <w:tcW w:w="1172" w:type="dxa"/>
            <w:tcBorders>
              <w:top w:val="nil"/>
              <w:left w:val="nil"/>
              <w:bottom w:val="single" w:sz="4" w:space="0" w:color="auto"/>
              <w:right w:val="nil"/>
            </w:tcBorders>
            <w:shd w:val="clear" w:color="auto" w:fill="auto"/>
            <w:noWrap/>
            <w:vAlign w:val="bottom"/>
            <w:hideMark/>
          </w:tcPr>
          <w:p w14:paraId="3A2DF7FE" w14:textId="77777777" w:rsidR="006B63EA" w:rsidRPr="000B1685" w:rsidRDefault="006B63EA" w:rsidP="00F50500">
            <w:pPr>
              <w:spacing w:after="0" w:line="240" w:lineRule="auto"/>
              <w:rPr>
                <w:color w:val="000000"/>
                <w:szCs w:val="24"/>
              </w:rPr>
            </w:pPr>
            <w:r w:rsidRPr="000B1685">
              <w:rPr>
                <w:color w:val="000000"/>
                <w:szCs w:val="24"/>
              </w:rPr>
              <w:t>–0.044</w:t>
            </w:r>
          </w:p>
        </w:tc>
        <w:tc>
          <w:tcPr>
            <w:tcW w:w="1139" w:type="dxa"/>
            <w:tcBorders>
              <w:top w:val="nil"/>
              <w:left w:val="nil"/>
              <w:bottom w:val="single" w:sz="4" w:space="0" w:color="auto"/>
              <w:right w:val="nil"/>
            </w:tcBorders>
            <w:shd w:val="clear" w:color="auto" w:fill="auto"/>
            <w:noWrap/>
            <w:vAlign w:val="bottom"/>
            <w:hideMark/>
          </w:tcPr>
          <w:p w14:paraId="108F99E0" w14:textId="77777777" w:rsidR="006B63EA" w:rsidRPr="000B1685" w:rsidRDefault="006B63EA" w:rsidP="00F50500">
            <w:pPr>
              <w:spacing w:after="0" w:line="240" w:lineRule="auto"/>
              <w:rPr>
                <w:color w:val="000000"/>
                <w:szCs w:val="24"/>
              </w:rPr>
            </w:pPr>
            <w:r w:rsidRPr="000B1685">
              <w:rPr>
                <w:color w:val="000000"/>
                <w:szCs w:val="24"/>
              </w:rPr>
              <w:t>–0.02</w:t>
            </w:r>
          </w:p>
        </w:tc>
        <w:tc>
          <w:tcPr>
            <w:tcW w:w="1172" w:type="dxa"/>
            <w:tcBorders>
              <w:top w:val="nil"/>
              <w:left w:val="nil"/>
              <w:bottom w:val="single" w:sz="4" w:space="0" w:color="auto"/>
              <w:right w:val="nil"/>
            </w:tcBorders>
            <w:shd w:val="clear" w:color="auto" w:fill="auto"/>
            <w:noWrap/>
            <w:vAlign w:val="bottom"/>
            <w:hideMark/>
          </w:tcPr>
          <w:p w14:paraId="700EEE9A" w14:textId="77777777" w:rsidR="006B63EA" w:rsidRPr="000B1685" w:rsidRDefault="006B63EA" w:rsidP="00F50500">
            <w:pPr>
              <w:spacing w:after="0" w:line="240" w:lineRule="auto"/>
              <w:rPr>
                <w:color w:val="000000"/>
                <w:szCs w:val="24"/>
              </w:rPr>
            </w:pPr>
            <w:r w:rsidRPr="000B1685">
              <w:rPr>
                <w:color w:val="000000"/>
                <w:szCs w:val="24"/>
              </w:rPr>
              <w:t>–0.078*</w:t>
            </w:r>
          </w:p>
        </w:tc>
      </w:tr>
    </w:tbl>
    <w:p w14:paraId="662A1ED3" w14:textId="1D64B0DD" w:rsidR="006B63EA" w:rsidRPr="000B1685" w:rsidRDefault="006B63EA" w:rsidP="006B63EA">
      <w:pPr>
        <w:pStyle w:val="SourceNoteFiguresTablesBoxes"/>
      </w:pPr>
      <w:r w:rsidRPr="000B1685">
        <w:rPr>
          <w:i/>
        </w:rPr>
        <w:t>Source:</w:t>
      </w:r>
      <w:r w:rsidRPr="000B1685">
        <w:t xml:space="preserve"> Authors’ calculations.</w:t>
      </w:r>
    </w:p>
    <w:p w14:paraId="78ED74E4" w14:textId="77777777" w:rsidR="006B63EA" w:rsidRPr="000B1685" w:rsidRDefault="006B63EA" w:rsidP="006B63EA">
      <w:pPr>
        <w:pStyle w:val="SourceNoteFiguresTablesBoxes"/>
      </w:pPr>
      <w:r w:rsidRPr="000B1685">
        <w:rPr>
          <w:i/>
        </w:rPr>
        <w:t>Note:</w:t>
      </w:r>
      <w:r w:rsidRPr="000B1685">
        <w:t xml:space="preserve"> This table reports the results of regressions of various components of the quarterly FIM on the four-quarter change in the unemployment gap. Standard errors are Newey-West, and *p&lt;0.1; **p&lt;0.05; ***p&lt;0.01. </w:t>
      </w:r>
      <w:r w:rsidRPr="000B1685">
        <w:br w:type="page"/>
      </w:r>
    </w:p>
    <w:p w14:paraId="3E8A1596" w14:textId="77777777" w:rsidR="00060D1C" w:rsidRPr="00826E67" w:rsidRDefault="00060D1C" w:rsidP="00060D1C"/>
    <w:p w14:paraId="526AEA2B" w14:textId="77777777" w:rsidR="00060D1C" w:rsidRPr="00826E67" w:rsidRDefault="00060D1C" w:rsidP="00060D1C">
      <w:pPr>
        <w:rPr>
          <w:rFonts w:eastAsiaTheme="minorEastAsia"/>
          <w:b/>
          <w:bCs/>
          <w:kern w:val="36"/>
        </w:rPr>
      </w:pPr>
      <w:r w:rsidRPr="00826E67">
        <w:rPr>
          <w:rFonts w:eastAsiaTheme="minorEastAsia"/>
        </w:rPr>
        <w:br w:type="page"/>
      </w:r>
    </w:p>
    <w:p w14:paraId="6AA642D1" w14:textId="70891609" w:rsidR="00060D1C" w:rsidRPr="000B1685" w:rsidRDefault="00060D1C" w:rsidP="00B60129">
      <w:pPr>
        <w:pStyle w:val="SectionTitleMainText"/>
        <w:rPr>
          <w:rFonts w:eastAsiaTheme="minorEastAsia"/>
        </w:rPr>
      </w:pPr>
      <w:bookmarkStart w:id="35" w:name="_Toc6305164"/>
      <w:r w:rsidRPr="000B1685">
        <w:rPr>
          <w:rFonts w:eastAsiaTheme="minorEastAsia"/>
        </w:rPr>
        <w:lastRenderedPageBreak/>
        <w:t>Appendix B. Vector Autoregressions and Impulse Response Functions</w:t>
      </w:r>
      <w:bookmarkEnd w:id="35"/>
    </w:p>
    <w:p w14:paraId="075E4BE8" w14:textId="0D64AFAE" w:rsidR="00060D1C" w:rsidRPr="000B1685" w:rsidRDefault="00060D1C" w:rsidP="00B60129">
      <w:pPr>
        <w:pStyle w:val="RegularBodyTextMainText"/>
        <w:rPr>
          <w:rFonts w:eastAsiaTheme="minorEastAsia"/>
        </w:rPr>
      </w:pPr>
      <w:r w:rsidRPr="000B1685">
        <w:rPr>
          <w:rFonts w:eastAsiaTheme="minorEastAsia"/>
        </w:rPr>
        <w:t>Vector autoregressions (VARs) can be used to analyze the timing and ultimate magnitude of the response of fiscal policy to an unemployment shock. We show here the impulse response functions (IRFs) from some simple VARs, where the FIM is regressed on lagged values of itself and the unemployment gap. We provide the details below. Examining the VAR for the total FIM, we see that the fiscal policy response takes time—reaching its largest magnitude about seven quarters after an initial change in unemployment. Furthermore, examining the VAR for the state and local fiscal response, we see that it is quite negative—subtracting about 25 percent off the federal response, but that it takes a particularly long time to reach its full effect—close to four years.</w:t>
      </w:r>
    </w:p>
    <w:p w14:paraId="33178514" w14:textId="77777777" w:rsidR="009F7FAD" w:rsidRDefault="009F7FAD" w:rsidP="009F7FAD">
      <w:pPr>
        <w:pStyle w:val="FigureTableBoxNumberFiguresTablesBoxes"/>
        <w:rPr>
          <w:rFonts w:eastAsiaTheme="minorEastAsia"/>
        </w:rPr>
      </w:pPr>
      <w:bookmarkStart w:id="36" w:name="_Toc6305165"/>
      <w:r>
        <w:rPr>
          <w:rFonts w:eastAsiaTheme="minorEastAsia"/>
        </w:rPr>
        <w:t xml:space="preserve">Appendix B </w:t>
      </w:r>
      <w:r w:rsidR="00060D1C" w:rsidRPr="000B1685">
        <w:rPr>
          <w:rFonts w:eastAsiaTheme="minorEastAsia"/>
        </w:rPr>
        <w:t>Figure 1</w:t>
      </w:r>
      <w:r>
        <w:rPr>
          <w:rFonts w:eastAsiaTheme="minorEastAsia"/>
        </w:rPr>
        <w:t>A</w:t>
      </w:r>
      <w:r w:rsidR="00060D1C" w:rsidRPr="000B1685">
        <w:rPr>
          <w:rFonts w:eastAsiaTheme="minorEastAsia"/>
        </w:rPr>
        <w:t xml:space="preserve">. </w:t>
      </w:r>
    </w:p>
    <w:p w14:paraId="67CC8FA2" w14:textId="29C2DF54" w:rsidR="00060D1C" w:rsidRDefault="00060D1C" w:rsidP="00675D78">
      <w:pPr>
        <w:pStyle w:val="FigureTableBoxTitleFiguresTablesBoxes"/>
        <w:rPr>
          <w:rFonts w:eastAsiaTheme="minorEastAsia"/>
        </w:rPr>
      </w:pPr>
      <w:r w:rsidRPr="000B1685">
        <w:rPr>
          <w:rFonts w:eastAsiaTheme="minorEastAsia"/>
        </w:rPr>
        <w:t xml:space="preserve">FIM Cumulative Response to a </w:t>
      </w:r>
      <w:r w:rsidR="00675D78">
        <w:rPr>
          <w:rFonts w:eastAsiaTheme="minorEastAsia"/>
        </w:rPr>
        <w:t>1 Percentage Point</w:t>
      </w:r>
      <w:r w:rsidRPr="000B1685">
        <w:rPr>
          <w:rFonts w:eastAsiaTheme="minorEastAsia"/>
        </w:rPr>
        <w:t xml:space="preserve"> Increase in the Unemployment Gap</w:t>
      </w:r>
      <w:bookmarkEnd w:id="36"/>
    </w:p>
    <w:p w14:paraId="72EBA639" w14:textId="4D1EBA15" w:rsidR="000A1061" w:rsidRPr="006D6964" w:rsidRDefault="00440794" w:rsidP="006D6964">
      <w:pPr>
        <w:pStyle w:val="RegularBodyTextMainText"/>
        <w:rPr>
          <w:rFonts w:eastAsiaTheme="minorEastAsia"/>
        </w:rPr>
      </w:pPr>
      <w:r>
        <w:rPr>
          <w:rFonts w:eastAsiaTheme="minorEastAsia"/>
          <w:noProof/>
        </w:rPr>
        <w:drawing>
          <wp:inline distT="0" distB="0" distL="0" distR="0" wp14:anchorId="772FA2DB" wp14:editId="42C1CDE9">
            <wp:extent cx="7191789" cy="3543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93555" cy="3544170"/>
                    </a:xfrm>
                    <a:prstGeom prst="rect">
                      <a:avLst/>
                    </a:prstGeom>
                    <a:noFill/>
                  </pic:spPr>
                </pic:pic>
              </a:graphicData>
            </a:graphic>
          </wp:inline>
        </w:drawing>
      </w:r>
    </w:p>
    <w:p w14:paraId="3372B404" w14:textId="77777777" w:rsidR="00440794" w:rsidRDefault="009F7FAD" w:rsidP="00440794">
      <w:pPr>
        <w:pStyle w:val="FigureTableBoxNumberFiguresTablesBoxes"/>
        <w:rPr>
          <w:rFonts w:eastAsiaTheme="minorEastAsia"/>
        </w:rPr>
      </w:pPr>
      <w:r>
        <w:rPr>
          <w:rFonts w:eastAsiaTheme="minorEastAsia"/>
        </w:rPr>
        <w:t xml:space="preserve">Appendix B </w:t>
      </w:r>
      <w:r w:rsidRPr="000B1685">
        <w:rPr>
          <w:rFonts w:eastAsiaTheme="minorEastAsia"/>
        </w:rPr>
        <w:t>Figure 1</w:t>
      </w:r>
      <w:r>
        <w:rPr>
          <w:rFonts w:eastAsiaTheme="minorEastAsia"/>
        </w:rPr>
        <w:t>B</w:t>
      </w:r>
      <w:r w:rsidR="006D6964" w:rsidRPr="000B1685">
        <w:rPr>
          <w:rFonts w:eastAsiaTheme="minorEastAsia"/>
        </w:rPr>
        <w:t xml:space="preserve">. </w:t>
      </w:r>
    </w:p>
    <w:p w14:paraId="1457B5C8" w14:textId="5C96A380" w:rsidR="006D6964" w:rsidRDefault="006D6964" w:rsidP="00440794">
      <w:pPr>
        <w:pStyle w:val="FigureTableBoxTitleFiguresTablesBoxes"/>
        <w:rPr>
          <w:rFonts w:eastAsiaTheme="minorEastAsia"/>
        </w:rPr>
      </w:pPr>
      <w:r>
        <w:rPr>
          <w:rFonts w:eastAsiaTheme="minorEastAsia"/>
        </w:rPr>
        <w:t>Automatic Stabilizers</w:t>
      </w:r>
      <w:r w:rsidRPr="000B1685">
        <w:rPr>
          <w:rFonts w:eastAsiaTheme="minorEastAsia"/>
        </w:rPr>
        <w:t xml:space="preserve"> Cumulative Response to a</w:t>
      </w:r>
      <w:r w:rsidR="00440794" w:rsidRPr="000B1685">
        <w:rPr>
          <w:rFonts w:eastAsiaTheme="minorEastAsia"/>
        </w:rPr>
        <w:t xml:space="preserve"> </w:t>
      </w:r>
      <w:r w:rsidR="00440794">
        <w:rPr>
          <w:rFonts w:eastAsiaTheme="minorEastAsia"/>
        </w:rPr>
        <w:t>1 Percentage Point</w:t>
      </w:r>
      <w:r w:rsidRPr="000B1685">
        <w:rPr>
          <w:rFonts w:eastAsiaTheme="minorEastAsia"/>
        </w:rPr>
        <w:t xml:space="preserve"> Increase in the Unemployment Gap</w:t>
      </w:r>
      <w:r>
        <w:rPr>
          <w:rFonts w:eastAsiaTheme="minorEastAsia"/>
        </w:rPr>
        <w:t xml:space="preserve"> </w:t>
      </w:r>
    </w:p>
    <w:p w14:paraId="48FB0149" w14:textId="6A9A22D0" w:rsidR="000A1061" w:rsidRDefault="001A03CE" w:rsidP="006D6964">
      <w:pPr>
        <w:pStyle w:val="RegularBodyTextMainText"/>
        <w:rPr>
          <w:rFonts w:eastAsiaTheme="minorEastAsia"/>
        </w:rPr>
      </w:pPr>
      <w:r>
        <w:rPr>
          <w:rFonts w:eastAsiaTheme="minorEastAsia"/>
          <w:noProof/>
        </w:rPr>
        <w:lastRenderedPageBreak/>
        <w:drawing>
          <wp:inline distT="0" distB="0" distL="0" distR="0" wp14:anchorId="0C2BEB8D" wp14:editId="2130C82C">
            <wp:extent cx="7181850" cy="317431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5208" cy="3184634"/>
                    </a:xfrm>
                    <a:prstGeom prst="rect">
                      <a:avLst/>
                    </a:prstGeom>
                    <a:noFill/>
                  </pic:spPr>
                </pic:pic>
              </a:graphicData>
            </a:graphic>
          </wp:inline>
        </w:drawing>
      </w:r>
    </w:p>
    <w:p w14:paraId="3BD3C2CF" w14:textId="77777777" w:rsidR="00440794" w:rsidRDefault="009F7FAD" w:rsidP="00440794">
      <w:pPr>
        <w:pStyle w:val="FigureTableBoxNumberFiguresTablesBoxes"/>
        <w:rPr>
          <w:rFonts w:eastAsiaTheme="minorEastAsia"/>
        </w:rPr>
      </w:pPr>
      <w:r>
        <w:rPr>
          <w:rFonts w:eastAsiaTheme="minorEastAsia"/>
        </w:rPr>
        <w:t xml:space="preserve">Appendix B </w:t>
      </w:r>
      <w:r w:rsidRPr="000B1685">
        <w:rPr>
          <w:rFonts w:eastAsiaTheme="minorEastAsia"/>
        </w:rPr>
        <w:t>Figure 1</w:t>
      </w:r>
      <w:r>
        <w:rPr>
          <w:rFonts w:eastAsiaTheme="minorEastAsia"/>
        </w:rPr>
        <w:t>C</w:t>
      </w:r>
      <w:r w:rsidR="006D6964" w:rsidRPr="000B1685">
        <w:rPr>
          <w:rFonts w:eastAsiaTheme="minorEastAsia"/>
        </w:rPr>
        <w:t xml:space="preserve">. </w:t>
      </w:r>
    </w:p>
    <w:p w14:paraId="0FCD6D6A" w14:textId="56D42621" w:rsidR="006D6964" w:rsidRDefault="000A1061" w:rsidP="00440794">
      <w:pPr>
        <w:pStyle w:val="FigureTableBoxTitleFiguresTablesBoxes"/>
        <w:rPr>
          <w:rFonts w:eastAsiaTheme="minorEastAsia"/>
        </w:rPr>
      </w:pPr>
      <w:r>
        <w:rPr>
          <w:rFonts w:eastAsiaTheme="minorEastAsia"/>
        </w:rPr>
        <w:t>Discretionary Policy</w:t>
      </w:r>
      <w:r w:rsidR="006D6964" w:rsidRPr="000B1685">
        <w:rPr>
          <w:rFonts w:eastAsiaTheme="minorEastAsia"/>
        </w:rPr>
        <w:t xml:space="preserve"> Cumulative Response to a </w:t>
      </w:r>
      <w:r w:rsidR="00440794">
        <w:rPr>
          <w:rFonts w:eastAsiaTheme="minorEastAsia"/>
        </w:rPr>
        <w:t>1 Percentage Point</w:t>
      </w:r>
      <w:r w:rsidR="006D6964" w:rsidRPr="000B1685">
        <w:rPr>
          <w:rFonts w:eastAsiaTheme="minorEastAsia"/>
        </w:rPr>
        <w:t xml:space="preserve"> Increase in the Unemployment Gap</w:t>
      </w:r>
      <w:r w:rsidR="006D6964">
        <w:rPr>
          <w:rFonts w:eastAsiaTheme="minorEastAsia"/>
        </w:rPr>
        <w:t xml:space="preserve"> </w:t>
      </w:r>
    </w:p>
    <w:p w14:paraId="60AB3A2F" w14:textId="5E804A39" w:rsidR="000A1061" w:rsidRDefault="00B341D7" w:rsidP="006D6964">
      <w:pPr>
        <w:pStyle w:val="RegularBodyTextMainText"/>
        <w:rPr>
          <w:rFonts w:eastAsiaTheme="minorEastAsia"/>
        </w:rPr>
      </w:pPr>
      <w:r>
        <w:rPr>
          <w:rFonts w:eastAsiaTheme="minorEastAsia"/>
          <w:noProof/>
        </w:rPr>
        <w:drawing>
          <wp:inline distT="0" distB="0" distL="0" distR="0" wp14:anchorId="6951C114" wp14:editId="0984BB5F">
            <wp:extent cx="7162800" cy="34385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72007" cy="3442968"/>
                    </a:xfrm>
                    <a:prstGeom prst="rect">
                      <a:avLst/>
                    </a:prstGeom>
                    <a:noFill/>
                  </pic:spPr>
                </pic:pic>
              </a:graphicData>
            </a:graphic>
          </wp:inline>
        </w:drawing>
      </w:r>
    </w:p>
    <w:p w14:paraId="5626BC62" w14:textId="77777777" w:rsidR="00440794" w:rsidRDefault="009F7FAD" w:rsidP="00440794">
      <w:pPr>
        <w:pStyle w:val="FigureTableBoxNumberFiguresTablesBoxes"/>
        <w:rPr>
          <w:rFonts w:eastAsiaTheme="minorEastAsia"/>
        </w:rPr>
      </w:pPr>
      <w:r>
        <w:rPr>
          <w:rFonts w:eastAsiaTheme="minorEastAsia"/>
        </w:rPr>
        <w:t xml:space="preserve">Appendix B </w:t>
      </w:r>
      <w:r w:rsidRPr="000B1685">
        <w:rPr>
          <w:rFonts w:eastAsiaTheme="minorEastAsia"/>
        </w:rPr>
        <w:t>Figure 1</w:t>
      </w:r>
      <w:r>
        <w:rPr>
          <w:rFonts w:eastAsiaTheme="minorEastAsia"/>
        </w:rPr>
        <w:t>D</w:t>
      </w:r>
      <w:r w:rsidR="006D6964" w:rsidRPr="000B1685">
        <w:rPr>
          <w:rFonts w:eastAsiaTheme="minorEastAsia"/>
        </w:rPr>
        <w:t xml:space="preserve">. </w:t>
      </w:r>
    </w:p>
    <w:p w14:paraId="0C8A0DD2" w14:textId="3329657A" w:rsidR="006D6964" w:rsidRDefault="000A1061" w:rsidP="00440794">
      <w:pPr>
        <w:pStyle w:val="FigureTableBoxTitleFiguresTablesBoxes"/>
        <w:rPr>
          <w:rFonts w:eastAsiaTheme="minorEastAsia"/>
        </w:rPr>
      </w:pPr>
      <w:r>
        <w:rPr>
          <w:rFonts w:eastAsiaTheme="minorEastAsia"/>
        </w:rPr>
        <w:t xml:space="preserve">Federal </w:t>
      </w:r>
      <w:r w:rsidR="006D6964" w:rsidRPr="000B1685">
        <w:rPr>
          <w:rFonts w:eastAsiaTheme="minorEastAsia"/>
        </w:rPr>
        <w:t xml:space="preserve">FIM Cumulative Response to a </w:t>
      </w:r>
      <w:r w:rsidR="00440794">
        <w:rPr>
          <w:rFonts w:eastAsiaTheme="minorEastAsia"/>
        </w:rPr>
        <w:t>1 Percentage Point</w:t>
      </w:r>
      <w:r w:rsidR="00440794" w:rsidRPr="000B1685">
        <w:rPr>
          <w:rFonts w:eastAsiaTheme="minorEastAsia"/>
        </w:rPr>
        <w:t xml:space="preserve"> </w:t>
      </w:r>
      <w:r w:rsidR="006D6964" w:rsidRPr="000B1685">
        <w:rPr>
          <w:rFonts w:eastAsiaTheme="minorEastAsia"/>
        </w:rPr>
        <w:t>Increase in the Unemployment Gap</w:t>
      </w:r>
    </w:p>
    <w:p w14:paraId="78FEBCA9" w14:textId="4C7BDA53" w:rsidR="000A1061" w:rsidRDefault="008558BF" w:rsidP="006D6964">
      <w:pPr>
        <w:pStyle w:val="RegularBodyTextMainText"/>
        <w:rPr>
          <w:rFonts w:eastAsiaTheme="minorEastAsia"/>
        </w:rPr>
      </w:pPr>
      <w:r>
        <w:rPr>
          <w:rFonts w:eastAsiaTheme="minorEastAsia"/>
          <w:noProof/>
        </w:rPr>
        <w:lastRenderedPageBreak/>
        <w:drawing>
          <wp:inline distT="0" distB="0" distL="0" distR="0" wp14:anchorId="5223888B" wp14:editId="57CCE832">
            <wp:extent cx="7134225" cy="3874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7508" cy="3876191"/>
                    </a:xfrm>
                    <a:prstGeom prst="rect">
                      <a:avLst/>
                    </a:prstGeom>
                    <a:noFill/>
                  </pic:spPr>
                </pic:pic>
              </a:graphicData>
            </a:graphic>
          </wp:inline>
        </w:drawing>
      </w:r>
    </w:p>
    <w:p w14:paraId="12AA2639" w14:textId="77777777" w:rsidR="00440794" w:rsidRDefault="009F7FAD" w:rsidP="00440794">
      <w:pPr>
        <w:pStyle w:val="FigureTableBoxNumberFiguresTablesBoxes"/>
        <w:rPr>
          <w:rFonts w:eastAsiaTheme="minorEastAsia"/>
        </w:rPr>
      </w:pPr>
      <w:r>
        <w:rPr>
          <w:rFonts w:eastAsiaTheme="minorEastAsia"/>
        </w:rPr>
        <w:t xml:space="preserve">Appendix B </w:t>
      </w:r>
      <w:r w:rsidRPr="000B1685">
        <w:rPr>
          <w:rFonts w:eastAsiaTheme="minorEastAsia"/>
        </w:rPr>
        <w:t>Figure 1</w:t>
      </w:r>
      <w:r>
        <w:rPr>
          <w:rFonts w:eastAsiaTheme="minorEastAsia"/>
        </w:rPr>
        <w:t>E</w:t>
      </w:r>
      <w:r w:rsidR="006D6964" w:rsidRPr="000B1685">
        <w:rPr>
          <w:rFonts w:eastAsiaTheme="minorEastAsia"/>
        </w:rPr>
        <w:t xml:space="preserve">. </w:t>
      </w:r>
    </w:p>
    <w:p w14:paraId="35CBE2D6" w14:textId="7A5B110D" w:rsidR="00060D1C" w:rsidRPr="000A1061" w:rsidRDefault="000A1061" w:rsidP="00440794">
      <w:pPr>
        <w:pStyle w:val="FigureTableBoxTitleFiguresTablesBoxes"/>
        <w:rPr>
          <w:rFonts w:eastAsiaTheme="minorEastAsia"/>
        </w:rPr>
      </w:pPr>
      <w:r>
        <w:rPr>
          <w:rFonts w:eastAsiaTheme="minorEastAsia"/>
        </w:rPr>
        <w:t xml:space="preserve">State and Local </w:t>
      </w:r>
      <w:r w:rsidR="006D6964" w:rsidRPr="000B1685">
        <w:rPr>
          <w:rFonts w:eastAsiaTheme="minorEastAsia"/>
        </w:rPr>
        <w:t xml:space="preserve">FIM Cumulative Response to a </w:t>
      </w:r>
      <w:r w:rsidR="00440794">
        <w:rPr>
          <w:rFonts w:eastAsiaTheme="minorEastAsia"/>
        </w:rPr>
        <w:t>1 Percentage Point</w:t>
      </w:r>
      <w:r w:rsidR="00440794" w:rsidRPr="000B1685">
        <w:rPr>
          <w:rFonts w:eastAsiaTheme="minorEastAsia"/>
        </w:rPr>
        <w:t xml:space="preserve"> </w:t>
      </w:r>
      <w:r w:rsidR="006D6964" w:rsidRPr="000B1685">
        <w:rPr>
          <w:rFonts w:eastAsiaTheme="minorEastAsia"/>
        </w:rPr>
        <w:t>Increase in the Unemployment Gap</w:t>
      </w:r>
      <w:r w:rsidR="006D6964">
        <w:rPr>
          <w:rFonts w:eastAsiaTheme="minorEastAsia"/>
        </w:rPr>
        <w:t xml:space="preserve"> </w:t>
      </w:r>
    </w:p>
    <w:p w14:paraId="69CA0701" w14:textId="4B5E5DAD" w:rsidR="00060D1C" w:rsidRPr="000B1685" w:rsidRDefault="009D6E65" w:rsidP="00060D1C">
      <w:pPr>
        <w:rPr>
          <w:rFonts w:eastAsiaTheme="minorEastAsia"/>
          <w:szCs w:val="24"/>
        </w:rPr>
      </w:pPr>
      <w:r>
        <w:rPr>
          <w:rFonts w:eastAsiaTheme="minorEastAsia"/>
          <w:noProof/>
          <w:szCs w:val="24"/>
        </w:rPr>
        <w:drawing>
          <wp:inline distT="0" distB="0" distL="0" distR="0" wp14:anchorId="1BB51434" wp14:editId="439FD9EA">
            <wp:extent cx="7053861" cy="3743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5417" cy="3744151"/>
                    </a:xfrm>
                    <a:prstGeom prst="rect">
                      <a:avLst/>
                    </a:prstGeom>
                    <a:noFill/>
                  </pic:spPr>
                </pic:pic>
              </a:graphicData>
            </a:graphic>
          </wp:inline>
        </w:drawing>
      </w:r>
    </w:p>
    <w:p w14:paraId="22290FE1" w14:textId="0A28882E" w:rsidR="00765AA5" w:rsidRDefault="00765AA5" w:rsidP="00765AA5">
      <w:pPr>
        <w:pStyle w:val="SourceNoteFiguresTablesBoxes"/>
        <w:rPr>
          <w:rFonts w:eastAsiaTheme="minorEastAsia"/>
        </w:rPr>
      </w:pPr>
      <w:r>
        <w:rPr>
          <w:rFonts w:eastAsiaTheme="minorEastAsia"/>
        </w:rPr>
        <w:t xml:space="preserve">Source: </w:t>
      </w:r>
      <w:r w:rsidR="00EF3849">
        <w:rPr>
          <w:rFonts w:eastAsiaTheme="minorEastAsia"/>
        </w:rPr>
        <w:t>Author’s calculations</w:t>
      </w:r>
      <w:r w:rsidR="001D36F1">
        <w:rPr>
          <w:rFonts w:eastAsiaTheme="minorEastAsia"/>
        </w:rPr>
        <w:t>.</w:t>
      </w:r>
    </w:p>
    <w:p w14:paraId="49069FBD" w14:textId="24C734F1" w:rsidR="00B60129" w:rsidRPr="000B1685" w:rsidRDefault="00B60129" w:rsidP="00765AA5">
      <w:pPr>
        <w:pStyle w:val="SourceNoteFiguresTablesBoxes"/>
        <w:rPr>
          <w:rFonts w:eastAsiaTheme="minorEastAsia"/>
        </w:rPr>
      </w:pPr>
      <w:r w:rsidRPr="000B1685">
        <w:rPr>
          <w:rFonts w:eastAsiaTheme="minorEastAsia"/>
        </w:rPr>
        <w:t xml:space="preserve">Note: Technical details: Figure B-1 show the results of several orthogonalized </w:t>
      </w:r>
      <w:bookmarkStart w:id="37" w:name="_Hlk6231210"/>
      <w:r w:rsidRPr="000B1685">
        <w:rPr>
          <w:rFonts w:eastAsiaTheme="minorEastAsia"/>
        </w:rPr>
        <w:t xml:space="preserve">IRFs </w:t>
      </w:r>
      <w:bookmarkEnd w:id="37"/>
      <w:r w:rsidRPr="000B1685">
        <w:rPr>
          <w:rFonts w:eastAsiaTheme="minorEastAsia"/>
        </w:rPr>
        <w:t xml:space="preserve">obtained through estimations of several recursive </w:t>
      </w:r>
      <w:proofErr w:type="spellStart"/>
      <w:r w:rsidRPr="000B1685">
        <w:rPr>
          <w:rFonts w:eastAsiaTheme="minorEastAsia"/>
        </w:rPr>
        <w:t>VARs.</w:t>
      </w:r>
      <w:proofErr w:type="spellEnd"/>
      <w:r w:rsidRPr="000B1685">
        <w:rPr>
          <w:rFonts w:eastAsiaTheme="minorEastAsia"/>
        </w:rPr>
        <w:t xml:space="preserve"> The VARs regress each FIM component on lags of itself and lags of the </w:t>
      </w:r>
      <w:r w:rsidRPr="000B1685">
        <w:t xml:space="preserve">four-quarter </w:t>
      </w:r>
      <w:r w:rsidRPr="000B1685">
        <w:rPr>
          <w:rFonts w:eastAsiaTheme="minorEastAsia"/>
        </w:rPr>
        <w:t xml:space="preserve">change in the unemployment gap, with the number of lags in each VAR chosen by </w:t>
      </w:r>
      <w:proofErr w:type="spellStart"/>
      <w:r w:rsidRPr="000B1685">
        <w:rPr>
          <w:rFonts w:eastAsiaTheme="minorEastAsia"/>
        </w:rPr>
        <w:t>Aikake</w:t>
      </w:r>
      <w:proofErr w:type="spellEnd"/>
      <w:r w:rsidRPr="000B1685">
        <w:rPr>
          <w:rFonts w:eastAsiaTheme="minorEastAsia"/>
        </w:rPr>
        <w:t xml:space="preserve"> Information Criteria. In the case of the discretionary FIM and the state and local FIM, the automatic stabilizer component of the FIM and the federal component of the FIM are each included as the second variable in each respective VAR, ordered after the change in the unemployment gap.</w:t>
      </w:r>
    </w:p>
    <w:p w14:paraId="0689643D" w14:textId="77777777" w:rsidR="003868AA" w:rsidRPr="00060D1C" w:rsidRDefault="003868AA" w:rsidP="00060D1C">
      <w:pPr>
        <w:pStyle w:val="SourceNoteFiguresTablesBoxes"/>
        <w:rPr>
          <w:rFonts w:eastAsiaTheme="minorEastAsia"/>
        </w:rPr>
      </w:pPr>
    </w:p>
    <w:p w14:paraId="0FF4B35E" w14:textId="6138FAF1" w:rsidR="00060D1C" w:rsidRPr="000B1685" w:rsidRDefault="00060D1C" w:rsidP="00060D1C">
      <w:pPr>
        <w:pStyle w:val="RegularBodyTextMainText"/>
        <w:rPr>
          <w:rFonts w:eastAsiaTheme="minorEastAsia"/>
        </w:rPr>
      </w:pPr>
      <w:r w:rsidRPr="000B1685">
        <w:rPr>
          <w:rFonts w:eastAsiaTheme="minorEastAsia"/>
        </w:rPr>
        <w:lastRenderedPageBreak/>
        <w:tab/>
        <w:t>The VARs are recursive and the IRFs orthogonal such that the contemporaneous relationships between the variables are limited based on the order in which they appear in order to better identify contemporaneous shocks. In other words, variables ordered earlier contemporaneously affect variables ordered later, but not vice versa. For the orthogonal IRFs, this is achieved through the Cholesky decompositions of the model residuals. All IRFs are cumulative over a 24-quarter window after the shock. Dotted lines show the 95 percent confidence intervals of each estimate. The IRFs can be interpreted as the cumulative FIM response to a 1-percentage-point exogenous increase in the unemployment gap not predicted by the model. For more on VARs, see Stock and Watson (2001) or reference the vars package in the R programming language.</w:t>
      </w:r>
    </w:p>
    <w:p w14:paraId="3991CC5B" w14:textId="77777777" w:rsidR="00060D1C" w:rsidRPr="000B1685" w:rsidRDefault="00060D1C" w:rsidP="00060D1C">
      <w:pPr>
        <w:pStyle w:val="RegularBodyTextMainText"/>
        <w:rPr>
          <w:rFonts w:eastAsiaTheme="minorEastAsia"/>
        </w:rPr>
      </w:pPr>
      <w:r w:rsidRPr="000B1685">
        <w:rPr>
          <w:rFonts w:eastAsiaTheme="minorEastAsia"/>
        </w:rPr>
        <w:tab/>
        <w:t>The VARs are specified as</w:t>
      </w:r>
    </w:p>
    <w:p w14:paraId="2959832C" w14:textId="77777777" w:rsidR="00060D1C" w:rsidRPr="000B1685" w:rsidRDefault="00060D1C" w:rsidP="00060D1C">
      <w:pPr>
        <w:pStyle w:val="RegularBodyTextMainText"/>
        <w:rPr>
          <w:rFonts w:eastAsiaTheme="minorEastAsia"/>
        </w:rPr>
      </w:pPr>
      <w:r w:rsidRPr="000B1685">
        <w:rPr>
          <w:rFonts w:eastAsiaTheme="minorEastAsia"/>
        </w:rPr>
        <w:t>Total ~ Δ</w:t>
      </w:r>
      <w:r w:rsidRPr="000B1685">
        <w:rPr>
          <w:rFonts w:eastAsiaTheme="minorEastAsia"/>
          <w:vertAlign w:val="superscript"/>
        </w:rPr>
        <w:t>4</w:t>
      </w:r>
      <w:r w:rsidRPr="000B1685">
        <w:rPr>
          <w:rFonts w:eastAsiaTheme="minorEastAsia"/>
        </w:rPr>
        <w:t>Ugap + ε</w:t>
      </w:r>
    </w:p>
    <w:p w14:paraId="6A09E6BB" w14:textId="77777777" w:rsidR="00060D1C" w:rsidRPr="000B1685" w:rsidRDefault="00060D1C" w:rsidP="00060D1C">
      <w:pPr>
        <w:pStyle w:val="RegularBodyTextMainText"/>
        <w:rPr>
          <w:rFonts w:eastAsiaTheme="minorEastAsia"/>
        </w:rPr>
      </w:pPr>
      <w:r w:rsidRPr="000B1685">
        <w:rPr>
          <w:rFonts w:eastAsiaTheme="minorEastAsia"/>
        </w:rPr>
        <w:t>Automatic Stabilizers FIM ~ Δ</w:t>
      </w:r>
      <w:r w:rsidRPr="000B1685">
        <w:rPr>
          <w:rFonts w:eastAsiaTheme="minorEastAsia"/>
          <w:vertAlign w:val="superscript"/>
        </w:rPr>
        <w:t>4</w:t>
      </w:r>
      <w:r w:rsidRPr="000B1685">
        <w:rPr>
          <w:rFonts w:eastAsiaTheme="minorEastAsia"/>
        </w:rPr>
        <w:t>Ugap + ε</w:t>
      </w:r>
    </w:p>
    <w:p w14:paraId="18E5732C" w14:textId="77777777" w:rsidR="00060D1C" w:rsidRPr="000B1685" w:rsidRDefault="00060D1C" w:rsidP="00060D1C">
      <w:pPr>
        <w:pStyle w:val="RegularBodyTextMainText"/>
        <w:rPr>
          <w:rFonts w:eastAsiaTheme="minorEastAsia"/>
        </w:rPr>
      </w:pPr>
      <w:r w:rsidRPr="000B1685">
        <w:rPr>
          <w:rFonts w:eastAsiaTheme="minorEastAsia"/>
        </w:rPr>
        <w:t>Discretionary FIM ~ Δ</w:t>
      </w:r>
      <w:r w:rsidRPr="000B1685">
        <w:rPr>
          <w:rFonts w:eastAsiaTheme="minorEastAsia"/>
          <w:vertAlign w:val="superscript"/>
        </w:rPr>
        <w:t>4</w:t>
      </w:r>
      <w:r w:rsidRPr="000B1685">
        <w:rPr>
          <w:rFonts w:eastAsiaTheme="minorEastAsia"/>
        </w:rPr>
        <w:t xml:space="preserve">Ugap + Automatic Stabilizers FIM </w:t>
      </w:r>
      <w:proofErr w:type="gramStart"/>
      <w:r w:rsidRPr="000B1685">
        <w:rPr>
          <w:rFonts w:eastAsiaTheme="minorEastAsia"/>
        </w:rPr>
        <w:t>+  ε</w:t>
      </w:r>
      <w:proofErr w:type="gramEnd"/>
    </w:p>
    <w:p w14:paraId="35800D4B" w14:textId="77777777" w:rsidR="00060D1C" w:rsidRPr="000B1685" w:rsidRDefault="00060D1C" w:rsidP="00060D1C">
      <w:pPr>
        <w:pStyle w:val="RegularBodyTextMainText"/>
        <w:rPr>
          <w:rFonts w:eastAsiaTheme="minorEastAsia"/>
        </w:rPr>
      </w:pPr>
      <w:r w:rsidRPr="000B1685">
        <w:rPr>
          <w:rFonts w:eastAsiaTheme="minorEastAsia"/>
        </w:rPr>
        <w:t>Federal FIM ~ Δ</w:t>
      </w:r>
      <w:r w:rsidRPr="000B1685">
        <w:rPr>
          <w:rFonts w:eastAsiaTheme="minorEastAsia"/>
          <w:vertAlign w:val="superscript"/>
        </w:rPr>
        <w:t>4</w:t>
      </w:r>
      <w:r w:rsidRPr="000B1685">
        <w:rPr>
          <w:rFonts w:eastAsiaTheme="minorEastAsia"/>
        </w:rPr>
        <w:t>Ugap + ε</w:t>
      </w:r>
    </w:p>
    <w:p w14:paraId="0C8AB377" w14:textId="77777777" w:rsidR="00060D1C" w:rsidRPr="000B1685" w:rsidRDefault="00060D1C" w:rsidP="00060D1C">
      <w:pPr>
        <w:pStyle w:val="RegularBodyTextMainText"/>
        <w:rPr>
          <w:rFonts w:eastAsiaTheme="minorEastAsia"/>
        </w:rPr>
      </w:pPr>
      <w:r w:rsidRPr="000B1685">
        <w:rPr>
          <w:rFonts w:eastAsiaTheme="minorEastAsia"/>
        </w:rPr>
        <w:t>State and Local FIM ~ Δ</w:t>
      </w:r>
      <w:r w:rsidRPr="000B1685">
        <w:rPr>
          <w:rFonts w:eastAsiaTheme="minorEastAsia"/>
          <w:vertAlign w:val="superscript"/>
        </w:rPr>
        <w:t>4</w:t>
      </w:r>
      <w:r w:rsidRPr="000B1685">
        <w:rPr>
          <w:rFonts w:eastAsiaTheme="minorEastAsia"/>
        </w:rPr>
        <w:t>Ugap + Federal FIM + ε</w:t>
      </w:r>
    </w:p>
    <w:p w14:paraId="4F020D28" w14:textId="0946D7F2" w:rsidR="00BD0ED3" w:rsidRPr="00060D1C" w:rsidRDefault="00060D1C" w:rsidP="00060D1C">
      <w:pPr>
        <w:pStyle w:val="RegularBodyTextMainText"/>
        <w:rPr>
          <w:rFonts w:eastAsiaTheme="minorEastAsia"/>
        </w:rPr>
      </w:pPr>
      <w:r w:rsidRPr="000B1685">
        <w:rPr>
          <w:rFonts w:eastAsiaTheme="minorEastAsia"/>
        </w:rPr>
        <w:t xml:space="preserve">where each variable represents a vector of current and lagged values chosen by </w:t>
      </w:r>
      <w:proofErr w:type="spellStart"/>
      <w:r w:rsidRPr="000B1685">
        <w:rPr>
          <w:rFonts w:eastAsiaTheme="minorEastAsia"/>
        </w:rPr>
        <w:t>Aikake</w:t>
      </w:r>
      <w:proofErr w:type="spellEnd"/>
      <w:r w:rsidRPr="000B1685">
        <w:rPr>
          <w:rFonts w:eastAsiaTheme="minorEastAsia"/>
        </w:rPr>
        <w:t xml:space="preserve"> Information Criteria. The model is estimated as a system with the impulse response coming as a shock to the error term playing through the system.</w:t>
      </w:r>
    </w:p>
    <w:sectPr w:rsidR="00BD0ED3" w:rsidRPr="00060D1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B9CE5" w14:textId="77777777" w:rsidR="001115F1" w:rsidRDefault="001115F1" w:rsidP="00C97668">
      <w:pPr>
        <w:spacing w:after="0" w:line="240" w:lineRule="auto"/>
      </w:pPr>
      <w:r>
        <w:separator/>
      </w:r>
    </w:p>
  </w:endnote>
  <w:endnote w:type="continuationSeparator" w:id="0">
    <w:p w14:paraId="3D5AC9A6" w14:textId="77777777" w:rsidR="001115F1" w:rsidRDefault="001115F1" w:rsidP="00C97668">
      <w:pPr>
        <w:spacing w:after="0" w:line="240" w:lineRule="auto"/>
      </w:pPr>
      <w:r>
        <w:continuationSeparator/>
      </w:r>
    </w:p>
  </w:endnote>
  <w:endnote w:id="1">
    <w:p w14:paraId="347C57F9" w14:textId="3CAC329A" w:rsidR="002F1EF4" w:rsidRDefault="002F1EF4" w:rsidP="005E68E9">
      <w:pPr>
        <w:pStyle w:val="FootnoteText"/>
      </w:pPr>
      <w:r>
        <w:rPr>
          <w:rStyle w:val="EndnoteReference"/>
        </w:rPr>
        <w:endnoteRef/>
      </w:r>
      <w:r>
        <w:t xml:space="preserve"> </w:t>
      </w:r>
      <w:r w:rsidRPr="009B5BED">
        <w:t xml:space="preserve">See Blinder (2016) for discussion of </w:t>
      </w:r>
      <w:r w:rsidRPr="00296F7B">
        <w:t>the history of thought on the use</w:t>
      </w:r>
      <w:r w:rsidRPr="009B5BED">
        <w:t xml:space="preserve"> of fiscal policy.</w:t>
      </w:r>
    </w:p>
  </w:endnote>
  <w:endnote w:id="2">
    <w:p w14:paraId="5D8BD64B" w14:textId="0BEB840B" w:rsidR="002F1EF4" w:rsidRDefault="002F1EF4" w:rsidP="005E68E9">
      <w:pPr>
        <w:pStyle w:val="FootnoteText"/>
      </w:pPr>
      <w:r>
        <w:rPr>
          <w:rStyle w:val="EndnoteReference"/>
        </w:rPr>
        <w:endnoteRef/>
      </w:r>
      <w:r>
        <w:t xml:space="preserve"> </w:t>
      </w:r>
      <w:r w:rsidRPr="002F1EF4">
        <w:t>The Hutchins Center publishes its latest reading of the FIM with every GDP release (see Belz and Sheiner 2019).</w:t>
      </w:r>
    </w:p>
  </w:endnote>
  <w:endnote w:id="3">
    <w:p w14:paraId="3DA939E2" w14:textId="12AA2642" w:rsidR="00DE08A8" w:rsidRDefault="00DE08A8" w:rsidP="005E68E9">
      <w:pPr>
        <w:pStyle w:val="FootnoteText"/>
      </w:pPr>
      <w:r>
        <w:rPr>
          <w:rStyle w:val="EndnoteReference"/>
        </w:rPr>
        <w:endnoteRef/>
      </w:r>
      <w:r>
        <w:t xml:space="preserve"> </w:t>
      </w:r>
      <w:r w:rsidRPr="00DE08A8">
        <w:t>The assumed total fiscal multipliers are 1.0 for government purchases, 0.9 for government transfers, 0.6 for individual taxes, and 0.4 for corporate taxes. See online appendix A for more details.</w:t>
      </w:r>
    </w:p>
  </w:endnote>
  <w:endnote w:id="4">
    <w:p w14:paraId="28CA5DF2" w14:textId="34C93CFF" w:rsidR="0037234F" w:rsidRDefault="0037234F" w:rsidP="005E68E9">
      <w:pPr>
        <w:pStyle w:val="FootnoteText"/>
      </w:pPr>
      <w:r>
        <w:rPr>
          <w:rStyle w:val="EndnoteReference"/>
        </w:rPr>
        <w:endnoteRef/>
      </w:r>
      <w:r>
        <w:t xml:space="preserve"> Appendices can be found at the end of the online version of this chapter.</w:t>
      </w:r>
    </w:p>
  </w:endnote>
  <w:endnote w:id="5">
    <w:p w14:paraId="7BF0B192" w14:textId="0430DEEC" w:rsidR="0037234F" w:rsidRDefault="0037234F" w:rsidP="005E68E9">
      <w:pPr>
        <w:pStyle w:val="FootnoteText"/>
      </w:pPr>
      <w:r>
        <w:rPr>
          <w:rStyle w:val="EndnoteReference"/>
        </w:rPr>
        <w:endnoteRef/>
      </w:r>
      <w:r>
        <w:t xml:space="preserve"> </w:t>
      </w:r>
      <w:r w:rsidRPr="0037234F">
        <w:t>The rest of federal grants are mainly for education and transportation, so are likely to be purchases rather than transfers. Data on the federal share of Medicaid are from the National Health Expenditure Accounts released by the Center for Medicare &amp; Medicaid Services.</w:t>
      </w:r>
    </w:p>
  </w:endnote>
  <w:endnote w:id="6">
    <w:p w14:paraId="255BA5CD" w14:textId="0EE473E5" w:rsidR="00DE08A8" w:rsidRDefault="00DE08A8" w:rsidP="005E68E9">
      <w:pPr>
        <w:pStyle w:val="FootnoteText"/>
      </w:pPr>
      <w:r>
        <w:rPr>
          <w:rStyle w:val="EndnoteReference"/>
        </w:rPr>
        <w:endnoteRef/>
      </w:r>
      <w:r>
        <w:t xml:space="preserve"> </w:t>
      </w:r>
      <w:r w:rsidRPr="00DE08A8">
        <w:t>See Furman (2016) for a discussion of the need for sustained fiscal policy following large recessions. Cashin et al. (2018) also discuss the unusual degree of contraction in these years.</w:t>
      </w:r>
    </w:p>
  </w:endnote>
  <w:endnote w:id="7">
    <w:p w14:paraId="0A296E84" w14:textId="58C52BD0" w:rsidR="00DE08A8" w:rsidRPr="00DE08A8" w:rsidRDefault="00DE08A8" w:rsidP="005E68E9">
      <w:pPr>
        <w:pStyle w:val="FootnoteText"/>
        <w:rPr>
          <w:sz w:val="18"/>
          <w:szCs w:val="18"/>
        </w:rPr>
      </w:pPr>
      <w:r>
        <w:rPr>
          <w:rStyle w:val="EndnoteReference"/>
        </w:rPr>
        <w:endnoteRef/>
      </w:r>
      <w:r>
        <w:t xml:space="preserve"> </w:t>
      </w:r>
      <w:r w:rsidRPr="00826E67">
        <w:rPr>
          <w:sz w:val="18"/>
          <w:szCs w:val="18"/>
        </w:rPr>
        <w:t>CBO uses cross-sectional data to estimate how much taxes would increase were everyone’s income to rise by 1 percentage point, which allows CBO to isolate the automatic part of revenue changes from changes that occur because of legislation (Russek and Kowalewski 2015). CBO’s most recent estimates can be found at CBO (2019).</w:t>
      </w:r>
    </w:p>
  </w:endnote>
  <w:endnote w:id="8">
    <w:p w14:paraId="033C3D7B" w14:textId="0FF0F0F0" w:rsidR="00DE08A8" w:rsidRDefault="00DE08A8" w:rsidP="005E68E9">
      <w:pPr>
        <w:pStyle w:val="FootnoteText"/>
      </w:pPr>
      <w:r>
        <w:rPr>
          <w:rStyle w:val="EndnoteReference"/>
        </w:rPr>
        <w:endnoteRef/>
      </w:r>
      <w:r>
        <w:t xml:space="preserve"> </w:t>
      </w:r>
      <w:r w:rsidRPr="00DE08A8">
        <w:t>As noted by Sheiner (2019), state income taxes are not very progressive, and most state and local sales and property taxes are also subject to a flat rate, so the assumption of a flat tax rate seems fine. But if the tax base does not move one for one with GDP—for example, if property values do not fall much during recessions—this calculation will overstate the effect of state automatic stabilizers.</w:t>
      </w:r>
    </w:p>
  </w:endnote>
  <w:endnote w:id="9">
    <w:p w14:paraId="6439C70E" w14:textId="43DFA970" w:rsidR="00A475B8" w:rsidRDefault="00A475B8" w:rsidP="005E68E9">
      <w:pPr>
        <w:pStyle w:val="FootnoteText"/>
      </w:pPr>
      <w:r>
        <w:rPr>
          <w:rStyle w:val="EndnoteReference"/>
        </w:rPr>
        <w:endnoteRef/>
      </w:r>
      <w:r>
        <w:t xml:space="preserve"> </w:t>
      </w:r>
      <w:r w:rsidRPr="00A475B8">
        <w:t>CBO appears to regress federal Medicaid spending against measures of the business cycle, without accounting for the fact that Congress has in the past increased the federal share of Medicaid spending during recessions, which will make Medicaid appear more countercyclical than it is. We regress total Medicaid spending, including both state and federal, to avoid this problem.</w:t>
      </w:r>
    </w:p>
  </w:endnote>
  <w:endnote w:id="10">
    <w:p w14:paraId="6F7AA141" w14:textId="0095ACA4" w:rsidR="00A475B8" w:rsidRDefault="00A475B8" w:rsidP="005E68E9">
      <w:pPr>
        <w:pStyle w:val="FootnoteText"/>
      </w:pPr>
      <w:r>
        <w:rPr>
          <w:rStyle w:val="EndnoteReference"/>
        </w:rPr>
        <w:endnoteRef/>
      </w:r>
      <w:r>
        <w:t xml:space="preserve"> </w:t>
      </w:r>
      <w:r w:rsidRPr="00A475B8">
        <w:t>Both BEA and CBO count all UI benefits as federal, although the UI program is really a joint federal-state program, with the states having discretion to set the rules and financing most of the regular benefit payments, either through tax proceeds or through loans from the federal government. We follow their lead in assigning all benefits to the federal government; assigning some benefits to state governments would reduce the procyclicality of state and local fiscal policy.</w:t>
      </w:r>
    </w:p>
  </w:endnote>
  <w:endnote w:id="11">
    <w:p w14:paraId="696A55B9" w14:textId="24C7DC70" w:rsidR="00DE08A8" w:rsidRDefault="00DE08A8" w:rsidP="005E68E9">
      <w:pPr>
        <w:pStyle w:val="FootnoteText"/>
      </w:pPr>
      <w:r>
        <w:rPr>
          <w:rStyle w:val="EndnoteReference"/>
        </w:rPr>
        <w:endnoteRef/>
      </w:r>
      <w:r>
        <w:t xml:space="preserve"> </w:t>
      </w:r>
      <w:r w:rsidR="00A475B8" w:rsidRPr="000C4EE1">
        <w:rPr>
          <w:sz w:val="18"/>
          <w:szCs w:val="18"/>
        </w:rPr>
        <w:t>Furman (2018) has a comprehensive discussion of the changes in fiscal policy that occurred during the Great Recession.</w:t>
      </w:r>
    </w:p>
  </w:endnote>
  <w:endnote w:id="12">
    <w:p w14:paraId="26520E67" w14:textId="1BB89657" w:rsidR="00DE08A8" w:rsidRPr="00A475B8" w:rsidRDefault="00DE08A8" w:rsidP="005E68E9">
      <w:pPr>
        <w:pStyle w:val="FootnoteText"/>
        <w:rPr>
          <w:sz w:val="18"/>
          <w:szCs w:val="18"/>
        </w:rPr>
      </w:pPr>
      <w:r>
        <w:rPr>
          <w:rStyle w:val="EndnoteReference"/>
        </w:rPr>
        <w:endnoteRef/>
      </w:r>
      <w:r>
        <w:t xml:space="preserve"> </w:t>
      </w:r>
      <w:r w:rsidR="00A475B8" w:rsidRPr="00826E67">
        <w:rPr>
          <w:sz w:val="18"/>
          <w:szCs w:val="18"/>
        </w:rPr>
        <w:t>Follette and Lutz (2013) decompose discretionary policies into those intended to stimulate the economy and those enacted for other reasons</w:t>
      </w:r>
      <w:r w:rsidR="00A475B8">
        <w:rPr>
          <w:sz w:val="18"/>
          <w:szCs w:val="18"/>
        </w:rPr>
        <w:t>.</w:t>
      </w:r>
    </w:p>
  </w:endnote>
  <w:endnote w:id="13">
    <w:p w14:paraId="2721FC47" w14:textId="19E1E967" w:rsidR="00DE08A8" w:rsidRPr="00A475B8" w:rsidRDefault="00DE08A8" w:rsidP="005E68E9">
      <w:pPr>
        <w:pStyle w:val="FootnoteText"/>
        <w:rPr>
          <w:sz w:val="18"/>
          <w:szCs w:val="18"/>
        </w:rPr>
      </w:pPr>
      <w:r>
        <w:rPr>
          <w:rStyle w:val="EndnoteReference"/>
        </w:rPr>
        <w:endnoteRef/>
      </w:r>
      <w:r>
        <w:t xml:space="preserve"> </w:t>
      </w:r>
      <w:r w:rsidR="00A475B8" w:rsidRPr="00826E67">
        <w:rPr>
          <w:sz w:val="18"/>
          <w:szCs w:val="18"/>
        </w:rPr>
        <w:t xml:space="preserve">The fiscal stance measured in Cashin et al. (2018) is decomposed into three pieces: discretionary policy (policy that requires legislation), automatic stabilizers, and a residual (everything else). Cashin et al. find that their residual category is slightly countercyclical, which could mean that including it with discretionary, as we do, implies that we are overstating the countercyclicality of fiscal policy a bit. But even that is not clear. It may be that Congress is more likely to allow increases in spending or </w:t>
      </w:r>
      <w:r w:rsidR="00A475B8" w:rsidRPr="0008610F">
        <w:rPr>
          <w:sz w:val="18"/>
          <w:szCs w:val="18"/>
        </w:rPr>
        <w:t>reductions in taxes to show through to the deficit when</w:t>
      </w:r>
      <w:r w:rsidR="00A475B8" w:rsidRPr="00826E67">
        <w:rPr>
          <w:sz w:val="18"/>
          <w:szCs w:val="18"/>
        </w:rPr>
        <w:t xml:space="preserve"> the economy is weak, but not when t</w:t>
      </w:r>
      <w:r w:rsidR="00A475B8">
        <w:rPr>
          <w:sz w:val="18"/>
          <w:szCs w:val="18"/>
        </w:rPr>
        <w:t>h</w:t>
      </w:r>
      <w:r w:rsidR="00A475B8" w:rsidRPr="00826E67">
        <w:rPr>
          <w:sz w:val="18"/>
          <w:szCs w:val="18"/>
        </w:rPr>
        <w:t>e economy is strong, meaning that residual cyclicality is viewed appropriately as countercyclical fiscal policy.</w:t>
      </w:r>
    </w:p>
  </w:endnote>
  <w:endnote w:id="14">
    <w:p w14:paraId="37030C29" w14:textId="6AEC862E" w:rsidR="00A475B8" w:rsidRDefault="00A475B8" w:rsidP="005E68E9">
      <w:pPr>
        <w:pStyle w:val="FootnoteText"/>
      </w:pPr>
      <w:r>
        <w:rPr>
          <w:rStyle w:val="EndnoteReference"/>
        </w:rPr>
        <w:endnoteRef/>
      </w:r>
      <w:r>
        <w:t xml:space="preserve"> </w:t>
      </w:r>
      <w:r w:rsidRPr="00A475B8">
        <w:t>It is worth noting that, while the one-year change in the unemployment gap fits most of the data well, adding an additional lag (the one-year change lagged four quarters) to the equations involving state FIM improves the fit and increases the procyclicality of state and local policy. This suggests that the chain of events between an increase in the unemployment rate and a reduction in state and local spending takes longer. When recessions are short and the economy bounces back quickly, this lag makes state and local fiscal policy less destabilizing. When recessions are long, though, the lag acts to impede the recovery.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Photina MT Std">
    <w:altName w:val="Cambria"/>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6CE2A" w14:textId="77777777" w:rsidR="001115F1" w:rsidRDefault="001115F1" w:rsidP="00C97668">
      <w:pPr>
        <w:spacing w:after="0" w:line="240" w:lineRule="auto"/>
      </w:pPr>
      <w:r>
        <w:separator/>
      </w:r>
    </w:p>
  </w:footnote>
  <w:footnote w:type="continuationSeparator" w:id="0">
    <w:p w14:paraId="5D8D428C" w14:textId="77777777" w:rsidR="001115F1" w:rsidRDefault="001115F1" w:rsidP="00C97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0B42"/>
    <w:multiLevelType w:val="hybridMultilevel"/>
    <w:tmpl w:val="3516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22120"/>
    <w:multiLevelType w:val="hybridMultilevel"/>
    <w:tmpl w:val="C0425012"/>
    <w:lvl w:ilvl="0" w:tplc="0D8C0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75DF"/>
    <w:multiLevelType w:val="hybridMultilevel"/>
    <w:tmpl w:val="FC247EF0"/>
    <w:lvl w:ilvl="0" w:tplc="F56E0F4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614D5D"/>
    <w:multiLevelType w:val="hybridMultilevel"/>
    <w:tmpl w:val="42D8E8C0"/>
    <w:lvl w:ilvl="0" w:tplc="042413F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40388C"/>
    <w:multiLevelType w:val="hybridMultilevel"/>
    <w:tmpl w:val="2A7AE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F3E23"/>
    <w:multiLevelType w:val="hybridMultilevel"/>
    <w:tmpl w:val="D302795C"/>
    <w:lvl w:ilvl="0" w:tplc="7EBC6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24440"/>
    <w:multiLevelType w:val="hybridMultilevel"/>
    <w:tmpl w:val="C0425012"/>
    <w:lvl w:ilvl="0" w:tplc="0D8C0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46"/>
    <w:rsid w:val="000029AE"/>
    <w:rsid w:val="00007A99"/>
    <w:rsid w:val="00027C08"/>
    <w:rsid w:val="00036618"/>
    <w:rsid w:val="00056C19"/>
    <w:rsid w:val="00060D1C"/>
    <w:rsid w:val="000610BD"/>
    <w:rsid w:val="00084350"/>
    <w:rsid w:val="0008610F"/>
    <w:rsid w:val="00090795"/>
    <w:rsid w:val="00095643"/>
    <w:rsid w:val="00096EDA"/>
    <w:rsid w:val="000A01BB"/>
    <w:rsid w:val="000A1061"/>
    <w:rsid w:val="000A301C"/>
    <w:rsid w:val="000A447F"/>
    <w:rsid w:val="000C0A0B"/>
    <w:rsid w:val="000C4EE1"/>
    <w:rsid w:val="000E3694"/>
    <w:rsid w:val="000F4E07"/>
    <w:rsid w:val="001115F1"/>
    <w:rsid w:val="001737B8"/>
    <w:rsid w:val="0017728E"/>
    <w:rsid w:val="001A03CE"/>
    <w:rsid w:val="001A0919"/>
    <w:rsid w:val="001D36F1"/>
    <w:rsid w:val="001D5236"/>
    <w:rsid w:val="002038FB"/>
    <w:rsid w:val="002212F1"/>
    <w:rsid w:val="00230056"/>
    <w:rsid w:val="002445D0"/>
    <w:rsid w:val="00245918"/>
    <w:rsid w:val="002732A5"/>
    <w:rsid w:val="00274998"/>
    <w:rsid w:val="002833AA"/>
    <w:rsid w:val="002A7836"/>
    <w:rsid w:val="002B17A3"/>
    <w:rsid w:val="002D1419"/>
    <w:rsid w:val="002E2C95"/>
    <w:rsid w:val="002E555A"/>
    <w:rsid w:val="002F1EF4"/>
    <w:rsid w:val="002F429D"/>
    <w:rsid w:val="002F7955"/>
    <w:rsid w:val="003144CF"/>
    <w:rsid w:val="003505A9"/>
    <w:rsid w:val="00362D25"/>
    <w:rsid w:val="0037234F"/>
    <w:rsid w:val="003868AA"/>
    <w:rsid w:val="003924B9"/>
    <w:rsid w:val="0039622C"/>
    <w:rsid w:val="003A3C98"/>
    <w:rsid w:val="003B3E78"/>
    <w:rsid w:val="003C1EDC"/>
    <w:rsid w:val="003D0F1D"/>
    <w:rsid w:val="003D7DCD"/>
    <w:rsid w:val="0041080D"/>
    <w:rsid w:val="004345B3"/>
    <w:rsid w:val="00436F02"/>
    <w:rsid w:val="00440794"/>
    <w:rsid w:val="00461974"/>
    <w:rsid w:val="004A63AA"/>
    <w:rsid w:val="004A7138"/>
    <w:rsid w:val="004B3FDE"/>
    <w:rsid w:val="004C0562"/>
    <w:rsid w:val="004E4D36"/>
    <w:rsid w:val="00511EAD"/>
    <w:rsid w:val="0051419D"/>
    <w:rsid w:val="0052649D"/>
    <w:rsid w:val="00527EBF"/>
    <w:rsid w:val="00553B8C"/>
    <w:rsid w:val="0059062A"/>
    <w:rsid w:val="00593108"/>
    <w:rsid w:val="005A5AFA"/>
    <w:rsid w:val="005B5D96"/>
    <w:rsid w:val="005D44AB"/>
    <w:rsid w:val="005E68E9"/>
    <w:rsid w:val="00602FA9"/>
    <w:rsid w:val="0062758F"/>
    <w:rsid w:val="00641DDD"/>
    <w:rsid w:val="00675D78"/>
    <w:rsid w:val="0068464A"/>
    <w:rsid w:val="006A0972"/>
    <w:rsid w:val="006B21CF"/>
    <w:rsid w:val="006B63EA"/>
    <w:rsid w:val="006C6352"/>
    <w:rsid w:val="006D6964"/>
    <w:rsid w:val="006E22D1"/>
    <w:rsid w:val="006F754F"/>
    <w:rsid w:val="00716836"/>
    <w:rsid w:val="007171F6"/>
    <w:rsid w:val="00750DF6"/>
    <w:rsid w:val="00764138"/>
    <w:rsid w:val="00765AA5"/>
    <w:rsid w:val="00776EC0"/>
    <w:rsid w:val="007936DE"/>
    <w:rsid w:val="007B03E2"/>
    <w:rsid w:val="007B7ECF"/>
    <w:rsid w:val="007D38E4"/>
    <w:rsid w:val="007D412A"/>
    <w:rsid w:val="007F0665"/>
    <w:rsid w:val="00806E68"/>
    <w:rsid w:val="0081154B"/>
    <w:rsid w:val="00811E7C"/>
    <w:rsid w:val="008137FA"/>
    <w:rsid w:val="00824BE9"/>
    <w:rsid w:val="008367B4"/>
    <w:rsid w:val="0084622F"/>
    <w:rsid w:val="008558BF"/>
    <w:rsid w:val="00863150"/>
    <w:rsid w:val="0086555B"/>
    <w:rsid w:val="00872B76"/>
    <w:rsid w:val="00887846"/>
    <w:rsid w:val="00890133"/>
    <w:rsid w:val="008C718E"/>
    <w:rsid w:val="008F064B"/>
    <w:rsid w:val="008F0EE3"/>
    <w:rsid w:val="00912BE3"/>
    <w:rsid w:val="009175E3"/>
    <w:rsid w:val="009336D3"/>
    <w:rsid w:val="0096535E"/>
    <w:rsid w:val="009866B8"/>
    <w:rsid w:val="009D247F"/>
    <w:rsid w:val="009D6E65"/>
    <w:rsid w:val="009F5403"/>
    <w:rsid w:val="009F7FAD"/>
    <w:rsid w:val="00A00290"/>
    <w:rsid w:val="00A11AF6"/>
    <w:rsid w:val="00A475B8"/>
    <w:rsid w:val="00A539E2"/>
    <w:rsid w:val="00A57090"/>
    <w:rsid w:val="00A77BE3"/>
    <w:rsid w:val="00A86D21"/>
    <w:rsid w:val="00A92891"/>
    <w:rsid w:val="00AA3883"/>
    <w:rsid w:val="00AB0AEF"/>
    <w:rsid w:val="00AB20EA"/>
    <w:rsid w:val="00B07104"/>
    <w:rsid w:val="00B173AA"/>
    <w:rsid w:val="00B32A05"/>
    <w:rsid w:val="00B341D7"/>
    <w:rsid w:val="00B358BF"/>
    <w:rsid w:val="00B501FF"/>
    <w:rsid w:val="00B60129"/>
    <w:rsid w:val="00B74692"/>
    <w:rsid w:val="00B81860"/>
    <w:rsid w:val="00BC293F"/>
    <w:rsid w:val="00BD0ED3"/>
    <w:rsid w:val="00BD3E8C"/>
    <w:rsid w:val="00BE777D"/>
    <w:rsid w:val="00C06278"/>
    <w:rsid w:val="00C32BB4"/>
    <w:rsid w:val="00C6004E"/>
    <w:rsid w:val="00C64763"/>
    <w:rsid w:val="00C82377"/>
    <w:rsid w:val="00C97668"/>
    <w:rsid w:val="00CC3EB6"/>
    <w:rsid w:val="00CE0A12"/>
    <w:rsid w:val="00D01630"/>
    <w:rsid w:val="00D87F8F"/>
    <w:rsid w:val="00D91206"/>
    <w:rsid w:val="00DB5A34"/>
    <w:rsid w:val="00DC73C9"/>
    <w:rsid w:val="00DD44FC"/>
    <w:rsid w:val="00DD79E0"/>
    <w:rsid w:val="00DE08A8"/>
    <w:rsid w:val="00DE6B0B"/>
    <w:rsid w:val="00DF7406"/>
    <w:rsid w:val="00E03052"/>
    <w:rsid w:val="00E4357E"/>
    <w:rsid w:val="00E74E5C"/>
    <w:rsid w:val="00E92D57"/>
    <w:rsid w:val="00EA282F"/>
    <w:rsid w:val="00EB4F6F"/>
    <w:rsid w:val="00EC686F"/>
    <w:rsid w:val="00EE5046"/>
    <w:rsid w:val="00EF3849"/>
    <w:rsid w:val="00EF5070"/>
    <w:rsid w:val="00F044C0"/>
    <w:rsid w:val="00F113A9"/>
    <w:rsid w:val="00F50500"/>
    <w:rsid w:val="00F86C18"/>
    <w:rsid w:val="00FC413A"/>
    <w:rsid w:val="00FE26F7"/>
    <w:rsid w:val="00FF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54A8D7"/>
  <w14:defaultImageDpi w14:val="0"/>
  <w15:docId w15:val="{86675507-438D-499D-A9BC-0B6503D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sz w:val="22"/>
      <w:szCs w:val="22"/>
    </w:rPr>
  </w:style>
  <w:style w:type="paragraph" w:styleId="Heading1">
    <w:name w:val="heading 1"/>
    <w:basedOn w:val="Normal"/>
    <w:link w:val="Heading1Char"/>
    <w:uiPriority w:val="9"/>
    <w:qFormat/>
    <w:rsid w:val="00F86C18"/>
    <w:pPr>
      <w:spacing w:before="240"/>
      <w:outlineLvl w:val="0"/>
    </w:pPr>
    <w:rPr>
      <w:rFonts w:ascii="Times New Roman" w:hAnsi="Times New Roman"/>
      <w:b/>
      <w:bCs/>
      <w:kern w:val="36"/>
      <w:szCs w:val="48"/>
    </w:rPr>
  </w:style>
  <w:style w:type="paragraph" w:styleId="Heading2">
    <w:name w:val="heading 2"/>
    <w:basedOn w:val="Normal"/>
    <w:next w:val="Normal"/>
    <w:link w:val="Heading2Char"/>
    <w:uiPriority w:val="9"/>
    <w:unhideWhenUsed/>
    <w:qFormat/>
    <w:rsid w:val="00F86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D1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300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Regular" w:hAnsi="Times Regular" w:cs="Times Regular"/>
      <w:color w:val="000000"/>
      <w:sz w:val="24"/>
      <w:szCs w:val="24"/>
    </w:rPr>
  </w:style>
  <w:style w:type="paragraph" w:customStyle="1" w:styleId="BasicParagraph">
    <w:name w:val="[Basic Paragraph]"/>
    <w:basedOn w:val="NoParagraphStyle"/>
    <w:uiPriority w:val="99"/>
  </w:style>
  <w:style w:type="paragraph" w:customStyle="1" w:styleId="Heading1MainText">
    <w:name w:val="Heading 1 (Main Text)"/>
    <w:basedOn w:val="BasicParagraph"/>
    <w:uiPriority w:val="99"/>
    <w:qFormat/>
    <w:rsid w:val="00A77BE3"/>
    <w:pPr>
      <w:suppressAutoHyphens/>
      <w:spacing w:before="300" w:after="240" w:line="420" w:lineRule="atLeast"/>
      <w:outlineLvl w:val="0"/>
    </w:pPr>
    <w:rPr>
      <w:rFonts w:ascii="Photina MT Std" w:hAnsi="Photina MT Std" w:cs="Photina MT Std"/>
      <w:color w:val="00AF3D"/>
      <w:spacing w:val="-5"/>
      <w:sz w:val="48"/>
      <w:szCs w:val="48"/>
    </w:rPr>
  </w:style>
  <w:style w:type="paragraph" w:customStyle="1" w:styleId="RegularBodyTextMainText">
    <w:name w:val="Regular Body Text (Main Text)"/>
    <w:basedOn w:val="NoParagraphStyle"/>
    <w:uiPriority w:val="99"/>
    <w:qFormat/>
    <w:pPr>
      <w:tabs>
        <w:tab w:val="left" w:pos="720"/>
      </w:tabs>
      <w:suppressAutoHyphens/>
      <w:spacing w:after="180" w:line="260" w:lineRule="atLeast"/>
      <w:jc w:val="both"/>
    </w:pPr>
    <w:rPr>
      <w:rFonts w:ascii="Minion Pro" w:hAnsi="Minion Pro" w:cs="Minion Pro"/>
      <w:sz w:val="20"/>
      <w:szCs w:val="20"/>
    </w:rPr>
  </w:style>
  <w:style w:type="paragraph" w:customStyle="1" w:styleId="SectionTitleMainText">
    <w:name w:val="Section Title (Main Text)"/>
    <w:basedOn w:val="NoParagraphStyle"/>
    <w:uiPriority w:val="99"/>
    <w:qFormat/>
    <w:rsid w:val="00A77BE3"/>
    <w:pPr>
      <w:keepNext/>
      <w:keepLines/>
      <w:pBdr>
        <w:top w:val="single" w:sz="8" w:space="31" w:color="A0FF6B"/>
        <w:bottom w:val="single" w:sz="8" w:space="24" w:color="A0FF6B"/>
      </w:pBdr>
      <w:suppressAutoHyphens/>
      <w:spacing w:after="100" w:line="600" w:lineRule="atLeast"/>
      <w:outlineLvl w:val="0"/>
    </w:pPr>
    <w:rPr>
      <w:rFonts w:ascii="Photina MT Std" w:hAnsi="Photina MT Std" w:cs="Photina MT Std"/>
      <w:color w:val="00AF3D"/>
      <w:spacing w:val="-5"/>
      <w:sz w:val="48"/>
      <w:szCs w:val="48"/>
    </w:rPr>
  </w:style>
  <w:style w:type="paragraph" w:customStyle="1" w:styleId="IntroParagraphMainText">
    <w:name w:val="Intro Paragraph (Main Text)"/>
    <w:basedOn w:val="NoParagraphStyle"/>
    <w:uiPriority w:val="99"/>
    <w:pPr>
      <w:suppressAutoHyphens/>
      <w:spacing w:after="180" w:line="260" w:lineRule="atLeast"/>
      <w:jc w:val="both"/>
    </w:pPr>
    <w:rPr>
      <w:rFonts w:ascii="Minion Pro" w:hAnsi="Minion Pro" w:cs="Minion Pro"/>
      <w:spacing w:val="-1"/>
      <w:sz w:val="20"/>
      <w:szCs w:val="20"/>
    </w:rPr>
  </w:style>
  <w:style w:type="paragraph" w:customStyle="1" w:styleId="Heading2MainText">
    <w:name w:val="Heading 2 (Main Text)"/>
    <w:basedOn w:val="NoParagraphStyle"/>
    <w:uiPriority w:val="99"/>
    <w:qFormat/>
    <w:rsid w:val="008F0EE3"/>
    <w:pPr>
      <w:keepNext/>
      <w:keepLines/>
      <w:tabs>
        <w:tab w:val="left" w:pos="720"/>
      </w:tabs>
      <w:suppressAutoHyphens/>
      <w:spacing w:after="100" w:line="260" w:lineRule="atLeast"/>
      <w:jc w:val="both"/>
      <w:outlineLvl w:val="1"/>
    </w:pPr>
    <w:rPr>
      <w:rFonts w:ascii="HelveticaNeueLT Std Med" w:hAnsi="HelveticaNeueLT Std Med" w:cs="HelveticaNeueLT Std Med"/>
      <w:caps/>
      <w:color w:val="008079"/>
      <w:spacing w:val="7"/>
      <w:sz w:val="18"/>
      <w:szCs w:val="18"/>
    </w:rPr>
  </w:style>
  <w:style w:type="paragraph" w:customStyle="1" w:styleId="EXTIndentedTextMainText">
    <w:name w:val="EXT Indented Text (Main Text)"/>
    <w:basedOn w:val="RegularBodyTextMainText"/>
    <w:uiPriority w:val="99"/>
    <w:pPr>
      <w:ind w:left="240" w:right="240"/>
    </w:pPr>
  </w:style>
  <w:style w:type="paragraph" w:customStyle="1" w:styleId="Heading3MainText">
    <w:name w:val="Heading 3 (Main Text)"/>
    <w:basedOn w:val="RegularBodyTextMainText"/>
    <w:uiPriority w:val="99"/>
    <w:qFormat/>
    <w:rsid w:val="008F0EE3"/>
    <w:pPr>
      <w:keepNext/>
      <w:keepLines/>
      <w:tabs>
        <w:tab w:val="clear" w:pos="720"/>
        <w:tab w:val="left" w:pos="240"/>
      </w:tabs>
      <w:spacing w:after="100"/>
      <w:outlineLvl w:val="2"/>
    </w:pPr>
    <w:rPr>
      <w:b/>
      <w:bCs/>
      <w:i/>
      <w:iCs/>
      <w:color w:val="008079"/>
      <w:spacing w:val="-2"/>
    </w:rPr>
  </w:style>
  <w:style w:type="paragraph" w:customStyle="1" w:styleId="NumberedListfirstMainText">
    <w:name w:val="Numbered List (first) (Main Text)"/>
    <w:basedOn w:val="NoParagraphStyle"/>
    <w:uiPriority w:val="99"/>
    <w:pPr>
      <w:suppressAutoHyphens/>
      <w:spacing w:after="180" w:line="260" w:lineRule="atLeast"/>
      <w:ind w:left="460" w:hanging="240"/>
      <w:jc w:val="both"/>
    </w:pPr>
    <w:rPr>
      <w:rFonts w:ascii="Minion Pro" w:hAnsi="Minion Pro" w:cs="Minion Pro"/>
      <w:sz w:val="20"/>
      <w:szCs w:val="20"/>
    </w:rPr>
  </w:style>
  <w:style w:type="paragraph" w:customStyle="1" w:styleId="ReferencesEndMatter">
    <w:name w:val="References (End Matter)"/>
    <w:basedOn w:val="RegularBodyTextMainText"/>
    <w:uiPriority w:val="99"/>
    <w:qFormat/>
    <w:pPr>
      <w:keepLines/>
      <w:tabs>
        <w:tab w:val="clear" w:pos="720"/>
        <w:tab w:val="left" w:pos="540"/>
        <w:tab w:val="left" w:pos="3880"/>
      </w:tabs>
      <w:spacing w:after="0" w:line="240" w:lineRule="atLeast"/>
      <w:ind w:left="600" w:hanging="600"/>
      <w:jc w:val="left"/>
    </w:pPr>
    <w:rPr>
      <w:sz w:val="18"/>
      <w:szCs w:val="18"/>
    </w:rPr>
  </w:style>
  <w:style w:type="paragraph" w:customStyle="1" w:styleId="FigureTableBoxTitleFiguresTablesBoxes">
    <w:name w:val="Figure/Table/Box Title (Figures/Tables/Boxes)"/>
    <w:basedOn w:val="NoParagraphStyle"/>
    <w:uiPriority w:val="99"/>
    <w:qFormat/>
    <w:pPr>
      <w:tabs>
        <w:tab w:val="left" w:pos="900"/>
      </w:tabs>
      <w:suppressAutoHyphens/>
      <w:spacing w:after="180" w:line="320" w:lineRule="atLeast"/>
    </w:pPr>
    <w:rPr>
      <w:rFonts w:ascii="Photina MT Std" w:hAnsi="Photina MT Std" w:cs="Photina MT Std"/>
      <w:color w:val="00AF3D"/>
      <w:sz w:val="28"/>
      <w:szCs w:val="28"/>
    </w:rPr>
  </w:style>
  <w:style w:type="paragraph" w:customStyle="1" w:styleId="SourceNoteFiguresTablesBoxes">
    <w:name w:val="Source/Note (Figures/Tables/Boxes)"/>
    <w:basedOn w:val="NoParagraphStyle"/>
    <w:uiPriority w:val="99"/>
    <w:qFormat/>
    <w:pPr>
      <w:tabs>
        <w:tab w:val="left" w:pos="40"/>
        <w:tab w:val="left" w:pos="5160"/>
        <w:tab w:val="center" w:pos="5380"/>
        <w:tab w:val="left" w:pos="9440"/>
        <w:tab w:val="center" w:pos="9680"/>
      </w:tabs>
      <w:spacing w:after="40" w:line="160" w:lineRule="atLeast"/>
    </w:pPr>
    <w:rPr>
      <w:rFonts w:ascii="HelveticaNeueLT Std Lt" w:hAnsi="HelveticaNeueLT Std Lt" w:cs="HelveticaNeueLT Std Lt"/>
      <w:sz w:val="12"/>
      <w:szCs w:val="12"/>
    </w:rPr>
  </w:style>
  <w:style w:type="paragraph" w:customStyle="1" w:styleId="FigureTableBoxNumberFiguresTablesBoxes">
    <w:name w:val="Figure/Table/Box Number (Figures/Tables/Boxes)"/>
    <w:basedOn w:val="NoParagraphStyle"/>
    <w:uiPriority w:val="99"/>
    <w:qFormat/>
    <w:rsid w:val="008F0EE3"/>
    <w:pPr>
      <w:tabs>
        <w:tab w:val="left" w:pos="900"/>
      </w:tabs>
      <w:spacing w:line="320" w:lineRule="atLeast"/>
      <w:outlineLvl w:val="3"/>
    </w:pPr>
    <w:rPr>
      <w:rFonts w:ascii="HelveticaNeueLT Std Med" w:hAnsi="HelveticaNeueLT Std Med" w:cs="HelveticaNeueLT Std Med"/>
      <w:caps/>
      <w:color w:val="00AF3D"/>
      <w:spacing w:val="5"/>
      <w:sz w:val="13"/>
      <w:szCs w:val="13"/>
    </w:rPr>
  </w:style>
  <w:style w:type="paragraph" w:customStyle="1" w:styleId="NumberedListsubsequentMainText">
    <w:name w:val="Numbered List (subsequent) (Main Text)"/>
    <w:basedOn w:val="NumberedListfirstMainText"/>
    <w:uiPriority w:val="99"/>
  </w:style>
  <w:style w:type="character" w:customStyle="1" w:styleId="IntroDropCapGreen">
    <w:name w:val="Intro Drop Cap Green"/>
    <w:uiPriority w:val="99"/>
    <w:rPr>
      <w:color w:val="00AF3D"/>
    </w:rPr>
  </w:style>
  <w:style w:type="character" w:customStyle="1" w:styleId="Italic">
    <w:name w:val="Italic"/>
    <w:uiPriority w:val="99"/>
    <w:rPr>
      <w:i/>
      <w:iCs/>
    </w:rPr>
  </w:style>
  <w:style w:type="character" w:customStyle="1" w:styleId="Superscript">
    <w:name w:val="Superscript"/>
    <w:uiPriority w:val="99"/>
  </w:style>
  <w:style w:type="character" w:customStyle="1" w:styleId="WhiteText">
    <w:name w:val="White Text"/>
    <w:uiPriority w:val="99"/>
    <w:rPr>
      <w:outline/>
      <w:color w:val="000000"/>
      <w14:textOutline w14:w="9525" w14:cap="flat" w14:cmpd="sng" w14:algn="ctr">
        <w14:solidFill>
          <w14:srgbClr w14:val="000000"/>
        </w14:solidFill>
        <w14:prstDash w14:val="solid"/>
        <w14:round/>
      </w14:textOutline>
      <w14:textFill>
        <w14:noFill/>
      </w14:textFill>
    </w:rPr>
  </w:style>
  <w:style w:type="character" w:styleId="CommentReference">
    <w:name w:val="annotation reference"/>
    <w:semiHidden/>
    <w:unhideWhenUsed/>
    <w:rsid w:val="000C0A0B"/>
    <w:rPr>
      <w:sz w:val="16"/>
      <w:szCs w:val="16"/>
    </w:rPr>
  </w:style>
  <w:style w:type="paragraph" w:styleId="CommentText">
    <w:name w:val="annotation text"/>
    <w:basedOn w:val="Normal"/>
    <w:link w:val="CommentTextChar"/>
    <w:unhideWhenUsed/>
    <w:rsid w:val="000C0A0B"/>
    <w:pPr>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rsid w:val="000C0A0B"/>
    <w:rPr>
      <w:rFonts w:ascii="Times New Roman" w:eastAsia="Calibri" w:hAnsi="Times New Roman"/>
    </w:rPr>
  </w:style>
  <w:style w:type="paragraph" w:styleId="BalloonText">
    <w:name w:val="Balloon Text"/>
    <w:basedOn w:val="Normal"/>
    <w:link w:val="BalloonTextChar"/>
    <w:uiPriority w:val="99"/>
    <w:semiHidden/>
    <w:unhideWhenUsed/>
    <w:rsid w:val="000C0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A0B"/>
    <w:rPr>
      <w:rFonts w:ascii="Segoe UI" w:hAnsi="Segoe UI" w:cs="Segoe UI"/>
      <w:sz w:val="18"/>
      <w:szCs w:val="18"/>
    </w:rPr>
  </w:style>
  <w:style w:type="paragraph" w:styleId="FootnoteText">
    <w:name w:val="footnote text"/>
    <w:basedOn w:val="Normal"/>
    <w:link w:val="FootnoteTextChar"/>
    <w:uiPriority w:val="99"/>
    <w:unhideWhenUsed/>
    <w:rsid w:val="00C97668"/>
    <w:pPr>
      <w:spacing w:after="0" w:line="240" w:lineRule="auto"/>
    </w:pPr>
    <w:rPr>
      <w:rFonts w:ascii="Times New Roman" w:eastAsiaTheme="minorHAnsi" w:hAnsi="Times New Roman" w:cstheme="minorBidi"/>
      <w:sz w:val="20"/>
      <w:szCs w:val="20"/>
    </w:rPr>
  </w:style>
  <w:style w:type="character" w:customStyle="1" w:styleId="FootnoteTextChar">
    <w:name w:val="Footnote Text Char"/>
    <w:basedOn w:val="DefaultParagraphFont"/>
    <w:link w:val="FootnoteText"/>
    <w:uiPriority w:val="99"/>
    <w:rsid w:val="00C97668"/>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C97668"/>
    <w:rPr>
      <w:vertAlign w:val="superscript"/>
    </w:rPr>
  </w:style>
  <w:style w:type="character" w:customStyle="1" w:styleId="Heading1Char">
    <w:name w:val="Heading 1 Char"/>
    <w:basedOn w:val="DefaultParagraphFont"/>
    <w:link w:val="Heading1"/>
    <w:uiPriority w:val="9"/>
    <w:rsid w:val="00F86C18"/>
    <w:rPr>
      <w:rFonts w:ascii="Times New Roman" w:hAnsi="Times New Roman"/>
      <w:b/>
      <w:bCs/>
      <w:kern w:val="36"/>
      <w:sz w:val="22"/>
      <w:szCs w:val="48"/>
    </w:rPr>
  </w:style>
  <w:style w:type="character" w:styleId="Hyperlink">
    <w:name w:val="Hyperlink"/>
    <w:basedOn w:val="DefaultParagraphFont"/>
    <w:uiPriority w:val="99"/>
    <w:unhideWhenUsed/>
    <w:rsid w:val="00F86C18"/>
    <w:rPr>
      <w:color w:val="0000FF"/>
      <w:u w:val="single"/>
    </w:rPr>
  </w:style>
  <w:style w:type="character" w:customStyle="1" w:styleId="Heading2Char">
    <w:name w:val="Heading 2 Char"/>
    <w:basedOn w:val="DefaultParagraphFont"/>
    <w:link w:val="Heading2"/>
    <w:uiPriority w:val="9"/>
    <w:rsid w:val="00F86C1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30056"/>
    <w:rPr>
      <w:rFonts w:asciiTheme="majorHAnsi" w:eastAsiaTheme="majorEastAsia" w:hAnsiTheme="majorHAnsi" w:cstheme="majorBidi"/>
      <w:i/>
      <w:iCs/>
      <w:color w:val="2F5496" w:themeColor="accent1" w:themeShade="BF"/>
      <w:sz w:val="22"/>
      <w:szCs w:val="22"/>
    </w:rPr>
  </w:style>
  <w:style w:type="character" w:customStyle="1" w:styleId="Heading3Char">
    <w:name w:val="Heading 3 Char"/>
    <w:basedOn w:val="DefaultParagraphFont"/>
    <w:link w:val="Heading3"/>
    <w:uiPriority w:val="9"/>
    <w:rsid w:val="00060D1C"/>
    <w:rPr>
      <w:rFonts w:asciiTheme="majorHAnsi" w:eastAsiaTheme="majorEastAsia" w:hAnsiTheme="majorHAnsi" w:cstheme="majorBidi"/>
      <w:color w:val="1F3763" w:themeColor="accent1" w:themeShade="7F"/>
      <w:sz w:val="22"/>
      <w:szCs w:val="24"/>
    </w:rPr>
  </w:style>
  <w:style w:type="paragraph" w:styleId="ListParagraph">
    <w:name w:val="List Paragraph"/>
    <w:basedOn w:val="Normal"/>
    <w:uiPriority w:val="34"/>
    <w:qFormat/>
    <w:rsid w:val="00060D1C"/>
    <w:pPr>
      <w:ind w:left="720"/>
      <w:contextualSpacing/>
    </w:pPr>
    <w:rPr>
      <w:rFonts w:ascii="Times New Roman" w:eastAsiaTheme="minorHAnsi" w:hAnsi="Times New Roman" w:cstheme="minorBidi"/>
    </w:rPr>
  </w:style>
  <w:style w:type="paragraph" w:styleId="Header">
    <w:name w:val="header"/>
    <w:basedOn w:val="Normal"/>
    <w:link w:val="HeaderChar"/>
    <w:uiPriority w:val="99"/>
    <w:unhideWhenUsed/>
    <w:rsid w:val="00060D1C"/>
    <w:pPr>
      <w:tabs>
        <w:tab w:val="center" w:pos="4680"/>
        <w:tab w:val="right" w:pos="9360"/>
      </w:tabs>
      <w:spacing w:after="0" w:line="240" w:lineRule="auto"/>
    </w:pPr>
    <w:rPr>
      <w:rFonts w:ascii="Times New Roman" w:eastAsiaTheme="minorHAnsi" w:hAnsi="Times New Roman" w:cstheme="minorBidi"/>
    </w:rPr>
  </w:style>
  <w:style w:type="character" w:customStyle="1" w:styleId="HeaderChar">
    <w:name w:val="Header Char"/>
    <w:basedOn w:val="DefaultParagraphFont"/>
    <w:link w:val="Header"/>
    <w:uiPriority w:val="99"/>
    <w:rsid w:val="00060D1C"/>
    <w:rPr>
      <w:rFonts w:ascii="Times New Roman" w:eastAsiaTheme="minorHAnsi" w:hAnsi="Times New Roman" w:cstheme="minorBidi"/>
      <w:sz w:val="22"/>
      <w:szCs w:val="22"/>
    </w:rPr>
  </w:style>
  <w:style w:type="paragraph" w:styleId="Footer">
    <w:name w:val="footer"/>
    <w:basedOn w:val="Normal"/>
    <w:link w:val="FooterChar"/>
    <w:uiPriority w:val="99"/>
    <w:unhideWhenUsed/>
    <w:rsid w:val="00060D1C"/>
    <w:pPr>
      <w:tabs>
        <w:tab w:val="center" w:pos="4680"/>
        <w:tab w:val="right" w:pos="9360"/>
      </w:tabs>
      <w:spacing w:after="0" w:line="240" w:lineRule="auto"/>
    </w:pPr>
    <w:rPr>
      <w:rFonts w:ascii="Times New Roman" w:eastAsiaTheme="minorHAnsi" w:hAnsi="Times New Roman" w:cstheme="minorBidi"/>
    </w:rPr>
  </w:style>
  <w:style w:type="character" w:customStyle="1" w:styleId="FooterChar">
    <w:name w:val="Footer Char"/>
    <w:basedOn w:val="DefaultParagraphFont"/>
    <w:link w:val="Footer"/>
    <w:uiPriority w:val="99"/>
    <w:rsid w:val="00060D1C"/>
    <w:rPr>
      <w:rFonts w:ascii="Times New Roman" w:eastAsiaTheme="minorHAnsi" w:hAnsi="Times New Roman" w:cstheme="minorBidi"/>
      <w:sz w:val="22"/>
      <w:szCs w:val="22"/>
    </w:rPr>
  </w:style>
  <w:style w:type="paragraph" w:styleId="CommentSubject">
    <w:name w:val="annotation subject"/>
    <w:basedOn w:val="CommentText"/>
    <w:next w:val="CommentText"/>
    <w:link w:val="CommentSubjectChar"/>
    <w:uiPriority w:val="99"/>
    <w:semiHidden/>
    <w:unhideWhenUsed/>
    <w:rsid w:val="00060D1C"/>
    <w:rPr>
      <w:rFonts w:eastAsiaTheme="minorHAnsi" w:cstheme="minorBidi"/>
      <w:b/>
      <w:bCs/>
    </w:rPr>
  </w:style>
  <w:style w:type="character" w:customStyle="1" w:styleId="CommentSubjectChar">
    <w:name w:val="Comment Subject Char"/>
    <w:basedOn w:val="CommentTextChar"/>
    <w:link w:val="CommentSubject"/>
    <w:uiPriority w:val="99"/>
    <w:semiHidden/>
    <w:rsid w:val="00060D1C"/>
    <w:rPr>
      <w:rFonts w:ascii="Times New Roman" w:eastAsiaTheme="minorHAnsi" w:hAnsi="Times New Roman" w:cstheme="minorBidi"/>
      <w:b/>
      <w:bCs/>
    </w:rPr>
  </w:style>
  <w:style w:type="table" w:styleId="TableGrid">
    <w:name w:val="Table Grid"/>
    <w:basedOn w:val="TableNormal"/>
    <w:uiPriority w:val="39"/>
    <w:rsid w:val="00060D1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0D1C"/>
    <w:rPr>
      <w:color w:val="808080"/>
    </w:rPr>
  </w:style>
  <w:style w:type="paragraph" w:styleId="NormalWeb">
    <w:name w:val="Normal (Web)"/>
    <w:basedOn w:val="Normal"/>
    <w:uiPriority w:val="99"/>
    <w:unhideWhenUsed/>
    <w:rsid w:val="00060D1C"/>
    <w:pPr>
      <w:spacing w:before="100" w:beforeAutospacing="1" w:after="100" w:afterAutospacing="1" w:line="240" w:lineRule="auto"/>
    </w:pPr>
    <w:rPr>
      <w:rFonts w:ascii="Times New Roman" w:eastAsiaTheme="minorEastAsia" w:hAnsi="Times New Roman"/>
      <w:szCs w:val="24"/>
    </w:rPr>
  </w:style>
  <w:style w:type="paragraph" w:styleId="Revision">
    <w:name w:val="Revision"/>
    <w:hidden/>
    <w:uiPriority w:val="99"/>
    <w:semiHidden/>
    <w:rsid w:val="00060D1C"/>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60D1C"/>
    <w:rPr>
      <w:color w:val="605E5C"/>
      <w:shd w:val="clear" w:color="auto" w:fill="E1DFDD"/>
    </w:rPr>
  </w:style>
  <w:style w:type="character" w:styleId="FollowedHyperlink">
    <w:name w:val="FollowedHyperlink"/>
    <w:basedOn w:val="DefaultParagraphFont"/>
    <w:uiPriority w:val="99"/>
    <w:semiHidden/>
    <w:unhideWhenUsed/>
    <w:rsid w:val="00060D1C"/>
    <w:rPr>
      <w:color w:val="954F72" w:themeColor="followedHyperlink"/>
      <w:u w:val="single"/>
    </w:rPr>
  </w:style>
  <w:style w:type="paragraph" w:styleId="TOC1">
    <w:name w:val="toc 1"/>
    <w:basedOn w:val="Normal"/>
    <w:next w:val="Normal"/>
    <w:autoRedefine/>
    <w:uiPriority w:val="39"/>
    <w:unhideWhenUsed/>
    <w:rsid w:val="00060D1C"/>
    <w:pPr>
      <w:tabs>
        <w:tab w:val="right" w:leader="dot" w:pos="9350"/>
      </w:tabs>
      <w:spacing w:after="0" w:line="240" w:lineRule="auto"/>
    </w:pPr>
    <w:rPr>
      <w:rFonts w:ascii="Times New Roman" w:eastAsiaTheme="minorHAnsi" w:hAnsi="Times New Roman" w:cstheme="minorBidi"/>
    </w:rPr>
  </w:style>
  <w:style w:type="paragraph" w:styleId="TOC2">
    <w:name w:val="toc 2"/>
    <w:basedOn w:val="Normal"/>
    <w:next w:val="Normal"/>
    <w:autoRedefine/>
    <w:uiPriority w:val="39"/>
    <w:unhideWhenUsed/>
    <w:rsid w:val="00060D1C"/>
    <w:pPr>
      <w:spacing w:after="100"/>
      <w:ind w:left="240"/>
    </w:pPr>
    <w:rPr>
      <w:rFonts w:ascii="Times New Roman" w:eastAsiaTheme="minorHAnsi" w:hAnsi="Times New Roman" w:cstheme="minorBidi"/>
    </w:rPr>
  </w:style>
  <w:style w:type="paragraph" w:styleId="TOC4">
    <w:name w:val="toc 4"/>
    <w:basedOn w:val="Normal"/>
    <w:next w:val="Normal"/>
    <w:autoRedefine/>
    <w:uiPriority w:val="39"/>
    <w:unhideWhenUsed/>
    <w:rsid w:val="00060D1C"/>
    <w:pPr>
      <w:spacing w:after="100"/>
      <w:ind w:left="720"/>
    </w:pPr>
    <w:rPr>
      <w:rFonts w:ascii="Times New Roman" w:eastAsiaTheme="minorHAnsi" w:hAnsi="Times New Roman" w:cstheme="minorBidi"/>
    </w:rPr>
  </w:style>
  <w:style w:type="character" w:styleId="Emphasis">
    <w:name w:val="Emphasis"/>
    <w:basedOn w:val="DefaultParagraphFont"/>
    <w:uiPriority w:val="20"/>
    <w:qFormat/>
    <w:rsid w:val="00060D1C"/>
    <w:rPr>
      <w:i/>
      <w:iCs/>
    </w:rPr>
  </w:style>
  <w:style w:type="paragraph" w:styleId="Title">
    <w:name w:val="Title"/>
    <w:basedOn w:val="Normal"/>
    <w:next w:val="Normal"/>
    <w:link w:val="TitleChar"/>
    <w:qFormat/>
    <w:rsid w:val="00B81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81860"/>
    <w:rPr>
      <w:rFonts w:asciiTheme="majorHAnsi" w:eastAsiaTheme="majorEastAsia" w:hAnsiTheme="majorHAnsi" w:cstheme="majorBidi"/>
      <w:spacing w:val="-10"/>
      <w:kern w:val="28"/>
      <w:sz w:val="56"/>
      <w:szCs w:val="56"/>
    </w:rPr>
  </w:style>
  <w:style w:type="character" w:customStyle="1" w:styleId="CommentTextChar1">
    <w:name w:val="Comment Text Char1"/>
    <w:basedOn w:val="DefaultParagraphFont"/>
    <w:semiHidden/>
    <w:rsid w:val="00A11AF6"/>
    <w:rPr>
      <w:rFonts w:ascii="Times New Roman" w:hAnsi="Times New Roman"/>
    </w:rPr>
  </w:style>
  <w:style w:type="paragraph" w:styleId="EndnoteText">
    <w:name w:val="endnote text"/>
    <w:basedOn w:val="Normal"/>
    <w:link w:val="EndnoteTextChar"/>
    <w:uiPriority w:val="99"/>
    <w:semiHidden/>
    <w:unhideWhenUsed/>
    <w:rsid w:val="002F1E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1EF4"/>
  </w:style>
  <w:style w:type="character" w:styleId="EndnoteReference">
    <w:name w:val="endnote reference"/>
    <w:basedOn w:val="DefaultParagraphFont"/>
    <w:uiPriority w:val="99"/>
    <w:semiHidden/>
    <w:unhideWhenUsed/>
    <w:rsid w:val="002F1E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01030">
      <w:bodyDiv w:val="1"/>
      <w:marLeft w:val="0"/>
      <w:marRight w:val="0"/>
      <w:marTop w:val="0"/>
      <w:marBottom w:val="0"/>
      <w:divBdr>
        <w:top w:val="none" w:sz="0" w:space="0" w:color="auto"/>
        <w:left w:val="none" w:sz="0" w:space="0" w:color="auto"/>
        <w:bottom w:val="none" w:sz="0" w:space="0" w:color="auto"/>
        <w:right w:val="none" w:sz="0" w:space="0" w:color="auto"/>
      </w:divBdr>
    </w:div>
    <w:div w:id="722565503">
      <w:bodyDiv w:val="1"/>
      <w:marLeft w:val="0"/>
      <w:marRight w:val="0"/>
      <w:marTop w:val="0"/>
      <w:marBottom w:val="0"/>
      <w:divBdr>
        <w:top w:val="none" w:sz="0" w:space="0" w:color="auto"/>
        <w:left w:val="none" w:sz="0" w:space="0" w:color="auto"/>
        <w:bottom w:val="none" w:sz="0" w:space="0" w:color="auto"/>
        <w:right w:val="none" w:sz="0" w:space="0" w:color="auto"/>
      </w:divBdr>
      <w:divsChild>
        <w:div w:id="38302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CC22E-F488-44E1-9E8F-D4E21828CDDD}">
  <ds:schemaRefs>
    <ds:schemaRef ds:uri="http://schemas.microsoft.com/sharepoint/v3/contenttype/forms"/>
  </ds:schemaRefs>
</ds:datastoreItem>
</file>

<file path=customXml/itemProps2.xml><?xml version="1.0" encoding="utf-8"?>
<ds:datastoreItem xmlns:ds="http://schemas.openxmlformats.org/officeDocument/2006/customXml" ds:itemID="{983D0C2B-0D04-4B29-B225-A28888D48B0F}"/>
</file>

<file path=customXml/itemProps3.xml><?xml version="1.0" encoding="utf-8"?>
<ds:datastoreItem xmlns:ds="http://schemas.openxmlformats.org/officeDocument/2006/customXml" ds:itemID="{FE4B3D7F-E839-434A-9FF5-228C5BD1A4C7}">
  <ds:schemaRefs>
    <ds:schemaRef ds:uri="http://schemas.microsoft.com/office/2006/metadata/properties"/>
    <ds:schemaRef ds:uri="http://schemas.microsoft.com/office/infopath/2007/PartnerControls"/>
    <ds:schemaRef ds:uri="47475213-f4e9-4441-aa2c-536e6decbee2"/>
  </ds:schemaRefs>
</ds:datastoreItem>
</file>

<file path=customXml/itemProps4.xml><?xml version="1.0" encoding="utf-8"?>
<ds:datastoreItem xmlns:ds="http://schemas.openxmlformats.org/officeDocument/2006/customXml" ds:itemID="{D2BC7836-D4DC-404B-90C5-D211AFCA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23</Pages>
  <Words>6009</Words>
  <Characters>34254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Portman</dc:creator>
  <cp:keywords/>
  <dc:description/>
  <cp:lastModifiedBy>Sage Belz</cp:lastModifiedBy>
  <cp:revision>4</cp:revision>
  <cp:lastPrinted>2019-04-18T18:51:00Z</cp:lastPrinted>
  <dcterms:created xsi:type="dcterms:W3CDTF">2019-04-29T16:12:00Z</dcterms:created>
  <dcterms:modified xsi:type="dcterms:W3CDTF">2019-06-04T13:45:00Z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