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A307" w14:textId="370DD44F" w:rsidR="000521CC" w:rsidRDefault="000521CC" w:rsidP="00B96CB5">
      <w:pPr>
        <w:pStyle w:val="Heading1"/>
        <w:spacing w:before="0" w:line="240" w:lineRule="auto"/>
        <w:rPr>
          <w:rFonts w:ascii="CMR12" w:hAnsi="CMR12" w:cs="CMR12"/>
          <w:sz w:val="24"/>
          <w:szCs w:val="24"/>
        </w:rPr>
      </w:pPr>
      <w:r>
        <w:rPr>
          <w:rFonts w:ascii="CMR12" w:hAnsi="CMR12" w:cs="CMR12"/>
          <w:sz w:val="24"/>
          <w:szCs w:val="24"/>
        </w:rPr>
        <w:t>PPP</w:t>
      </w:r>
    </w:p>
    <w:p w14:paraId="2896ADB9" w14:textId="20E8A847" w:rsidR="000521CC" w:rsidRDefault="000521CC" w:rsidP="000521CC"/>
    <w:p w14:paraId="188C7BAB" w14:textId="7E8BBC7E" w:rsidR="00C75114" w:rsidRDefault="00C75114" w:rsidP="00C75114">
      <w:pPr>
        <w:pStyle w:val="ListParagraph"/>
        <w:numPr>
          <w:ilvl w:val="0"/>
          <w:numId w:val="5"/>
        </w:numPr>
      </w:pPr>
      <w:r>
        <w:t>Chetty et al</w:t>
      </w:r>
    </w:p>
    <w:p w14:paraId="51CB2489" w14:textId="13460FA7" w:rsidR="00C75114" w:rsidRDefault="00C75114" w:rsidP="00C75114">
      <w:pPr>
        <w:pStyle w:val="ListParagraph"/>
        <w:numPr>
          <w:ilvl w:val="1"/>
          <w:numId w:val="5"/>
        </w:numPr>
      </w:pPr>
      <w:r>
        <w:t>Loans to small businesses have little impact on employment rates (3-4 pp)</w:t>
      </w:r>
    </w:p>
    <w:p w14:paraId="01D34739" w14:textId="74563B6C" w:rsidR="00C75114" w:rsidRDefault="00CD4A1C" w:rsidP="00C75114">
      <w:pPr>
        <w:pStyle w:val="ListParagraph"/>
        <w:numPr>
          <w:ilvl w:val="0"/>
          <w:numId w:val="5"/>
        </w:numPr>
      </w:pPr>
      <w:proofErr w:type="spellStart"/>
      <w:r>
        <w:t>Bartik</w:t>
      </w:r>
      <w:proofErr w:type="spellEnd"/>
      <w:r>
        <w:t xml:space="preserve"> et al</w:t>
      </w:r>
    </w:p>
    <w:p w14:paraId="2B32949F" w14:textId="7382718C" w:rsidR="00CD4A1C" w:rsidRDefault="00CD4A1C" w:rsidP="00CD4A1C">
      <w:pPr>
        <w:pStyle w:val="ListParagraph"/>
        <w:numPr>
          <w:ilvl w:val="1"/>
          <w:numId w:val="5"/>
        </w:numPr>
      </w:pPr>
      <w:r>
        <w:t>PPP loans led to a positive but imprecise effect on employment</w:t>
      </w:r>
    </w:p>
    <w:p w14:paraId="3E00251F" w14:textId="3F1D22F5" w:rsidR="00CD4A1C" w:rsidRPr="00CD4A1C" w:rsidRDefault="00CD4A1C" w:rsidP="00CD4A1C">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E3521B">
        <w:rPr>
          <w:rFonts w:ascii="Times New Roman" w:hAnsi="Times New Roman" w:cs="Times New Roman"/>
          <w:sz w:val="24"/>
          <w:szCs w:val="24"/>
        </w:rPr>
        <w:t>dministering the loans via private banks allowed for rapid delivery of</w:t>
      </w:r>
      <w:r>
        <w:rPr>
          <w:rFonts w:ascii="Times New Roman" w:hAnsi="Times New Roman" w:cs="Times New Roman"/>
          <w:sz w:val="24"/>
          <w:szCs w:val="24"/>
        </w:rPr>
        <w:t xml:space="preserve"> </w:t>
      </w:r>
      <w:r w:rsidRPr="00CD4A1C">
        <w:rPr>
          <w:rFonts w:ascii="Times New Roman" w:hAnsi="Times New Roman" w:cs="Times New Roman"/>
          <w:sz w:val="24"/>
          <w:szCs w:val="24"/>
        </w:rPr>
        <w:t>funds, but limited targeting since pre-existing connections between banks and firms determined which firms would firms would benefit from the program</w:t>
      </w:r>
    </w:p>
    <w:p w14:paraId="6E4B0044" w14:textId="315F6B8E" w:rsidR="00CD4A1C" w:rsidRDefault="0049581A" w:rsidP="0049581A">
      <w:pPr>
        <w:pStyle w:val="ListParagraph"/>
        <w:numPr>
          <w:ilvl w:val="0"/>
          <w:numId w:val="5"/>
        </w:numPr>
      </w:pPr>
      <w:r>
        <w:t>Granja et al</w:t>
      </w:r>
    </w:p>
    <w:p w14:paraId="11A9A658" w14:textId="77777777" w:rsidR="0049581A" w:rsidRPr="00A50DC5" w:rsidRDefault="0049581A" w:rsidP="0049581A">
      <w:pPr>
        <w:pStyle w:val="ListParagraph"/>
        <w:numPr>
          <w:ilvl w:val="1"/>
          <w:numId w:val="5"/>
        </w:numPr>
        <w:rPr>
          <w:b/>
          <w:bCs/>
        </w:rPr>
      </w:pPr>
      <w:r>
        <w:t>PPP had not substantial effect on employment or hours worked</w:t>
      </w:r>
    </w:p>
    <w:p w14:paraId="345F3DCF" w14:textId="77777777" w:rsidR="0049581A" w:rsidRPr="005F5F55" w:rsidRDefault="0049581A" w:rsidP="0049581A">
      <w:pPr>
        <w:pStyle w:val="ListParagraph"/>
        <w:numPr>
          <w:ilvl w:val="1"/>
          <w:numId w:val="5"/>
        </w:numPr>
        <w:rPr>
          <w:b/>
          <w:bCs/>
        </w:rPr>
      </w:pPr>
      <w:r>
        <w:t>Businesses are maintaining loaned PPP funds in bank accounts as precautionary savings until they are ready to resume activities</w:t>
      </w:r>
    </w:p>
    <w:p w14:paraId="44D2FEBF" w14:textId="5F81A9FB" w:rsidR="0049581A" w:rsidRPr="00DB7933" w:rsidRDefault="0049581A" w:rsidP="0049581A">
      <w:pPr>
        <w:pStyle w:val="ListParagraph"/>
        <w:numPr>
          <w:ilvl w:val="1"/>
          <w:numId w:val="5"/>
        </w:numPr>
        <w:rPr>
          <w:b/>
          <w:bCs/>
        </w:rPr>
      </w:pPr>
      <w:r>
        <w:t>Their results are not consistent with the idea that PPP served as a large-scale alternative to unemployment insurance for delivering funds to affected workers</w:t>
      </w:r>
    </w:p>
    <w:p w14:paraId="0C62F487" w14:textId="25E2FABD" w:rsidR="00DB7933" w:rsidRPr="00DB7933" w:rsidRDefault="00DB7933" w:rsidP="00DB7933">
      <w:pPr>
        <w:pStyle w:val="ListParagraph"/>
        <w:numPr>
          <w:ilvl w:val="0"/>
          <w:numId w:val="5"/>
        </w:numPr>
        <w:rPr>
          <w:b/>
          <w:bCs/>
        </w:rPr>
      </w:pPr>
      <w:r>
        <w:t>Autor et al</w:t>
      </w:r>
    </w:p>
    <w:p w14:paraId="64659873" w14:textId="77777777" w:rsidR="00DB7933" w:rsidRDefault="00DB7933" w:rsidP="00DB7933">
      <w:pPr>
        <w:pStyle w:val="ListParagraph"/>
        <w:numPr>
          <w:ilvl w:val="1"/>
          <w:numId w:val="5"/>
        </w:numPr>
      </w:pPr>
      <w:r>
        <w:t xml:space="preserve">PPP increased </w:t>
      </w:r>
      <w:r w:rsidRPr="005F5F55">
        <w:t>the level of employment at eligible firms by between 2 percent and 4.5 percent</w:t>
      </w:r>
      <w:r>
        <w:t xml:space="preserve"> through the end of May</w:t>
      </w:r>
      <w:r w:rsidRPr="005F5F55">
        <w:t xml:space="preserve">. </w:t>
      </w:r>
    </w:p>
    <w:p w14:paraId="2896526A" w14:textId="77777777" w:rsidR="00DB7933" w:rsidRPr="000437F6" w:rsidRDefault="00DB7933" w:rsidP="00DB7933">
      <w:pPr>
        <w:pStyle w:val="ListParagraph"/>
        <w:numPr>
          <w:ilvl w:val="1"/>
          <w:numId w:val="5"/>
        </w:numPr>
      </w:pPr>
      <w:r w:rsidRPr="005F5F55">
        <w:t>These estimates imply that the PPP boosted the level of private employment in the U.S. by between 1.4 and 3.2 million, with a mid-point of 2.3 million.</w:t>
      </w:r>
    </w:p>
    <w:p w14:paraId="0FB9DCA3" w14:textId="5607A70A" w:rsidR="00DB7933" w:rsidRDefault="00356ED4" w:rsidP="00356ED4">
      <w:pPr>
        <w:pStyle w:val="Heading1"/>
        <w:rPr>
          <w:b/>
          <w:bCs/>
        </w:rPr>
      </w:pPr>
      <w:r>
        <w:rPr>
          <w:b/>
          <w:bCs/>
        </w:rPr>
        <w:t>Stimulus Checks</w:t>
      </w:r>
    </w:p>
    <w:p w14:paraId="209D41D4" w14:textId="65BC9618" w:rsidR="007359F5" w:rsidRDefault="007359F5" w:rsidP="00356ED4">
      <w:pPr>
        <w:pStyle w:val="ListParagraph"/>
        <w:numPr>
          <w:ilvl w:val="0"/>
          <w:numId w:val="6"/>
        </w:numPr>
      </w:pPr>
      <w:r>
        <w:t>FIM MPC</w:t>
      </w:r>
    </w:p>
    <w:p w14:paraId="0ED70398" w14:textId="6BFE020C" w:rsidR="0016391D" w:rsidRDefault="0016391D" w:rsidP="0016391D">
      <w:pPr>
        <w:pStyle w:val="ListParagraph"/>
        <w:numPr>
          <w:ilvl w:val="1"/>
          <w:numId w:val="6"/>
        </w:numPr>
      </w:pPr>
      <w:r>
        <w:t>0.7 total</w:t>
      </w:r>
    </w:p>
    <w:p w14:paraId="0AA1739C" w14:textId="14554C04" w:rsidR="0016391D" w:rsidRDefault="00FD1202" w:rsidP="0016391D">
      <w:pPr>
        <w:pStyle w:val="ListParagraph"/>
        <w:numPr>
          <w:ilvl w:val="1"/>
          <w:numId w:val="6"/>
        </w:numPr>
      </w:pPr>
      <w:r>
        <w:t>Q2 is 0.3</w:t>
      </w:r>
    </w:p>
    <w:p w14:paraId="11CC815D" w14:textId="2E2667ED" w:rsidR="00FD1202" w:rsidRDefault="00FD1202" w:rsidP="00A83FE5">
      <w:pPr>
        <w:pStyle w:val="ListParagraph"/>
        <w:numPr>
          <w:ilvl w:val="2"/>
          <w:numId w:val="6"/>
        </w:numPr>
      </w:pPr>
      <w:r>
        <w:t>Want to change to 0.35</w:t>
      </w:r>
    </w:p>
    <w:p w14:paraId="7EA00AFD" w14:textId="626039FB" w:rsidR="00356ED4" w:rsidRDefault="00356ED4" w:rsidP="00356ED4">
      <w:pPr>
        <w:pStyle w:val="ListParagraph"/>
        <w:numPr>
          <w:ilvl w:val="0"/>
          <w:numId w:val="6"/>
        </w:numPr>
      </w:pPr>
      <w:r>
        <w:t>Chetty et al</w:t>
      </w:r>
    </w:p>
    <w:p w14:paraId="2CBEDE91" w14:textId="4D995E5F" w:rsidR="00356ED4" w:rsidRDefault="00356ED4" w:rsidP="00356ED4">
      <w:pPr>
        <w:pStyle w:val="ListParagraph"/>
        <w:numPr>
          <w:ilvl w:val="1"/>
          <w:numId w:val="6"/>
        </w:numPr>
      </w:pPr>
      <w:r>
        <w:t>Stimulus checks increased spending among low-income households but not much for high-income households</w:t>
      </w:r>
    </w:p>
    <w:p w14:paraId="0FC65382" w14:textId="158ECB62" w:rsidR="007D2CE7" w:rsidRDefault="007D2CE7" w:rsidP="007D2CE7">
      <w:pPr>
        <w:pStyle w:val="ListParagraph"/>
        <w:numPr>
          <w:ilvl w:val="0"/>
          <w:numId w:val="6"/>
        </w:numPr>
      </w:pPr>
      <w:r>
        <w:t>Karger et al</w:t>
      </w:r>
    </w:p>
    <w:p w14:paraId="221D399B" w14:textId="3901A8F2" w:rsidR="007D2CE7" w:rsidRDefault="007D2CE7" w:rsidP="007D2CE7">
      <w:pPr>
        <w:pStyle w:val="ListParagraph"/>
        <w:numPr>
          <w:ilvl w:val="1"/>
          <w:numId w:val="6"/>
        </w:numPr>
      </w:pPr>
      <w:r>
        <w:t>Average MPC of 0.4</w:t>
      </w:r>
    </w:p>
    <w:p w14:paraId="0FBB0DC8" w14:textId="5F739D3D" w:rsidR="007D2CE7" w:rsidRDefault="00CC6E64" w:rsidP="007D2CE7">
      <w:pPr>
        <w:pStyle w:val="ListParagraph"/>
        <w:numPr>
          <w:ilvl w:val="0"/>
          <w:numId w:val="6"/>
        </w:numPr>
      </w:pPr>
      <w:r>
        <w:t>Baker et al</w:t>
      </w:r>
    </w:p>
    <w:p w14:paraId="71642412" w14:textId="63E78586" w:rsidR="00CC6E64" w:rsidRDefault="00CC6E64" w:rsidP="00214FAF">
      <w:pPr>
        <w:pStyle w:val="ListParagraph"/>
        <w:numPr>
          <w:ilvl w:val="1"/>
          <w:numId w:val="6"/>
        </w:numPr>
      </w:pPr>
      <w:r>
        <w:t>Spending</w:t>
      </w:r>
      <w:r w:rsidRPr="005F5F55">
        <w:t xml:space="preserve"> increased</w:t>
      </w:r>
      <w:r>
        <w:t xml:space="preserve"> </w:t>
      </w:r>
      <w:r w:rsidRPr="005F5F55">
        <w:t>by 29% of the stimulus amount in the 10 days after receiving payment, mainly driven by food and</w:t>
      </w:r>
      <w:r>
        <w:t xml:space="preserve"> </w:t>
      </w:r>
      <w:r w:rsidRPr="005F5F55">
        <w:t>non-durables</w:t>
      </w:r>
    </w:p>
    <w:p w14:paraId="43FA5506" w14:textId="4221CA18" w:rsidR="00EE062C" w:rsidRDefault="00EE062C" w:rsidP="00214FAF">
      <w:pPr>
        <w:pStyle w:val="ListParagraph"/>
        <w:numPr>
          <w:ilvl w:val="1"/>
          <w:numId w:val="6"/>
        </w:numPr>
      </w:pPr>
      <w:r>
        <w:t xml:space="preserve">MPC of 0.25-0.35 </w:t>
      </w:r>
    </w:p>
    <w:p w14:paraId="39CF46E0" w14:textId="77777777" w:rsidR="00214FAF" w:rsidRDefault="00214FAF" w:rsidP="00214FAF">
      <w:pPr>
        <w:pStyle w:val="ListParagraph"/>
        <w:numPr>
          <w:ilvl w:val="0"/>
          <w:numId w:val="6"/>
        </w:numPr>
      </w:pPr>
      <w:proofErr w:type="spellStart"/>
      <w:r>
        <w:t>Coibon</w:t>
      </w:r>
      <w:proofErr w:type="spellEnd"/>
      <w:r>
        <w:t xml:space="preserve"> et al</w:t>
      </w:r>
    </w:p>
    <w:p w14:paraId="2476F932" w14:textId="77777777" w:rsidR="00502B4B" w:rsidRPr="00502B4B" w:rsidRDefault="00214FAF" w:rsidP="00502B4B">
      <w:pPr>
        <w:pStyle w:val="ListParagraph"/>
        <w:numPr>
          <w:ilvl w:val="1"/>
          <w:numId w:val="6"/>
        </w:numPr>
      </w:pPr>
      <w:r w:rsidRPr="00214FAF">
        <w:rPr>
          <w:rFonts w:ascii="Times New Roman" w:hAnsi="Times New Roman" w:cs="Times New Roman"/>
          <w:sz w:val="24"/>
          <w:szCs w:val="24"/>
        </w:rPr>
        <w:t>Most respondents report that they primarily saved or paid down debts with their transfers, with</w:t>
      </w:r>
      <w:r>
        <w:rPr>
          <w:rFonts w:ascii="Times New Roman" w:hAnsi="Times New Roman" w:cs="Times New Roman"/>
          <w:sz w:val="24"/>
          <w:szCs w:val="24"/>
        </w:rPr>
        <w:t xml:space="preserve"> </w:t>
      </w:r>
      <w:r w:rsidRPr="00214FAF">
        <w:rPr>
          <w:rFonts w:ascii="Times New Roman" w:hAnsi="Times New Roman" w:cs="Times New Roman"/>
          <w:sz w:val="24"/>
          <w:szCs w:val="24"/>
        </w:rPr>
        <w:t>only about 15 percent reporting that they mostly spent it.</w:t>
      </w:r>
    </w:p>
    <w:p w14:paraId="6A19AC20" w14:textId="24E2830E" w:rsidR="003339BB" w:rsidRPr="00E23F53" w:rsidRDefault="00502B4B" w:rsidP="003339BB">
      <w:pPr>
        <w:pStyle w:val="ListParagraph"/>
        <w:numPr>
          <w:ilvl w:val="1"/>
          <w:numId w:val="6"/>
        </w:numPr>
      </w:pPr>
      <w:r w:rsidRPr="00502B4B">
        <w:rPr>
          <w:rFonts w:ascii="Times New Roman" w:hAnsi="Times New Roman" w:cs="Times New Roman"/>
          <w:sz w:val="24"/>
          <w:szCs w:val="24"/>
        </w:rPr>
        <w:t>U.S. households report having spent approximately 40 percent of their</w:t>
      </w:r>
      <w:r>
        <w:rPr>
          <w:rFonts w:ascii="Times New Roman" w:hAnsi="Times New Roman" w:cs="Times New Roman"/>
          <w:sz w:val="24"/>
          <w:szCs w:val="24"/>
        </w:rPr>
        <w:t xml:space="preserve"> </w:t>
      </w:r>
      <w:r w:rsidRPr="00502B4B">
        <w:rPr>
          <w:rFonts w:ascii="Times New Roman" w:hAnsi="Times New Roman" w:cs="Times New Roman"/>
          <w:sz w:val="24"/>
          <w:szCs w:val="24"/>
        </w:rPr>
        <w:t>checks on average</w:t>
      </w:r>
    </w:p>
    <w:p w14:paraId="20CA7F36" w14:textId="516F7861" w:rsidR="00E23F53" w:rsidRPr="00E23F53" w:rsidRDefault="00E23F53" w:rsidP="00E23F53">
      <w:pPr>
        <w:pStyle w:val="ListParagraph"/>
        <w:numPr>
          <w:ilvl w:val="0"/>
          <w:numId w:val="6"/>
        </w:numPr>
      </w:pPr>
      <w:proofErr w:type="spellStart"/>
      <w:r>
        <w:rPr>
          <w:rFonts w:ascii="Times New Roman" w:hAnsi="Times New Roman" w:cs="Times New Roman"/>
          <w:sz w:val="24"/>
          <w:szCs w:val="24"/>
        </w:rPr>
        <w:t>Misra</w:t>
      </w:r>
      <w:proofErr w:type="spellEnd"/>
      <w:r>
        <w:rPr>
          <w:rFonts w:ascii="Times New Roman" w:hAnsi="Times New Roman" w:cs="Times New Roman"/>
          <w:sz w:val="24"/>
          <w:szCs w:val="24"/>
        </w:rPr>
        <w:t xml:space="preserve"> et al</w:t>
      </w:r>
    </w:p>
    <w:p w14:paraId="25B2A76D" w14:textId="77777777" w:rsidR="00090657" w:rsidRPr="00090657" w:rsidRDefault="00E23F53" w:rsidP="00090657">
      <w:pPr>
        <w:pStyle w:val="ListParagraph"/>
        <w:numPr>
          <w:ilvl w:val="1"/>
          <w:numId w:val="6"/>
        </w:numPr>
      </w:pPr>
      <w:r>
        <w:rPr>
          <w:rFonts w:ascii="URWPalladioL-Roma" w:hAnsi="URWPalladioL-Roma" w:cs="URWPalladioL-Roma"/>
        </w:rPr>
        <w:t>A</w:t>
      </w:r>
      <w:r>
        <w:rPr>
          <w:rFonts w:ascii="URWPalladioL-Roma" w:hAnsi="URWPalladioL-Roma" w:cs="URWPalladioL-Roma"/>
        </w:rPr>
        <w:t>ggregate MPC of 0.43</w:t>
      </w:r>
    </w:p>
    <w:p w14:paraId="3B51083B" w14:textId="7FFC4A9A" w:rsidR="00090657" w:rsidRPr="009D712C" w:rsidRDefault="00090657" w:rsidP="00090657">
      <w:pPr>
        <w:pStyle w:val="ListParagraph"/>
        <w:numPr>
          <w:ilvl w:val="1"/>
          <w:numId w:val="6"/>
        </w:numPr>
      </w:pPr>
      <w:r w:rsidRPr="00090657">
        <w:rPr>
          <w:rFonts w:ascii="URWPalladioL-Roma" w:hAnsi="URWPalladioL-Roma" w:cs="URWPalladioL-Roma"/>
          <w:sz w:val="24"/>
          <w:szCs w:val="24"/>
        </w:rPr>
        <w:lastRenderedPageBreak/>
        <w:t>$722 of a $1,678 stimulus</w:t>
      </w:r>
      <w:r>
        <w:rPr>
          <w:rFonts w:ascii="URWPalladioL-Roma" w:hAnsi="URWPalladioL-Roma" w:cs="URWPalladioL-Roma"/>
          <w:sz w:val="24"/>
          <w:szCs w:val="24"/>
        </w:rPr>
        <w:t xml:space="preserve"> </w:t>
      </w:r>
      <w:r w:rsidRPr="00090657">
        <w:rPr>
          <w:rFonts w:ascii="URWPalladioL-Roma" w:hAnsi="URWPalladioL-Roma" w:cs="URWPalladioL-Roma"/>
          <w:sz w:val="24"/>
          <w:szCs w:val="24"/>
        </w:rPr>
        <w:t>(average stimulus) is spent within the first four days of receipt.</w:t>
      </w:r>
    </w:p>
    <w:p w14:paraId="4CF32A46" w14:textId="5FF4115D" w:rsidR="003339BB" w:rsidRDefault="003339BB" w:rsidP="00733E3D">
      <w:pPr>
        <w:pStyle w:val="Heading1"/>
      </w:pPr>
      <w:r>
        <w:t>Unemployment Insurance</w:t>
      </w:r>
    </w:p>
    <w:p w14:paraId="02ADBD68" w14:textId="3DAF2F71" w:rsidR="00733E3D" w:rsidRDefault="002567AE" w:rsidP="00733E3D">
      <w:pPr>
        <w:pStyle w:val="ListParagraph"/>
        <w:numPr>
          <w:ilvl w:val="0"/>
          <w:numId w:val="7"/>
        </w:numPr>
      </w:pPr>
      <w:r>
        <w:t xml:space="preserve">Garza </w:t>
      </w:r>
      <w:r w:rsidR="00733E3D">
        <w:t>Casado et al</w:t>
      </w:r>
    </w:p>
    <w:p w14:paraId="314AF4FA" w14:textId="05406CAB" w:rsidR="00733E3D" w:rsidRDefault="00733E3D" w:rsidP="00733E3D">
      <w:pPr>
        <w:pStyle w:val="ListParagraph"/>
        <w:numPr>
          <w:ilvl w:val="1"/>
          <w:numId w:val="7"/>
        </w:numPr>
      </w:pPr>
      <w:r>
        <w:t>We find that higher replacement rates lead to significantly more consumer spending – even with increases in the unemployment rate – consistent with the goal of the fiscal stimulus.</w:t>
      </w:r>
    </w:p>
    <w:p w14:paraId="1395820A" w14:textId="57EFE8E0" w:rsidR="00B239C2" w:rsidRDefault="00B239C2" w:rsidP="00733E3D">
      <w:pPr>
        <w:pStyle w:val="ListParagraph"/>
        <w:numPr>
          <w:ilvl w:val="1"/>
          <w:numId w:val="7"/>
        </w:numPr>
      </w:pPr>
      <w:r>
        <w:t>A 1% increase in the unemployment rate is associated with a decrease in spending of more than 6%, while a 1% increase in the replacement rate is associated with an increase in spending of over 0.5%.</w:t>
      </w:r>
    </w:p>
    <w:p w14:paraId="7741072E" w14:textId="77777777" w:rsidR="00F61AEB" w:rsidRDefault="00F61AEB" w:rsidP="00F61AEB">
      <w:pPr>
        <w:pStyle w:val="ListParagraph"/>
        <w:numPr>
          <w:ilvl w:val="0"/>
          <w:numId w:val="7"/>
        </w:numPr>
      </w:pPr>
      <w:r>
        <w:t>Cox et</w:t>
      </w:r>
      <w:bookmarkStart w:id="0" w:name="_GoBack"/>
      <w:bookmarkEnd w:id="0"/>
      <w:r>
        <w:t xml:space="preserve"> al</w:t>
      </w:r>
    </w:p>
    <w:p w14:paraId="2924FE2D" w14:textId="5F782679" w:rsidR="00F61AEB" w:rsidRPr="00104218" w:rsidRDefault="00F61AEB" w:rsidP="00F61AEB">
      <w:pPr>
        <w:pStyle w:val="ListParagraph"/>
        <w:numPr>
          <w:ilvl w:val="1"/>
          <w:numId w:val="7"/>
        </w:numPr>
      </w:pPr>
      <w:r w:rsidRPr="00F61AEB">
        <w:rPr>
          <w:rFonts w:ascii="URWPalladioL-Roma" w:hAnsi="URWPalladioL-Roma" w:cs="URWPalladioL-Roma"/>
        </w:rPr>
        <w:t>stimulus checks and expanded UI benefits represent a larger share of monthly income for low-income</w:t>
      </w:r>
      <w:r>
        <w:rPr>
          <w:rFonts w:ascii="URWPalladioL-Roma" w:hAnsi="URWPalladioL-Roma" w:cs="URWPalladioL-Roma"/>
        </w:rPr>
        <w:t xml:space="preserve"> </w:t>
      </w:r>
      <w:r w:rsidRPr="00F61AEB">
        <w:rPr>
          <w:rFonts w:ascii="URWPalladioL-Roma" w:hAnsi="URWPalladioL-Roma" w:cs="URWPalladioL-Roma"/>
        </w:rPr>
        <w:t xml:space="preserve">workers than for high-income </w:t>
      </w:r>
      <w:proofErr w:type="gramStart"/>
      <w:r w:rsidRPr="00F61AEB">
        <w:rPr>
          <w:rFonts w:ascii="URWPalladioL-Roma" w:hAnsi="URWPalladioL-Roma" w:cs="URWPalladioL-Roma"/>
        </w:rPr>
        <w:t>workers, and</w:t>
      </w:r>
      <w:proofErr w:type="gramEnd"/>
      <w:r w:rsidRPr="00F61AEB">
        <w:rPr>
          <w:rFonts w:ascii="URWPalladioL-Roma" w:hAnsi="URWPalladioL-Roma" w:cs="URWPalladioL-Roma"/>
        </w:rPr>
        <w:t xml:space="preserve"> would thus naturally explain the more rapid recovery</w:t>
      </w:r>
      <w:r>
        <w:rPr>
          <w:rFonts w:ascii="URWPalladioL-Roma" w:hAnsi="URWPalladioL-Roma" w:cs="URWPalladioL-Roma"/>
        </w:rPr>
        <w:t xml:space="preserve"> </w:t>
      </w:r>
      <w:r w:rsidRPr="00F61AEB">
        <w:rPr>
          <w:rFonts w:ascii="URWPalladioL-Roma" w:hAnsi="URWPalladioL-Roma" w:cs="URWPalladioL-Roma"/>
        </w:rPr>
        <w:t>in spending we observe for low-income workers.</w:t>
      </w:r>
    </w:p>
    <w:p w14:paraId="1F68E3E0" w14:textId="00546CDE" w:rsidR="00104218" w:rsidRDefault="00104218" w:rsidP="00F61AEB">
      <w:pPr>
        <w:pStyle w:val="ListParagraph"/>
        <w:numPr>
          <w:ilvl w:val="1"/>
          <w:numId w:val="7"/>
        </w:numPr>
      </w:pPr>
      <w:r>
        <w:t>A</w:t>
      </w:r>
      <w:r>
        <w:t>s a result of the CARES Act, UI benefits are much more generous in level and duration, and available to many more workers. Furthermore, sizable stimulus checks were also sent out in April. These income supports might buffer against labor income-related spending declines if this stimulus continues. The more rapid recovery of spending for low-income households suggest this channel is at work</w:t>
      </w:r>
    </w:p>
    <w:p w14:paraId="41E14429" w14:textId="5C2A1B54" w:rsidR="001E3F9C" w:rsidRPr="00326BD4" w:rsidRDefault="001E3F9C" w:rsidP="00F61AEB">
      <w:pPr>
        <w:pStyle w:val="ListParagraph"/>
        <w:numPr>
          <w:ilvl w:val="1"/>
          <w:numId w:val="7"/>
        </w:numPr>
      </w:pPr>
      <w:r w:rsidRPr="001E3F9C">
        <w:rPr>
          <w:noProof/>
        </w:rPr>
        <w:drawing>
          <wp:inline distT="0" distB="0" distL="0" distR="0" wp14:anchorId="45FB276E" wp14:editId="7F4BD1BA">
            <wp:extent cx="4610100" cy="3071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7234" cy="3076676"/>
                    </a:xfrm>
                    <a:prstGeom prst="rect">
                      <a:avLst/>
                    </a:prstGeom>
                    <a:noFill/>
                    <a:ln>
                      <a:noFill/>
                    </a:ln>
                  </pic:spPr>
                </pic:pic>
              </a:graphicData>
            </a:graphic>
          </wp:inline>
        </w:drawing>
      </w:r>
    </w:p>
    <w:p w14:paraId="4093A8EF" w14:textId="1A6DC768" w:rsidR="00326BD4" w:rsidRPr="00326BD4" w:rsidRDefault="00326BD4" w:rsidP="00326BD4">
      <w:pPr>
        <w:pStyle w:val="ListParagraph"/>
        <w:numPr>
          <w:ilvl w:val="0"/>
          <w:numId w:val="7"/>
        </w:numPr>
      </w:pPr>
      <w:r>
        <w:rPr>
          <w:rFonts w:ascii="URWPalladioL-Roma" w:hAnsi="URWPalladioL-Roma" w:cs="URWPalladioL-Roma"/>
        </w:rPr>
        <w:t>Patterson</w:t>
      </w:r>
    </w:p>
    <w:p w14:paraId="66014BC1" w14:textId="3377D45B" w:rsidR="00326BD4" w:rsidRDefault="00326BD4" w:rsidP="00326BD4">
      <w:pPr>
        <w:pStyle w:val="ListParagraph"/>
        <w:numPr>
          <w:ilvl w:val="1"/>
          <w:numId w:val="7"/>
        </w:numPr>
      </w:pPr>
      <w:r>
        <w:rPr>
          <w:noProof/>
        </w:rPr>
        <w:lastRenderedPageBreak/>
        <w:drawing>
          <wp:inline distT="0" distB="0" distL="0" distR="0" wp14:anchorId="63CAFB42" wp14:editId="3CE33D3F">
            <wp:extent cx="4953000" cy="4515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5964" cy="4518610"/>
                    </a:xfrm>
                    <a:prstGeom prst="rect">
                      <a:avLst/>
                    </a:prstGeom>
                    <a:noFill/>
                    <a:ln>
                      <a:noFill/>
                    </a:ln>
                  </pic:spPr>
                </pic:pic>
              </a:graphicData>
            </a:graphic>
          </wp:inline>
        </w:drawing>
      </w:r>
    </w:p>
    <w:p w14:paraId="08AACFF0" w14:textId="77777777" w:rsidR="006A189C" w:rsidRDefault="008F1390" w:rsidP="006A189C">
      <w:pPr>
        <w:pStyle w:val="ListParagraph"/>
        <w:numPr>
          <w:ilvl w:val="0"/>
          <w:numId w:val="7"/>
        </w:numPr>
      </w:pPr>
      <w:proofErr w:type="spellStart"/>
      <w:r>
        <w:t>Ganong</w:t>
      </w:r>
      <w:proofErr w:type="spellEnd"/>
      <w:r>
        <w:t xml:space="preserve"> et al </w:t>
      </w:r>
      <w:r w:rsidR="006A189C">
        <w:t>(2019)</w:t>
      </w:r>
    </w:p>
    <w:p w14:paraId="32539434" w14:textId="672D1344" w:rsidR="006A189C" w:rsidRPr="002A51D0" w:rsidRDefault="006A189C" w:rsidP="006A189C">
      <w:pPr>
        <w:pStyle w:val="ListParagraph"/>
        <w:numPr>
          <w:ilvl w:val="1"/>
          <w:numId w:val="7"/>
        </w:numPr>
      </w:pPr>
      <w:r>
        <w:t xml:space="preserve">For </w:t>
      </w:r>
      <w:r w:rsidRPr="006A189C">
        <w:rPr>
          <w:rFonts w:ascii="TimesLTStd-Roman" w:hAnsi="TimesLTStd-Roman" w:cs="TimesLTStd-Roman"/>
        </w:rPr>
        <w:t>every $1 of UI total bank account outflows rise by $0.83</w:t>
      </w:r>
    </w:p>
    <w:p w14:paraId="4748F849" w14:textId="031245B3" w:rsidR="002A51D0" w:rsidRPr="002A51D0" w:rsidRDefault="00A403C2" w:rsidP="006A189C">
      <w:pPr>
        <w:pStyle w:val="ListParagraph"/>
        <w:numPr>
          <w:ilvl w:val="1"/>
          <w:numId w:val="7"/>
        </w:numPr>
      </w:pPr>
      <w:r>
        <w:rPr>
          <w:rFonts w:ascii="TimesLTStd-Roman" w:hAnsi="TimesLTStd-Roman" w:cs="TimesLTStd-Roman"/>
        </w:rPr>
        <w:t xml:space="preserve">6 </w:t>
      </w:r>
      <w:r w:rsidR="00BD1472">
        <w:rPr>
          <w:rFonts w:ascii="TimesLTStd-Roman" w:hAnsi="TimesLTStd-Roman" w:cs="TimesLTStd-Roman"/>
        </w:rPr>
        <w:t>months</w:t>
      </w:r>
    </w:p>
    <w:p w14:paraId="09266BCA" w14:textId="77777777" w:rsidR="002A51D0" w:rsidRPr="006A189C" w:rsidRDefault="002A51D0" w:rsidP="002A51D0">
      <w:pPr>
        <w:pStyle w:val="ListParagraph"/>
        <w:numPr>
          <w:ilvl w:val="0"/>
          <w:numId w:val="7"/>
        </w:numPr>
      </w:pPr>
    </w:p>
    <w:p w14:paraId="359B6034" w14:textId="77777777" w:rsidR="000521CC" w:rsidRDefault="000521CC" w:rsidP="00B96CB5">
      <w:pPr>
        <w:pStyle w:val="Heading1"/>
        <w:spacing w:before="0" w:line="240" w:lineRule="auto"/>
        <w:rPr>
          <w:rFonts w:ascii="CMR12" w:hAnsi="CMR12" w:cs="CMR12"/>
          <w:sz w:val="24"/>
          <w:szCs w:val="24"/>
        </w:rPr>
      </w:pPr>
    </w:p>
    <w:p w14:paraId="6DA299D4" w14:textId="77777777" w:rsidR="000521CC" w:rsidRDefault="000521CC" w:rsidP="00B96CB5">
      <w:pPr>
        <w:pStyle w:val="Heading1"/>
        <w:spacing w:before="0" w:line="240" w:lineRule="auto"/>
        <w:rPr>
          <w:rFonts w:ascii="CMR12" w:hAnsi="CMR12" w:cs="CMR12"/>
          <w:sz w:val="24"/>
          <w:szCs w:val="24"/>
        </w:rPr>
      </w:pPr>
    </w:p>
    <w:p w14:paraId="5555A532" w14:textId="24C67C7D" w:rsidR="001A2A34" w:rsidRDefault="001A2A34" w:rsidP="00B96CB5">
      <w:pPr>
        <w:pStyle w:val="Heading1"/>
        <w:spacing w:before="0" w:line="240" w:lineRule="auto"/>
        <w:rPr>
          <w:rFonts w:ascii="CMR12" w:hAnsi="CMR12" w:cs="CMR12"/>
          <w:sz w:val="24"/>
          <w:szCs w:val="24"/>
        </w:rPr>
      </w:pPr>
      <w:r>
        <w:rPr>
          <w:rFonts w:ascii="CMR12" w:hAnsi="CMR12" w:cs="CMR12"/>
          <w:sz w:val="24"/>
          <w:szCs w:val="24"/>
        </w:rPr>
        <w:t>How Did COVID-19 and Stabilization Policies A</w:t>
      </w:r>
      <w:r w:rsidR="006B0AD9">
        <w:rPr>
          <w:rFonts w:ascii="MS Gothic" w:eastAsia="MS Gothic" w:hAnsi="MS Gothic" w:cs="MS Gothic" w:hint="eastAsia"/>
          <w:sz w:val="24"/>
          <w:szCs w:val="24"/>
        </w:rPr>
        <w:t>f</w:t>
      </w:r>
      <w:r w:rsidR="006B0AD9">
        <w:rPr>
          <w:rFonts w:ascii="MS Gothic" w:eastAsia="MS Gothic" w:hAnsi="MS Gothic" w:cs="MS Gothic"/>
          <w:sz w:val="24"/>
          <w:szCs w:val="24"/>
        </w:rPr>
        <w:t>f</w:t>
      </w:r>
      <w:r>
        <w:rPr>
          <w:rFonts w:ascii="CMR12" w:hAnsi="CMR12" w:cs="CMR12"/>
          <w:sz w:val="24"/>
          <w:szCs w:val="24"/>
        </w:rPr>
        <w:t>ect Spending and Employment?</w:t>
      </w:r>
    </w:p>
    <w:p w14:paraId="6FB414A9" w14:textId="7EECE8F8" w:rsidR="001A2A34" w:rsidRDefault="001A2A34" w:rsidP="00B96CB5">
      <w:pPr>
        <w:pStyle w:val="Heading1"/>
        <w:spacing w:before="0" w:line="240" w:lineRule="auto"/>
        <w:rPr>
          <w:rFonts w:ascii="CMR12" w:hAnsi="CMR12" w:cs="CMR12"/>
          <w:sz w:val="24"/>
          <w:szCs w:val="24"/>
        </w:rPr>
      </w:pPr>
      <w:r>
        <w:rPr>
          <w:rFonts w:ascii="CMR12" w:hAnsi="CMR12" w:cs="CMR12"/>
          <w:sz w:val="24"/>
          <w:szCs w:val="24"/>
        </w:rPr>
        <w:t>A New Real-Time Economic Tracker Based on Private Sector Data</w:t>
      </w:r>
    </w:p>
    <w:p w14:paraId="61B26FBF" w14:textId="483D286D" w:rsidR="004C5C65" w:rsidRPr="003E43D8" w:rsidRDefault="004C5C65" w:rsidP="003E43D8">
      <w:pPr>
        <w:autoSpaceDE w:val="0"/>
        <w:autoSpaceDN w:val="0"/>
        <w:adjustRightInd w:val="0"/>
        <w:spacing w:after="0" w:line="240" w:lineRule="auto"/>
        <w:rPr>
          <w:rFonts w:ascii="CMR10" w:hAnsi="CMR10" w:cs="CMR10"/>
        </w:rPr>
      </w:pPr>
      <w:r>
        <w:rPr>
          <w:rFonts w:ascii="CMR10" w:hAnsi="CMR10" w:cs="CMR10"/>
        </w:rPr>
        <w:t xml:space="preserve">Raj Chetty, John N. Friedman, Nathaniel Hendren, Michael </w:t>
      </w:r>
      <w:proofErr w:type="spellStart"/>
      <w:r>
        <w:rPr>
          <w:rFonts w:ascii="CMR10" w:hAnsi="CMR10" w:cs="CMR10"/>
        </w:rPr>
        <w:t>Stepner</w:t>
      </w:r>
      <w:proofErr w:type="spellEnd"/>
      <w:r>
        <w:rPr>
          <w:rFonts w:ascii="CMR10" w:hAnsi="CMR10" w:cs="CMR10"/>
        </w:rPr>
        <w:t>,</w:t>
      </w:r>
      <w:r w:rsidR="003E43D8">
        <w:rPr>
          <w:rFonts w:ascii="CMR10" w:hAnsi="CMR10" w:cs="CMR10"/>
        </w:rPr>
        <w:t xml:space="preserve"> </w:t>
      </w:r>
      <w:r>
        <w:rPr>
          <w:rFonts w:ascii="CMR10" w:hAnsi="CMR10" w:cs="CMR10"/>
        </w:rPr>
        <w:t>and the Opportunity Insights Team</w:t>
      </w:r>
      <w:r>
        <w:rPr>
          <w:rFonts w:ascii="CMSY8" w:hAnsi="CMSY8" w:cs="CMSY8"/>
          <w:sz w:val="16"/>
          <w:szCs w:val="16"/>
        </w:rPr>
        <w:t>†</w:t>
      </w:r>
    </w:p>
    <w:p w14:paraId="37CBB097" w14:textId="1C426FA4" w:rsidR="001A2A34" w:rsidRDefault="001A2A34" w:rsidP="001A2A34">
      <w:pPr>
        <w:autoSpaceDE w:val="0"/>
        <w:autoSpaceDN w:val="0"/>
        <w:adjustRightInd w:val="0"/>
        <w:spacing w:after="0" w:line="240" w:lineRule="auto"/>
        <w:rPr>
          <w:rFonts w:ascii="Cambria Math" w:hAnsi="Cambria Math" w:cs="Cambria Math"/>
          <w:sz w:val="24"/>
          <w:szCs w:val="24"/>
        </w:rPr>
      </w:pPr>
    </w:p>
    <w:p w14:paraId="3BC1B7CD" w14:textId="068C17FA" w:rsidR="001A2A34" w:rsidRDefault="001A2A34" w:rsidP="001A2A34">
      <w:pPr>
        <w:autoSpaceDE w:val="0"/>
        <w:autoSpaceDN w:val="0"/>
        <w:adjustRightInd w:val="0"/>
        <w:spacing w:after="0" w:line="240" w:lineRule="auto"/>
        <w:rPr>
          <w:rFonts w:ascii="Cambria Math" w:hAnsi="Cambria Math" w:cs="Cambria Math"/>
          <w:sz w:val="24"/>
          <w:szCs w:val="24"/>
        </w:rPr>
      </w:pPr>
      <w:r>
        <w:rPr>
          <w:rFonts w:ascii="Cambria Math" w:hAnsi="Cambria Math" w:cs="Cambria Math"/>
          <w:sz w:val="24"/>
          <w:szCs w:val="24"/>
        </w:rPr>
        <w:t>June 17, 2020</w:t>
      </w:r>
    </w:p>
    <w:p w14:paraId="37A42721" w14:textId="0A0A32BE" w:rsidR="001A2A34" w:rsidRDefault="001A2A34" w:rsidP="001A2A34">
      <w:pPr>
        <w:autoSpaceDE w:val="0"/>
        <w:autoSpaceDN w:val="0"/>
        <w:adjustRightInd w:val="0"/>
        <w:spacing w:after="0" w:line="240" w:lineRule="auto"/>
        <w:rPr>
          <w:rFonts w:ascii="Cambria Math" w:hAnsi="Cambria Math" w:cs="Cambria Math"/>
          <w:sz w:val="24"/>
          <w:szCs w:val="24"/>
        </w:rPr>
      </w:pPr>
    </w:p>
    <w:p w14:paraId="444962CA" w14:textId="2F5BCF4D" w:rsidR="00C22214" w:rsidRDefault="00C22214" w:rsidP="00C22214">
      <w:pPr>
        <w:pStyle w:val="ListParagraph"/>
        <w:numPr>
          <w:ilvl w:val="0"/>
          <w:numId w:val="1"/>
        </w:numPr>
        <w:autoSpaceDE w:val="0"/>
        <w:autoSpaceDN w:val="0"/>
        <w:adjustRightInd w:val="0"/>
        <w:spacing w:after="0" w:line="240" w:lineRule="auto"/>
        <w:rPr>
          <w:rFonts w:ascii="Cambria Math" w:hAnsi="Cambria Math" w:cs="Cambria Math"/>
          <w:sz w:val="24"/>
          <w:szCs w:val="24"/>
        </w:rPr>
      </w:pPr>
      <w:r>
        <w:rPr>
          <w:rFonts w:ascii="Cambria Math" w:hAnsi="Cambria Math" w:cs="Cambria Math"/>
          <w:sz w:val="24"/>
          <w:szCs w:val="24"/>
        </w:rPr>
        <w:t>Stimulus checks increase spending among low-income households</w:t>
      </w:r>
    </w:p>
    <w:p w14:paraId="702C7E02" w14:textId="78596A9A" w:rsidR="00C02E1D" w:rsidRDefault="00C02E1D" w:rsidP="00C22214">
      <w:pPr>
        <w:pStyle w:val="ListParagraph"/>
        <w:numPr>
          <w:ilvl w:val="0"/>
          <w:numId w:val="1"/>
        </w:numPr>
        <w:autoSpaceDE w:val="0"/>
        <w:autoSpaceDN w:val="0"/>
        <w:adjustRightInd w:val="0"/>
        <w:spacing w:after="0" w:line="240" w:lineRule="auto"/>
        <w:rPr>
          <w:rFonts w:ascii="Cambria Math" w:hAnsi="Cambria Math" w:cs="Cambria Math"/>
          <w:sz w:val="24"/>
          <w:szCs w:val="24"/>
        </w:rPr>
      </w:pPr>
      <w:r>
        <w:rPr>
          <w:rFonts w:ascii="Cambria Math" w:hAnsi="Cambria Math" w:cs="Cambria Math"/>
          <w:sz w:val="24"/>
          <w:szCs w:val="24"/>
        </w:rPr>
        <w:t>Loans to small businesses have little impact on employment rates</w:t>
      </w:r>
      <w:r w:rsidR="00E3521B">
        <w:rPr>
          <w:rFonts w:ascii="Cambria Math" w:hAnsi="Cambria Math" w:cs="Cambria Math"/>
          <w:sz w:val="24"/>
          <w:szCs w:val="24"/>
        </w:rPr>
        <w:t xml:space="preserve"> (3-4 percentage points)</w:t>
      </w:r>
    </w:p>
    <w:p w14:paraId="0FF7033B" w14:textId="77777777" w:rsidR="001A2A34" w:rsidRDefault="001A2A34" w:rsidP="001A2A34">
      <w:pPr>
        <w:autoSpaceDE w:val="0"/>
        <w:autoSpaceDN w:val="0"/>
        <w:adjustRightInd w:val="0"/>
        <w:spacing w:after="0" w:line="240" w:lineRule="auto"/>
        <w:rPr>
          <w:rFonts w:ascii="Cambria Math" w:hAnsi="Cambria Math" w:cs="Cambria Math"/>
          <w:sz w:val="24"/>
          <w:szCs w:val="24"/>
        </w:rPr>
      </w:pPr>
    </w:p>
    <w:p w14:paraId="2F0D5541" w14:textId="5BD2F1F6" w:rsidR="00816AF3" w:rsidRDefault="001A2A34" w:rsidP="00B96CB5">
      <w:pPr>
        <w:pStyle w:val="Heading1"/>
        <w:spacing w:before="0" w:line="240" w:lineRule="auto"/>
        <w:rPr>
          <w:rFonts w:ascii="CMR12" w:hAnsi="CMR12" w:cs="CMR12"/>
          <w:sz w:val="24"/>
          <w:szCs w:val="24"/>
        </w:rPr>
      </w:pPr>
      <w:r w:rsidRPr="00B96CB5">
        <w:rPr>
          <w:rFonts w:ascii="CMR12" w:hAnsi="CMR12" w:cs="CMR12"/>
          <w:sz w:val="24"/>
          <w:szCs w:val="24"/>
        </w:rPr>
        <w:lastRenderedPageBreak/>
        <w:t>The Targeting and Impact of Paycheck Protection Program Loans to Small Businesses</w:t>
      </w:r>
    </w:p>
    <w:p w14:paraId="469945DB" w14:textId="79ECAE87" w:rsidR="00CD4A1C" w:rsidRPr="00CD4A1C" w:rsidRDefault="00CD4A1C" w:rsidP="00CD4A1C">
      <w:proofErr w:type="spellStart"/>
      <w:r>
        <w:t>Bartik</w:t>
      </w:r>
      <w:proofErr w:type="spellEnd"/>
      <w:r>
        <w:t xml:space="preserve"> et al</w:t>
      </w:r>
    </w:p>
    <w:p w14:paraId="0EB46084" w14:textId="77777777" w:rsidR="0046772A" w:rsidRDefault="001A2A34" w:rsidP="001A2A3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3521B">
        <w:rPr>
          <w:rFonts w:ascii="Times New Roman" w:hAnsi="Times New Roman" w:cs="Times New Roman"/>
          <w:sz w:val="24"/>
          <w:szCs w:val="24"/>
        </w:rPr>
        <w:t>PPP loans led to a positive but imprecise effect on employment.</w:t>
      </w:r>
    </w:p>
    <w:p w14:paraId="7AB8A131" w14:textId="340CFEEA" w:rsidR="001A2A34" w:rsidRPr="00E3521B" w:rsidRDefault="001A2A34" w:rsidP="001A2A3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3521B">
        <w:rPr>
          <w:rFonts w:ascii="Times New Roman" w:hAnsi="Times New Roman" w:cs="Times New Roman"/>
          <w:sz w:val="24"/>
          <w:szCs w:val="24"/>
        </w:rPr>
        <w:t xml:space="preserve"> </w:t>
      </w:r>
      <w:r w:rsidR="0046772A">
        <w:rPr>
          <w:rFonts w:ascii="Times New Roman" w:hAnsi="Times New Roman" w:cs="Times New Roman"/>
          <w:sz w:val="24"/>
          <w:szCs w:val="24"/>
        </w:rPr>
        <w:t>A</w:t>
      </w:r>
      <w:r w:rsidRPr="00E3521B">
        <w:rPr>
          <w:rFonts w:ascii="Times New Roman" w:hAnsi="Times New Roman" w:cs="Times New Roman"/>
          <w:sz w:val="24"/>
          <w:szCs w:val="24"/>
        </w:rPr>
        <w:t>dministering the loans via private banks allowed for rapid delivery of</w:t>
      </w:r>
    </w:p>
    <w:p w14:paraId="52351CE4" w14:textId="48343D5A" w:rsidR="001A2A34" w:rsidRDefault="001A2A34" w:rsidP="008324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funds, </w:t>
      </w:r>
      <w:r w:rsidR="0046772A">
        <w:rPr>
          <w:rFonts w:ascii="Times New Roman" w:hAnsi="Times New Roman" w:cs="Times New Roman"/>
          <w:sz w:val="24"/>
          <w:szCs w:val="24"/>
        </w:rPr>
        <w:t>but limited t</w:t>
      </w:r>
      <w:r w:rsidR="00DD02B4">
        <w:rPr>
          <w:rFonts w:ascii="Times New Roman" w:hAnsi="Times New Roman" w:cs="Times New Roman"/>
          <w:sz w:val="24"/>
          <w:szCs w:val="24"/>
        </w:rPr>
        <w:t>argeting since pre-existing connections between banks and firms determined which firms would</w:t>
      </w:r>
      <w:r w:rsidR="00832443">
        <w:rPr>
          <w:rFonts w:ascii="Times New Roman" w:hAnsi="Times New Roman" w:cs="Times New Roman"/>
          <w:sz w:val="24"/>
          <w:szCs w:val="24"/>
        </w:rPr>
        <w:t xml:space="preserve"> firms would benefit from the program</w:t>
      </w:r>
    </w:p>
    <w:p w14:paraId="17227F3D" w14:textId="77777777" w:rsidR="00832443" w:rsidRDefault="00832443" w:rsidP="00832443">
      <w:pPr>
        <w:autoSpaceDE w:val="0"/>
        <w:autoSpaceDN w:val="0"/>
        <w:adjustRightInd w:val="0"/>
        <w:spacing w:after="0" w:line="240" w:lineRule="auto"/>
        <w:rPr>
          <w:rFonts w:ascii="Times New Roman" w:hAnsi="Times New Roman" w:cs="Times New Roman"/>
          <w:sz w:val="24"/>
          <w:szCs w:val="24"/>
        </w:rPr>
      </w:pPr>
    </w:p>
    <w:p w14:paraId="1D204B8D" w14:textId="4DA2DC67" w:rsidR="001A2A34" w:rsidRDefault="001A2A34" w:rsidP="00B96CB5">
      <w:pPr>
        <w:pStyle w:val="Heading1"/>
        <w:spacing w:before="0" w:line="240" w:lineRule="auto"/>
        <w:rPr>
          <w:rFonts w:ascii="Times New Roman" w:hAnsi="Times New Roman" w:cs="Times New Roman"/>
          <w:sz w:val="24"/>
          <w:szCs w:val="24"/>
        </w:rPr>
      </w:pPr>
      <w:r w:rsidRPr="00B96CB5">
        <w:rPr>
          <w:rFonts w:ascii="CMR12" w:hAnsi="CMR12" w:cs="CMR12"/>
          <w:sz w:val="24"/>
          <w:szCs w:val="24"/>
        </w:rPr>
        <w:t>DID THE PAYCHECK PROTECTION PROGRAM HIT THE TARGET?</w:t>
      </w:r>
    </w:p>
    <w:p w14:paraId="2994A9D1" w14:textId="5828BC93" w:rsidR="001A2A34" w:rsidRDefault="00DB7933" w:rsidP="001A2A34">
      <w:r>
        <w:t xml:space="preserve">Granja et al, </w:t>
      </w:r>
      <w:r w:rsidR="001A2A34">
        <w:t>May 2020</w:t>
      </w:r>
    </w:p>
    <w:p w14:paraId="772D0A80" w14:textId="6B8812D8" w:rsidR="00A96E60" w:rsidRPr="00A50DC5" w:rsidRDefault="00A96E60" w:rsidP="00A96E60">
      <w:pPr>
        <w:pStyle w:val="ListParagraph"/>
        <w:numPr>
          <w:ilvl w:val="0"/>
          <w:numId w:val="3"/>
        </w:numPr>
        <w:rPr>
          <w:b/>
          <w:bCs/>
        </w:rPr>
      </w:pPr>
      <w:r>
        <w:t>PPP had not substantial effect on employment or hours worked</w:t>
      </w:r>
    </w:p>
    <w:p w14:paraId="5E47D244" w14:textId="06017F95" w:rsidR="00A50DC5" w:rsidRPr="005F5F55" w:rsidRDefault="003A2D97" w:rsidP="00A96E60">
      <w:pPr>
        <w:pStyle w:val="ListParagraph"/>
        <w:numPr>
          <w:ilvl w:val="0"/>
          <w:numId w:val="3"/>
        </w:numPr>
        <w:rPr>
          <w:b/>
          <w:bCs/>
        </w:rPr>
      </w:pPr>
      <w:r>
        <w:t>Businesses are maintaining loaned PPP funds in bank accounts as precautionary savings until they are ready to resume activities</w:t>
      </w:r>
    </w:p>
    <w:p w14:paraId="35AB25F3" w14:textId="0E08A8B9" w:rsidR="001A2A34" w:rsidRPr="005F5F55" w:rsidRDefault="005F5F55" w:rsidP="001A2A34">
      <w:pPr>
        <w:pStyle w:val="ListParagraph"/>
        <w:numPr>
          <w:ilvl w:val="0"/>
          <w:numId w:val="3"/>
        </w:numPr>
        <w:rPr>
          <w:b/>
          <w:bCs/>
        </w:rPr>
      </w:pPr>
      <w:r>
        <w:t>Their results are not consistent with the idea that PPP served as a large-scale alternative to unemployment insurance for delivering funds to affected workers</w:t>
      </w:r>
    </w:p>
    <w:p w14:paraId="6167781C" w14:textId="3868B084" w:rsidR="001A2A34" w:rsidRPr="00B96CB5" w:rsidRDefault="00ED6522" w:rsidP="00B96CB5">
      <w:pPr>
        <w:pStyle w:val="Heading1"/>
        <w:spacing w:before="0" w:line="240" w:lineRule="auto"/>
        <w:rPr>
          <w:rFonts w:ascii="CMR12" w:hAnsi="CMR12" w:cs="CMR12"/>
          <w:sz w:val="24"/>
          <w:szCs w:val="24"/>
        </w:rPr>
      </w:pPr>
      <w:r w:rsidRPr="00B96CB5">
        <w:rPr>
          <w:rFonts w:ascii="CMR12" w:hAnsi="CMR12" w:cs="CMR12"/>
          <w:sz w:val="24"/>
          <w:szCs w:val="24"/>
        </w:rPr>
        <w:t>An Evaluation of the Paycheck Protection Program Using Administrative Payroll Microdata</w:t>
      </w:r>
    </w:p>
    <w:p w14:paraId="62ECFB11" w14:textId="5A8C9D76" w:rsidR="00ED6522" w:rsidRPr="005F5F55" w:rsidRDefault="00DB7933" w:rsidP="004A606B">
      <w:r>
        <w:t xml:space="preserve">Autor, et al. </w:t>
      </w:r>
      <w:r w:rsidR="00ED6522">
        <w:t>July 22, 2020</w:t>
      </w:r>
    </w:p>
    <w:p w14:paraId="15199B37" w14:textId="07097D29" w:rsidR="004A606B" w:rsidRDefault="001A2A34" w:rsidP="005F5F55">
      <w:pPr>
        <w:pStyle w:val="ListParagraph"/>
        <w:numPr>
          <w:ilvl w:val="0"/>
          <w:numId w:val="3"/>
        </w:numPr>
      </w:pPr>
      <w:r w:rsidRPr="005F5F55">
        <w:t xml:space="preserve"> </w:t>
      </w:r>
      <w:r w:rsidR="004A606B">
        <w:t xml:space="preserve">PPP increased </w:t>
      </w:r>
      <w:r w:rsidRPr="005F5F55">
        <w:t xml:space="preserve">the level of employment at eligible </w:t>
      </w:r>
      <w:r w:rsidR="00ED6522" w:rsidRPr="005F5F55">
        <w:t>fi</w:t>
      </w:r>
      <w:r w:rsidRPr="005F5F55">
        <w:t>rms by</w:t>
      </w:r>
      <w:r w:rsidR="00ED6522" w:rsidRPr="005F5F55">
        <w:t xml:space="preserve"> </w:t>
      </w:r>
      <w:r w:rsidRPr="005F5F55">
        <w:t>between 2 percent and 4.5 percent</w:t>
      </w:r>
      <w:r w:rsidR="005F5F55">
        <w:t xml:space="preserve"> through the end of May</w:t>
      </w:r>
      <w:r w:rsidRPr="005F5F55">
        <w:t xml:space="preserve">. </w:t>
      </w:r>
    </w:p>
    <w:p w14:paraId="56326470" w14:textId="1C559CD3" w:rsidR="00ED6522" w:rsidRPr="000437F6" w:rsidRDefault="001A2A34" w:rsidP="000437F6">
      <w:pPr>
        <w:pStyle w:val="ListParagraph"/>
        <w:numPr>
          <w:ilvl w:val="0"/>
          <w:numId w:val="3"/>
        </w:numPr>
      </w:pPr>
      <w:r w:rsidRPr="005F5F55">
        <w:t>These estimates imply that the PPP boosted the level</w:t>
      </w:r>
      <w:r w:rsidR="00ED6522" w:rsidRPr="005F5F55">
        <w:t xml:space="preserve"> </w:t>
      </w:r>
      <w:r w:rsidRPr="005F5F55">
        <w:t>of private employment in the U.S. by between 1.4 and 3.2 million, with a mid-point of 2.3</w:t>
      </w:r>
      <w:r w:rsidR="00ED6522" w:rsidRPr="005F5F55">
        <w:t xml:space="preserve"> </w:t>
      </w:r>
      <w:r w:rsidRPr="005F5F55">
        <w:t>million.</w:t>
      </w:r>
    </w:p>
    <w:p w14:paraId="5AF8EC52" w14:textId="5D10D84B" w:rsidR="00ED6522" w:rsidRPr="00B96CB5" w:rsidRDefault="00ED6522" w:rsidP="00B96CB5">
      <w:pPr>
        <w:pStyle w:val="Heading1"/>
        <w:spacing w:before="0" w:line="240" w:lineRule="auto"/>
        <w:rPr>
          <w:rFonts w:ascii="CMR12" w:hAnsi="CMR12" w:cs="CMR12"/>
          <w:sz w:val="24"/>
          <w:szCs w:val="24"/>
        </w:rPr>
      </w:pPr>
      <w:r w:rsidRPr="00B96CB5">
        <w:rPr>
          <w:rFonts w:ascii="CMR12" w:hAnsi="CMR12" w:cs="CMR12"/>
          <w:sz w:val="24"/>
          <w:szCs w:val="24"/>
        </w:rPr>
        <w:t>Heterogeneity in the Marginal Propensity</w:t>
      </w:r>
      <w:r w:rsidR="00B96CB5">
        <w:rPr>
          <w:rFonts w:ascii="CMR12" w:hAnsi="CMR12" w:cs="CMR12"/>
          <w:sz w:val="24"/>
          <w:szCs w:val="24"/>
        </w:rPr>
        <w:t xml:space="preserve"> </w:t>
      </w:r>
      <w:r w:rsidRPr="00B96CB5">
        <w:rPr>
          <w:rFonts w:ascii="CMR12" w:hAnsi="CMR12" w:cs="CMR12"/>
          <w:sz w:val="24"/>
          <w:szCs w:val="24"/>
        </w:rPr>
        <w:t>to Consume: Evidence from Covid-19</w:t>
      </w:r>
      <w:r w:rsidR="00B96CB5">
        <w:rPr>
          <w:rFonts w:ascii="CMR12" w:hAnsi="CMR12" w:cs="CMR12"/>
          <w:sz w:val="24"/>
          <w:szCs w:val="24"/>
        </w:rPr>
        <w:t xml:space="preserve"> </w:t>
      </w:r>
      <w:r w:rsidRPr="00B96CB5">
        <w:rPr>
          <w:rFonts w:ascii="CMR12" w:hAnsi="CMR12" w:cs="CMR12"/>
          <w:sz w:val="24"/>
          <w:szCs w:val="24"/>
        </w:rPr>
        <w:t>Stimulus Payments</w:t>
      </w:r>
    </w:p>
    <w:p w14:paraId="4FEBADBC" w14:textId="1F74E728" w:rsidR="009C7C9B" w:rsidRDefault="009C7C9B" w:rsidP="009C7C9B"/>
    <w:p w14:paraId="62D4A58C" w14:textId="44BFB10E" w:rsidR="009C7C9B" w:rsidRDefault="007D2CE7" w:rsidP="009C7C9B">
      <w:r>
        <w:t xml:space="preserve">Karger et al. </w:t>
      </w:r>
      <w:r w:rsidR="009C7C9B">
        <w:t>May 29, 2020</w:t>
      </w:r>
    </w:p>
    <w:p w14:paraId="51A4EA5D" w14:textId="3EBFE5B3" w:rsidR="009C7C9B" w:rsidRDefault="009C7C9B" w:rsidP="009C7C9B"/>
    <w:p w14:paraId="48A2BD3A" w14:textId="776F8D28" w:rsidR="00D52CE3" w:rsidRPr="00B97FA7" w:rsidRDefault="009C7C9B" w:rsidP="000437F6">
      <w:pPr>
        <w:pStyle w:val="ListParagraph"/>
        <w:numPr>
          <w:ilvl w:val="0"/>
          <w:numId w:val="4"/>
        </w:numPr>
      </w:pPr>
      <w:r>
        <w:t>They find an average MPC of 0.4 for stimulus payments</w:t>
      </w:r>
    </w:p>
    <w:p w14:paraId="55C57831" w14:textId="1EB70907" w:rsidR="00D52CE3" w:rsidRDefault="00D52CE3" w:rsidP="00B97FA7">
      <w:pPr>
        <w:pStyle w:val="Heading1"/>
        <w:rPr>
          <w:rFonts w:ascii="Times New Roman" w:hAnsi="Times New Roman" w:cs="Times New Roman"/>
          <w:sz w:val="24"/>
          <w:szCs w:val="24"/>
        </w:rPr>
      </w:pPr>
      <w:r>
        <w:rPr>
          <w:rFonts w:ascii="Times New Roman" w:hAnsi="Times New Roman" w:cs="Times New Roman"/>
          <w:sz w:val="24"/>
          <w:szCs w:val="24"/>
        </w:rPr>
        <w:t>Income, Liquidity, and the Consumption Response to the 2020 Economic Stimulus Payments</w:t>
      </w:r>
    </w:p>
    <w:p w14:paraId="6EE21EB7" w14:textId="4383BCE9" w:rsidR="000437F6" w:rsidRPr="000437F6" w:rsidRDefault="00CC6E64" w:rsidP="000437F6">
      <w:r>
        <w:t xml:space="preserve">Baker et al. </w:t>
      </w:r>
      <w:proofErr w:type="gramStart"/>
      <w:r w:rsidR="000437F6">
        <w:t>May,</w:t>
      </w:r>
      <w:proofErr w:type="gramEnd"/>
      <w:r w:rsidR="000437F6">
        <w:t xml:space="preserve"> 2020</w:t>
      </w:r>
    </w:p>
    <w:p w14:paraId="52F65EB8" w14:textId="21792D77" w:rsidR="00B97FA7" w:rsidRPr="00B97FA7" w:rsidRDefault="00716204" w:rsidP="00B97FA7">
      <w:pPr>
        <w:pStyle w:val="ListParagraph"/>
        <w:numPr>
          <w:ilvl w:val="0"/>
          <w:numId w:val="3"/>
        </w:numPr>
      </w:pPr>
      <w:r>
        <w:t>Spending</w:t>
      </w:r>
      <w:r w:rsidR="00B97FA7" w:rsidRPr="005F5F55">
        <w:t xml:space="preserve"> increased</w:t>
      </w:r>
      <w:r>
        <w:t xml:space="preserve"> </w:t>
      </w:r>
      <w:r w:rsidR="00B97FA7" w:rsidRPr="005F5F55">
        <w:t>by 29% of the stimulus amount in the 10 days after receiving payment, mainly driven by food and</w:t>
      </w:r>
      <w:r>
        <w:t xml:space="preserve"> </w:t>
      </w:r>
      <w:r w:rsidR="00B97FA7" w:rsidRPr="005F5F55">
        <w:t>non-durables</w:t>
      </w:r>
    </w:p>
    <w:sectPr w:rsidR="00B97FA7" w:rsidRPr="00B9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Malgun Gothic"/>
    <w:panose1 w:val="00000000000000000000"/>
    <w:charset w:val="00"/>
    <w:family w:val="swiss"/>
    <w:notTrueType/>
    <w:pitch w:val="default"/>
    <w:sig w:usb0="00000003" w:usb1="09060000" w:usb2="00000010" w:usb3="00000000" w:csb0="00080001" w:csb1="00000000"/>
  </w:font>
  <w:font w:name="URWPalladioL-Roma">
    <w:altName w:val="Calibri"/>
    <w:panose1 w:val="00000000000000000000"/>
    <w:charset w:val="00"/>
    <w:family w:val="swiss"/>
    <w:notTrueType/>
    <w:pitch w:val="default"/>
    <w:sig w:usb0="00000003" w:usb1="00000000" w:usb2="00000000" w:usb3="00000000" w:csb0="00000001" w:csb1="00000000"/>
  </w:font>
  <w:font w:name="TimesLTStd-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MR10">
    <w:altName w:val="Calibri"/>
    <w:panose1 w:val="00000000000000000000"/>
    <w:charset w:val="00"/>
    <w:family w:val="swiss"/>
    <w:notTrueType/>
    <w:pitch w:val="default"/>
    <w:sig w:usb0="00000003" w:usb1="09060000" w:usb2="00000010" w:usb3="00000000" w:csb0="00080001" w:csb1="00000000"/>
  </w:font>
  <w:font w:name="CMSY8">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6F5"/>
    <w:multiLevelType w:val="hybridMultilevel"/>
    <w:tmpl w:val="0C7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6954"/>
    <w:multiLevelType w:val="hybridMultilevel"/>
    <w:tmpl w:val="337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40917"/>
    <w:multiLevelType w:val="hybridMultilevel"/>
    <w:tmpl w:val="B5423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83553"/>
    <w:multiLevelType w:val="hybridMultilevel"/>
    <w:tmpl w:val="F826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2310B"/>
    <w:multiLevelType w:val="hybridMultilevel"/>
    <w:tmpl w:val="3A92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44545"/>
    <w:multiLevelType w:val="hybridMultilevel"/>
    <w:tmpl w:val="35AC5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71803"/>
    <w:multiLevelType w:val="hybridMultilevel"/>
    <w:tmpl w:val="C9B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F3"/>
    <w:rsid w:val="000437F6"/>
    <w:rsid w:val="000521CC"/>
    <w:rsid w:val="00090657"/>
    <w:rsid w:val="00104218"/>
    <w:rsid w:val="0016391D"/>
    <w:rsid w:val="001A2A34"/>
    <w:rsid w:val="001E3F9C"/>
    <w:rsid w:val="00202FDF"/>
    <w:rsid w:val="00214FAF"/>
    <w:rsid w:val="002567AE"/>
    <w:rsid w:val="002A51D0"/>
    <w:rsid w:val="00326BD4"/>
    <w:rsid w:val="003339BB"/>
    <w:rsid w:val="00356ED4"/>
    <w:rsid w:val="003804E4"/>
    <w:rsid w:val="003A2D97"/>
    <w:rsid w:val="003E43D8"/>
    <w:rsid w:val="0040445D"/>
    <w:rsid w:val="0046772A"/>
    <w:rsid w:val="0049581A"/>
    <w:rsid w:val="004A606B"/>
    <w:rsid w:val="004C5C65"/>
    <w:rsid w:val="00502B4B"/>
    <w:rsid w:val="005B163D"/>
    <w:rsid w:val="005D589E"/>
    <w:rsid w:val="005F5F55"/>
    <w:rsid w:val="006304D4"/>
    <w:rsid w:val="006A189C"/>
    <w:rsid w:val="006B0AD9"/>
    <w:rsid w:val="00716204"/>
    <w:rsid w:val="00733E3D"/>
    <w:rsid w:val="007359F5"/>
    <w:rsid w:val="00782D2F"/>
    <w:rsid w:val="007D2CE7"/>
    <w:rsid w:val="00816AF3"/>
    <w:rsid w:val="00832443"/>
    <w:rsid w:val="008D7E08"/>
    <w:rsid w:val="008F1390"/>
    <w:rsid w:val="0092225D"/>
    <w:rsid w:val="00941735"/>
    <w:rsid w:val="00975CC5"/>
    <w:rsid w:val="009C7C9B"/>
    <w:rsid w:val="009D712C"/>
    <w:rsid w:val="00A403C2"/>
    <w:rsid w:val="00A50DC5"/>
    <w:rsid w:val="00A83FE5"/>
    <w:rsid w:val="00A96E60"/>
    <w:rsid w:val="00B239C2"/>
    <w:rsid w:val="00B96CB5"/>
    <w:rsid w:val="00B97FA7"/>
    <w:rsid w:val="00BD1472"/>
    <w:rsid w:val="00C02E1D"/>
    <w:rsid w:val="00C22214"/>
    <w:rsid w:val="00C75114"/>
    <w:rsid w:val="00CA3738"/>
    <w:rsid w:val="00CC6E64"/>
    <w:rsid w:val="00CD4A1C"/>
    <w:rsid w:val="00D52CE3"/>
    <w:rsid w:val="00DB7933"/>
    <w:rsid w:val="00DD02B4"/>
    <w:rsid w:val="00E23F53"/>
    <w:rsid w:val="00E3521B"/>
    <w:rsid w:val="00ED6522"/>
    <w:rsid w:val="00EE062C"/>
    <w:rsid w:val="00F61AEB"/>
    <w:rsid w:val="00FB5DF7"/>
    <w:rsid w:val="00FD1202"/>
    <w:rsid w:val="00FF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28F"/>
  <w15:chartTrackingRefBased/>
  <w15:docId w15:val="{EAB4A5B9-1F4C-4B87-BF44-A328D59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536A0C-CE37-445B-BB04-E759F96DE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5BD6F3-B751-4211-9A78-768C29A49C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13673C-EAE7-461D-BD86-20BC8E60D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4</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Alcala Kovalski</dc:creator>
  <cp:keywords/>
  <dc:description/>
  <cp:lastModifiedBy>Manuel Alcala Kovalski</cp:lastModifiedBy>
  <cp:revision>63</cp:revision>
  <dcterms:created xsi:type="dcterms:W3CDTF">2020-09-02T20:18:00Z</dcterms:created>
  <dcterms:modified xsi:type="dcterms:W3CDTF">2020-09-04T19:01:00Z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