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16 w16cex wp14">
  <w:body>
    <w:p w:rsidR="004905E7" w:rsidP="00D5763A" w:rsidRDefault="00D5763A" w14:paraId="03316FDD" w14:textId="77777777">
      <w:pPr>
        <w:jc w:val="center"/>
      </w:pPr>
      <w:r>
        <w:t>FIM Journal</w:t>
      </w:r>
    </w:p>
    <w:p w:rsidRPr="00D5763A" w:rsidR="00D5763A" w:rsidP="00D5763A" w:rsidRDefault="00D5763A" w14:paraId="1A9D322D" w14:textId="77777777">
      <w:pPr>
        <w:jc w:val="center"/>
        <w:rPr>
          <w:i/>
        </w:rPr>
      </w:pPr>
      <w:r>
        <w:rPr>
          <w:i/>
        </w:rPr>
        <w:t>This document is a log of issues, questions, and ideas we’ve discussed around the FIM</w:t>
      </w:r>
    </w:p>
    <w:p w:rsidR="008426B6" w:rsidP="00BA5178" w:rsidRDefault="008426B6" w14:paraId="0DFF2447" w14:textId="1A2387B6">
      <w:pPr>
        <w:pStyle w:val="Heading2"/>
      </w:pPr>
      <w:r>
        <w:t>9/4/2020 Updated Long-Term Budget Projections</w:t>
      </w:r>
    </w:p>
    <w:p w:rsidR="005D1EA0" w:rsidP="008426B6" w:rsidRDefault="005D1EA0" w14:paraId="2874A4D7" w14:textId="4958E3B5">
      <w:r>
        <w:t>In September, the CBO updated their long-term budget projections</w:t>
      </w:r>
      <w:r w:rsidR="009E556B">
        <w:t xml:space="preserve"> for </w:t>
      </w:r>
      <w:hyperlink w:history="1" r:id="rId9">
        <w:r w:rsidRPr="009E556B" w:rsidR="009E556B">
          <w:rPr>
            <w:rStyle w:val="Hyperlink"/>
          </w:rPr>
          <w:t>2020 - 2030</w:t>
        </w:r>
      </w:hyperlink>
      <w:r>
        <w:t xml:space="preserve">. </w:t>
      </w:r>
      <w:r w:rsidR="00376A30">
        <w:t xml:space="preserve">Subsequently, the following changes were </w:t>
      </w:r>
      <w:r w:rsidR="003F4D7E">
        <w:t>made</w:t>
      </w:r>
      <w:r w:rsidR="00376A30">
        <w:t xml:space="preserve"> to the </w:t>
      </w:r>
      <w:r w:rsidR="00BD35C7">
        <w:t>FIM</w:t>
      </w:r>
      <w:r w:rsidR="00376A30">
        <w:t xml:space="preserve">: </w:t>
      </w:r>
    </w:p>
    <w:p w:rsidRPr="00FD2507" w:rsidR="005731FA" w:rsidP="00376A30" w:rsidRDefault="00A60320" w14:paraId="5C3D785E" w14:textId="5EF935A8">
      <w:pPr>
        <w:pStyle w:val="ListParagraph"/>
        <w:numPr>
          <w:ilvl w:val="0"/>
          <w:numId w:val="7"/>
        </w:numPr>
        <w:rPr>
          <w:strike/>
        </w:rPr>
      </w:pPr>
      <w:commentRangeStart w:id="0"/>
      <w:r w:rsidRPr="00FD2507">
        <w:rPr>
          <w:strike/>
        </w:rPr>
        <w:t>Updating the NIPAS translation of the bud</w:t>
      </w:r>
      <w:r w:rsidRPr="00FD2507" w:rsidR="00F31933">
        <w:rPr>
          <w:strike/>
        </w:rPr>
        <w:t>g</w:t>
      </w:r>
      <w:r w:rsidRPr="00FD2507">
        <w:rPr>
          <w:strike/>
        </w:rPr>
        <w:t>et</w:t>
      </w:r>
      <w:r w:rsidRPr="00FD2507" w:rsidR="00EB3773">
        <w:rPr>
          <w:strike/>
        </w:rPr>
        <w:t>. See</w:t>
      </w:r>
      <w:r w:rsidRPr="00FD2507" w:rsidR="00072581">
        <w:rPr>
          <w:strike/>
        </w:rPr>
        <w:t xml:space="preserve"> “workbook” sheet in the</w:t>
      </w:r>
      <w:r w:rsidRPr="00FD2507" w:rsidR="00EB3773">
        <w:rPr>
          <w:strike/>
        </w:rPr>
        <w:t xml:space="preserve"> </w:t>
      </w:r>
      <w:r w:rsidRPr="00FD2507" w:rsidR="00DF71B1">
        <w:rPr>
          <w:strike/>
        </w:rPr>
        <w:t>“</w:t>
      </w:r>
      <w:hyperlink w:history="1" r:id="rId10">
        <w:r w:rsidRPr="00FD2507" w:rsidR="00DF71B1">
          <w:rPr>
            <w:rStyle w:val="Hyperlink"/>
            <w:strike/>
          </w:rPr>
          <w:t>NIPAS translation workbook</w:t>
        </w:r>
      </w:hyperlink>
      <w:r w:rsidRPr="00FD2507" w:rsidR="00DF71B1">
        <w:rPr>
          <w:strike/>
        </w:rPr>
        <w:t xml:space="preserve">” excel </w:t>
      </w:r>
      <w:r w:rsidRPr="00FD2507" w:rsidR="00072581">
        <w:rPr>
          <w:strike/>
        </w:rPr>
        <w:t>file</w:t>
      </w:r>
      <w:r w:rsidRPr="00FD2507" w:rsidR="00DF71B1">
        <w:rPr>
          <w:strike/>
        </w:rPr>
        <w:t>.</w:t>
      </w:r>
    </w:p>
    <w:p w:rsidRPr="00FD2507" w:rsidR="005731FA" w:rsidP="005731FA" w:rsidRDefault="005731FA" w14:paraId="727C8105" w14:textId="77777777">
      <w:pPr>
        <w:pStyle w:val="ListParagraph"/>
        <w:numPr>
          <w:ilvl w:val="1"/>
          <w:numId w:val="7"/>
        </w:numPr>
        <w:rPr>
          <w:strike/>
        </w:rPr>
      </w:pPr>
      <w:r w:rsidRPr="00FD2507">
        <w:rPr>
          <w:strike/>
        </w:rPr>
        <w:t>Calculate</w:t>
      </w:r>
      <w:r w:rsidRPr="00FD2507" w:rsidR="00376A30">
        <w:rPr>
          <w:strike/>
        </w:rPr>
        <w:t xml:space="preserve"> the growth rates of NIPA line items in the Budget from the May 2019 </w:t>
      </w:r>
      <w:r w:rsidRPr="00FD2507" w:rsidR="00BD35C7">
        <w:rPr>
          <w:strike/>
        </w:rPr>
        <w:t>u</w:t>
      </w:r>
      <w:r w:rsidRPr="00FD2507" w:rsidR="00376A30">
        <w:rPr>
          <w:strike/>
        </w:rPr>
        <w:t xml:space="preserve">pdate to the September 2020 </w:t>
      </w:r>
      <w:r w:rsidRPr="00FD2507" w:rsidR="00BD35C7">
        <w:rPr>
          <w:strike/>
        </w:rPr>
        <w:t>update</w:t>
      </w:r>
    </w:p>
    <w:p w:rsidRPr="00FD2507" w:rsidR="005731FA" w:rsidP="005731FA" w:rsidRDefault="005731FA" w14:paraId="095D35C4" w14:textId="77777777">
      <w:pPr>
        <w:pStyle w:val="ListParagraph"/>
        <w:numPr>
          <w:ilvl w:val="1"/>
          <w:numId w:val="7"/>
        </w:numPr>
        <w:rPr>
          <w:strike/>
        </w:rPr>
      </w:pPr>
      <w:r w:rsidRPr="00FD2507">
        <w:rPr>
          <w:strike/>
        </w:rPr>
        <w:t>Apply the growth rates to the last NIPAs budgetary translation from June 2019</w:t>
      </w:r>
    </w:p>
    <w:p w:rsidRPr="00FD2507" w:rsidR="00376A30" w:rsidP="005731FA" w:rsidRDefault="00362C75" w14:paraId="0E26637F" w14:textId="62077E11">
      <w:pPr>
        <w:pStyle w:val="ListParagraph"/>
        <w:numPr>
          <w:ilvl w:val="1"/>
          <w:numId w:val="7"/>
        </w:numPr>
        <w:rPr>
          <w:strike/>
        </w:rPr>
      </w:pPr>
      <w:r w:rsidRPr="00FD2507">
        <w:rPr>
          <w:strike/>
        </w:rPr>
        <w:t>Update the “</w:t>
      </w:r>
      <w:proofErr w:type="spellStart"/>
      <w:r w:rsidRPr="00FD2507">
        <w:rPr>
          <w:strike/>
        </w:rPr>
        <w:t>cbo_nipas_budget_</w:t>
      </w:r>
      <w:r w:rsidRPr="00FD2507" w:rsidR="00752D17">
        <w:rPr>
          <w:strike/>
        </w:rPr>
        <w:t>annual</w:t>
      </w:r>
      <w:proofErr w:type="spellEnd"/>
      <w:r w:rsidRPr="00FD2507" w:rsidR="00752D17">
        <w:rPr>
          <w:strike/>
        </w:rPr>
        <w:t>” with</w:t>
      </w:r>
      <w:r w:rsidRPr="00FD2507" w:rsidR="00B15BF3">
        <w:rPr>
          <w:strike/>
        </w:rPr>
        <w:t xml:space="preserve"> the new calculated numbers from (b).</w:t>
      </w:r>
      <w:commentRangeEnd w:id="0"/>
      <w:r w:rsidR="00FD2507">
        <w:rPr>
          <w:rStyle w:val="CommentReference"/>
          <w:rFonts w:eastAsia="Times New Roman" w:asciiTheme="minorHAnsi" w:hAnsiTheme="minorHAnsi"/>
        </w:rPr>
        <w:commentReference w:id="0"/>
      </w:r>
    </w:p>
    <w:p w:rsidR="00B15BF3" w:rsidP="00625F28" w:rsidRDefault="00625F28" w14:paraId="6BA8BB65" w14:textId="328B7CC3">
      <w:pPr>
        <w:pStyle w:val="ListParagraph"/>
        <w:numPr>
          <w:ilvl w:val="0"/>
          <w:numId w:val="7"/>
        </w:numPr>
      </w:pPr>
      <w:r>
        <w:t xml:space="preserve">Remove the applicable add factors in the </w:t>
      </w:r>
      <w:proofErr w:type="spellStart"/>
      <w:proofErr w:type="gramStart"/>
      <w:r w:rsidR="0071343A">
        <w:t>calculations.r</w:t>
      </w:r>
      <w:proofErr w:type="spellEnd"/>
      <w:proofErr w:type="gramEnd"/>
      <w:r>
        <w:t xml:space="preserve"> code</w:t>
      </w:r>
      <w:r w:rsidR="00041806">
        <w:t>. The following were removed</w:t>
      </w:r>
    </w:p>
    <w:p w:rsidR="00625F28" w:rsidP="00625F28" w:rsidRDefault="0069554B" w14:paraId="0C562462" w14:textId="37289ADC">
      <w:pPr>
        <w:pStyle w:val="ListParagraph"/>
        <w:numPr>
          <w:ilvl w:val="1"/>
          <w:numId w:val="7"/>
        </w:numPr>
      </w:pPr>
      <w:proofErr w:type="spellStart"/>
      <w:r>
        <w:t>add_state_expenditures</w:t>
      </w:r>
      <w:proofErr w:type="spellEnd"/>
    </w:p>
    <w:p w:rsidR="0069554B" w:rsidP="00625F28" w:rsidRDefault="00D33519" w14:paraId="2D5E5455" w14:textId="07981AEA">
      <w:pPr>
        <w:pStyle w:val="ListParagraph"/>
        <w:numPr>
          <w:ilvl w:val="1"/>
          <w:numId w:val="7"/>
        </w:numPr>
      </w:pPr>
      <w:proofErr w:type="spellStart"/>
      <w:r>
        <w:t>federal_corp_taxes</w:t>
      </w:r>
      <w:proofErr w:type="spellEnd"/>
      <w:r>
        <w:t xml:space="preserve"> and </w:t>
      </w:r>
      <w:proofErr w:type="spellStart"/>
      <w:r>
        <w:t>federal_norcorp_taxes</w:t>
      </w:r>
      <w:proofErr w:type="spellEnd"/>
    </w:p>
    <w:p w:rsidR="002C225B" w:rsidP="00B55A1E" w:rsidRDefault="00F85695" w14:paraId="3BB10C59" w14:textId="3F38FCDC">
      <w:pPr>
        <w:pStyle w:val="ListParagraph"/>
        <w:numPr>
          <w:ilvl w:val="0"/>
          <w:numId w:val="7"/>
        </w:numPr>
      </w:pPr>
      <w:r>
        <w:t>Although we first though</w:t>
      </w:r>
      <w:r w:rsidR="008D0E4C">
        <w:t>t</w:t>
      </w:r>
      <w:r>
        <w:t xml:space="preserve"> </w:t>
      </w:r>
      <w:r w:rsidR="008D0E4C">
        <w:t xml:space="preserve">the addons for federal health and federal social benefits should be removed we have to </w:t>
      </w:r>
      <w:r w:rsidR="00340F34">
        <w:t>still include and adjust them</w:t>
      </w:r>
      <w:r w:rsidR="008D0E4C">
        <w:t xml:space="preserve"> in </w:t>
      </w:r>
      <w:r w:rsidR="00340F34">
        <w:t xml:space="preserve">the code </w:t>
      </w:r>
      <w:r w:rsidR="008D0E4C">
        <w:t xml:space="preserve">because </w:t>
      </w:r>
      <w:r w:rsidR="00340F34">
        <w:t xml:space="preserve">without doing so </w:t>
      </w:r>
      <w:r w:rsidR="001E1BD6">
        <w:t xml:space="preserve">the updated levels for Q2 2020 </w:t>
      </w:r>
      <w:r w:rsidR="0003415A">
        <w:t xml:space="preserve">will continue indefinitely (as if the </w:t>
      </w:r>
      <w:r w:rsidR="00BA074A">
        <w:t>legislative</w:t>
      </w:r>
      <w:r w:rsidR="0003415A">
        <w:t xml:space="preserve"> changes continue forever). </w:t>
      </w:r>
      <w:r w:rsidR="00BA074A">
        <w:t>So,</w:t>
      </w:r>
      <w:r w:rsidR="0003415A">
        <w:t xml:space="preserve"> we</w:t>
      </w:r>
      <w:r w:rsidR="00BA074A">
        <w:t xml:space="preserve"> </w:t>
      </w:r>
      <w:r w:rsidR="0003415A">
        <w:t>add in the add factors for these federal po</w:t>
      </w:r>
      <w:r w:rsidR="00E863A7">
        <w:t>r</w:t>
      </w:r>
      <w:r w:rsidR="0003415A">
        <w:t xml:space="preserve">tions to account for the </w:t>
      </w:r>
      <w:r w:rsidR="00D60A82">
        <w:t xml:space="preserve">changes in spending </w:t>
      </w:r>
      <w:r w:rsidR="00BA074A">
        <w:t xml:space="preserve">and timing </w:t>
      </w:r>
      <w:r w:rsidR="00D60A82">
        <w:t xml:space="preserve">for the various </w:t>
      </w:r>
      <w:r w:rsidR="00BA074A">
        <w:t>legislation.</w:t>
      </w:r>
      <w:r w:rsidR="008D0E4C">
        <w:t xml:space="preserve"> </w:t>
      </w:r>
      <w:r>
        <w:t xml:space="preserve"> </w:t>
      </w:r>
    </w:p>
    <w:p w:rsidR="000D01BA" w:rsidP="00B55A1E" w:rsidRDefault="000D01BA" w14:paraId="323B6ADF" w14:textId="1169D3D8">
      <w:pPr>
        <w:pStyle w:val="ListParagraph"/>
        <w:numPr>
          <w:ilvl w:val="0"/>
          <w:numId w:val="7"/>
        </w:numPr>
      </w:pPr>
      <w:r>
        <w:t>Updated the</w:t>
      </w:r>
      <w:r w:rsidR="00D33519">
        <w:t xml:space="preserve"> remaining</w:t>
      </w:r>
      <w:r>
        <w:t xml:space="preserve"> state </w:t>
      </w:r>
      <w:r w:rsidR="003F04C7">
        <w:t xml:space="preserve">and federal </w:t>
      </w:r>
      <w:r>
        <w:t>add-ons</w:t>
      </w:r>
      <w:r w:rsidR="003E2BF4">
        <w:t xml:space="preserve"> using </w:t>
      </w:r>
      <w:bookmarkStart w:name="_Hlk51155402" w:id="1"/>
      <w:r w:rsidR="003E2BF4">
        <w:t xml:space="preserve">the </w:t>
      </w:r>
      <w:r w:rsidR="00BE0BBC">
        <w:t xml:space="preserve">“add-ons” tab in the </w:t>
      </w:r>
      <w:hyperlink w:history="1" r:id="rId14">
        <w:r w:rsidR="00BE0BBC">
          <w:rPr>
            <w:rStyle w:val="Hyperlink"/>
          </w:rPr>
          <w:t>LSFIM_KY_v2</w:t>
        </w:r>
      </w:hyperlink>
      <w:r w:rsidR="00BE0BBC">
        <w:t xml:space="preserve"> file</w:t>
      </w:r>
    </w:p>
    <w:bookmarkEnd w:id="1"/>
    <w:p w:rsidR="00C778A4" w:rsidP="00C778A4" w:rsidRDefault="00147436" w14:paraId="348EE454" w14:textId="324FE623">
      <w:pPr>
        <w:pStyle w:val="ListParagraph"/>
        <w:numPr>
          <w:ilvl w:val="1"/>
          <w:numId w:val="7"/>
        </w:numPr>
      </w:pPr>
      <w:r>
        <w:t>Updated the historical data (mainly 2020 q2) with the revised numbers from BEA</w:t>
      </w:r>
    </w:p>
    <w:p w:rsidR="00FF413C" w:rsidP="00C778A4" w:rsidRDefault="00FF413C" w14:paraId="60689908" w14:textId="228F5304">
      <w:pPr>
        <w:pStyle w:val="ListParagraph"/>
        <w:numPr>
          <w:ilvl w:val="1"/>
          <w:numId w:val="7"/>
        </w:numPr>
      </w:pPr>
      <w:r>
        <w:t xml:space="preserve">Update the legislation data </w:t>
      </w:r>
      <w:r w:rsidR="00DD0BFC">
        <w:t xml:space="preserve">using revised estimates from the </w:t>
      </w:r>
      <w:hyperlink w:history="1" r:id="rId15">
        <w:r w:rsidRPr="00BE4B53" w:rsidR="00DD0BFC">
          <w:rPr>
            <w:rStyle w:val="Hyperlink"/>
          </w:rPr>
          <w:t>CBO September release</w:t>
        </w:r>
      </w:hyperlink>
    </w:p>
    <w:p w:rsidR="00147436" w:rsidP="00C778A4" w:rsidRDefault="00147436" w14:paraId="343C5062" w14:textId="6F833E18">
      <w:pPr>
        <w:pStyle w:val="ListParagraph"/>
        <w:numPr>
          <w:ilvl w:val="1"/>
          <w:numId w:val="7"/>
        </w:numPr>
      </w:pPr>
      <w:r>
        <w:t>Reran the FIM without any addons and update the no-add on columns appropriately</w:t>
      </w:r>
    </w:p>
    <w:p w:rsidR="0063242D" w:rsidP="00C778A4" w:rsidRDefault="0063242D" w14:paraId="6ACD2A89" w14:textId="5B58A1E8">
      <w:pPr>
        <w:pStyle w:val="ListParagraph"/>
        <w:numPr>
          <w:ilvl w:val="1"/>
          <w:numId w:val="7"/>
        </w:numPr>
      </w:pPr>
      <w:r>
        <w:t>New add-ons w</w:t>
      </w:r>
      <w:r w:rsidR="00430B92">
        <w:t>ill be calculated automatically. Update r code with the new figures</w:t>
      </w:r>
    </w:p>
    <w:p w:rsidR="00AB77FE" w:rsidP="00B55A1E" w:rsidRDefault="00AB77FE" w14:paraId="0222E723" w14:textId="33FED9E2">
      <w:pPr>
        <w:pStyle w:val="ListParagraph"/>
        <w:numPr>
          <w:ilvl w:val="0"/>
          <w:numId w:val="7"/>
        </w:numPr>
      </w:pPr>
      <w:r>
        <w:t xml:space="preserve">Redirecting the </w:t>
      </w:r>
      <w:r w:rsidR="00430B92">
        <w:t>Cons Grants</w:t>
      </w:r>
      <w:r>
        <w:t xml:space="preserve"> timing </w:t>
      </w:r>
    </w:p>
    <w:p w:rsidR="00430B92" w:rsidP="00430B92" w:rsidRDefault="00144B9D" w14:paraId="476AB036" w14:textId="1D8E5557">
      <w:pPr>
        <w:pStyle w:val="ListParagraph"/>
        <w:numPr>
          <w:ilvl w:val="1"/>
          <w:numId w:val="7"/>
        </w:numPr>
      </w:pPr>
      <w:r>
        <w:t xml:space="preserve">Why? BEA has </w:t>
      </w:r>
      <w:r w:rsidR="00A74E4A">
        <w:t>put all the grants (</w:t>
      </w:r>
      <w:r w:rsidR="002904E4">
        <w:t>coronavirus</w:t>
      </w:r>
      <w:r w:rsidR="00A74E4A">
        <w:t xml:space="preserve"> relief funds and education grants) in the second quarter of 2020. We believe that the timing of the grants, although having been provided to states now, will be spent different. We will</w:t>
      </w:r>
      <w:r w:rsidR="002904E4">
        <w:t xml:space="preserve"> input our timing assumptions into the data by doing the following: </w:t>
      </w:r>
    </w:p>
    <w:p w:rsidRPr="00B13E86" w:rsidR="002904E4" w:rsidP="00430B92" w:rsidRDefault="002904E4" w14:paraId="0D2C207B" w14:textId="50CEE35F">
      <w:pPr>
        <w:pStyle w:val="ListParagraph"/>
        <w:numPr>
          <w:ilvl w:val="1"/>
          <w:numId w:val="7"/>
        </w:numPr>
        <w:rPr>
          <w:u w:val="single"/>
        </w:rPr>
      </w:pPr>
      <w:r>
        <w:t xml:space="preserve">For the second quarter of 2020 we will force the data to equal the </w:t>
      </w:r>
      <w:proofErr w:type="spellStart"/>
      <w:r>
        <w:t>cgrants</w:t>
      </w:r>
      <w:proofErr w:type="spellEnd"/>
      <w:r>
        <w:t xml:space="preserve"> levels without </w:t>
      </w:r>
      <w:proofErr w:type="spellStart"/>
      <w:r>
        <w:t>covid</w:t>
      </w:r>
      <w:proofErr w:type="spellEnd"/>
      <w:r>
        <w:t xml:space="preserve"> (181.52) [</w:t>
      </w:r>
      <w:r w:rsidR="00624A05">
        <w:t xml:space="preserve">calculated </w:t>
      </w:r>
      <w:r>
        <w:t>in the addons file referenced below]</w:t>
      </w:r>
      <w:r w:rsidR="006719B5">
        <w:t xml:space="preserve">. </w:t>
      </w:r>
      <w:r w:rsidRPr="00B13E86" w:rsidR="006719B5">
        <w:rPr>
          <w:u w:val="single"/>
        </w:rPr>
        <w:t xml:space="preserve">This is in </w:t>
      </w:r>
      <w:r w:rsidRPr="00B13E86" w:rsidR="00B13E86">
        <w:rPr>
          <w:u w:val="single"/>
        </w:rPr>
        <w:t xml:space="preserve">line 112 in the </w:t>
      </w:r>
      <w:proofErr w:type="spellStart"/>
      <w:r w:rsidRPr="00B13E86" w:rsidR="00B13E86">
        <w:rPr>
          <w:u w:val="single"/>
        </w:rPr>
        <w:t>fim_</w:t>
      </w:r>
      <w:proofErr w:type="gramStart"/>
      <w:r w:rsidRPr="00B13E86" w:rsidR="00B13E86">
        <w:rPr>
          <w:u w:val="single"/>
        </w:rPr>
        <w:t>calculations.r</w:t>
      </w:r>
      <w:proofErr w:type="spellEnd"/>
      <w:proofErr w:type="gramEnd"/>
      <w:r w:rsidRPr="00B13E86" w:rsidR="00B13E86">
        <w:rPr>
          <w:u w:val="single"/>
        </w:rPr>
        <w:t xml:space="preserve"> file.</w:t>
      </w:r>
    </w:p>
    <w:p w:rsidR="00BA074A" w:rsidP="00DA74FC" w:rsidRDefault="002904E4" w14:paraId="0DD9705E" w14:textId="751EA6DC">
      <w:pPr>
        <w:pStyle w:val="ListParagraph"/>
        <w:numPr>
          <w:ilvl w:val="1"/>
          <w:numId w:val="7"/>
        </w:numPr>
      </w:pPr>
      <w:r>
        <w:t>Smooth the legislation spending evenly over the next 6 quarters (from q3 2020 to q4 2021</w:t>
      </w:r>
      <w:r w:rsidR="00734E6D">
        <w:t>)</w:t>
      </w:r>
      <w:r>
        <w:t xml:space="preserve">. See  </w:t>
      </w:r>
      <w:r w:rsidR="00DA74FC">
        <w:t xml:space="preserve">the Federal Cons Grants </w:t>
      </w:r>
      <w:bookmarkStart w:name="_GoBack" w:id="2"/>
      <w:bookmarkEnd w:id="2"/>
      <w:r w:rsidR="00DA74FC">
        <w:t xml:space="preserve">category in the </w:t>
      </w:r>
      <w:r w:rsidRPr="00DA74FC" w:rsidR="00DA74FC">
        <w:t xml:space="preserve">“add-ons” tab </w:t>
      </w:r>
      <w:r w:rsidR="00DA74FC">
        <w:t xml:space="preserve">in the </w:t>
      </w:r>
      <w:hyperlink w:history="1" r:id="rId16">
        <w:r w:rsidR="00DA74FC">
          <w:rPr>
            <w:rStyle w:val="Hyperlink"/>
          </w:rPr>
          <w:t>LSFIM_KY_v2</w:t>
        </w:r>
      </w:hyperlink>
      <w:r w:rsidR="00DA74FC">
        <w:t xml:space="preserve"> file</w:t>
      </w:r>
    </w:p>
    <w:p w:rsidR="00BA074A" w:rsidP="00BA074A" w:rsidRDefault="00BA074A" w14:paraId="757EC4B3" w14:textId="41948160">
      <w:pPr>
        <w:pStyle w:val="ListParagraph"/>
        <w:numPr>
          <w:ilvl w:val="0"/>
          <w:numId w:val="7"/>
        </w:numPr>
      </w:pPr>
      <w:r>
        <w:t>Updating the MPCs for Social Benefits and MPCs – see the sheet “MPC” in “</w:t>
      </w:r>
      <w:hyperlink w:history="1" r:id="rId17">
        <w:r w:rsidR="00A8299B">
          <w:rPr>
            <w:rStyle w:val="Hyperlink"/>
          </w:rPr>
          <w:t>LSFIM_KY_v2</w:t>
        </w:r>
      </w:hyperlink>
      <w:r>
        <w:t>” file</w:t>
      </w:r>
    </w:p>
    <w:p w:rsidR="009334B1" w:rsidP="00BA074A" w:rsidRDefault="009334B1" w14:paraId="6F588E0F" w14:textId="1C3F37E4">
      <w:pPr>
        <w:pStyle w:val="ListParagraph"/>
        <w:numPr>
          <w:ilvl w:val="0"/>
          <w:numId w:val="7"/>
        </w:numPr>
      </w:pPr>
      <w:r>
        <w:t xml:space="preserve">Adding the Wage Loss Assistance program to </w:t>
      </w:r>
      <w:proofErr w:type="gramStart"/>
      <w:r>
        <w:t>our</w:t>
      </w:r>
      <w:proofErr w:type="gramEnd"/>
      <w:r>
        <w:t xml:space="preserve"> add factors</w:t>
      </w:r>
    </w:p>
    <w:p w:rsidR="009334B1" w:rsidP="009334B1" w:rsidRDefault="00886747" w14:paraId="56750749" w14:textId="5186A747">
      <w:pPr>
        <w:pStyle w:val="ListParagraph"/>
        <w:numPr>
          <w:ilvl w:val="1"/>
          <w:numId w:val="7"/>
        </w:numPr>
      </w:pPr>
      <w:r>
        <w:t xml:space="preserve">Why? </w:t>
      </w:r>
      <w:r w:rsidR="00F85B07">
        <w:t>CBO did not include executive action passed on</w:t>
      </w:r>
      <w:r>
        <w:t xml:space="preserve"> August 12</w:t>
      </w:r>
      <w:r w:rsidRPr="00886747">
        <w:rPr>
          <w:vertAlign w:val="superscript"/>
        </w:rPr>
        <w:t>th</w:t>
      </w:r>
      <w:r w:rsidR="00F85B07">
        <w:t xml:space="preserve"> which</w:t>
      </w:r>
      <w:r w:rsidR="00614BD8">
        <w:t xml:space="preserve"> extend</w:t>
      </w:r>
      <w:r w:rsidR="00F85B07">
        <w:t>ed</w:t>
      </w:r>
      <w:r w:rsidR="00614BD8">
        <w:t xml:space="preserve"> UI until December 6</w:t>
      </w:r>
      <w:r w:rsidRPr="00614BD8" w:rsidR="00614BD8">
        <w:rPr>
          <w:vertAlign w:val="superscript"/>
        </w:rPr>
        <w:t>th</w:t>
      </w:r>
      <w:r w:rsidR="00614BD8">
        <w:t>, 2020</w:t>
      </w:r>
      <w:r w:rsidR="0098787E">
        <w:t xml:space="preserve"> or until $44 billion have been disbursed</w:t>
      </w:r>
      <w:r w:rsidR="00614BD8">
        <w:t>.</w:t>
      </w:r>
      <w:r w:rsidR="0098787E">
        <w:t xml:space="preserve"> Whichever comes first.</w:t>
      </w:r>
      <w:r w:rsidR="00614BD8">
        <w:t xml:space="preserve"> States have until September 10</w:t>
      </w:r>
      <w:r w:rsidRPr="00614BD8" w:rsidR="00614BD8">
        <w:rPr>
          <w:vertAlign w:val="superscript"/>
        </w:rPr>
        <w:t>th</w:t>
      </w:r>
      <w:r w:rsidR="00614BD8">
        <w:t xml:space="preserve">, 2020 to apply </w:t>
      </w:r>
      <w:r w:rsidR="00794733">
        <w:t>and some have started to disburse funds. These states will get $300 per wee</w:t>
      </w:r>
      <w:r w:rsidR="0098787E">
        <w:t xml:space="preserve">k in enhanced unemployment benefits. </w:t>
      </w:r>
    </w:p>
    <w:p w:rsidR="0098787E" w:rsidP="009334B1" w:rsidRDefault="00F85B07" w14:paraId="7BCC6B4B" w14:textId="3E3354B4">
      <w:pPr>
        <w:pStyle w:val="ListParagraph"/>
        <w:numPr>
          <w:ilvl w:val="1"/>
          <w:numId w:val="7"/>
        </w:numPr>
      </w:pPr>
      <w:r>
        <w:t xml:space="preserve">As of 9/9/2020 </w:t>
      </w:r>
      <w:r w:rsidR="00A729CE">
        <w:t xml:space="preserve">47 states have been approved, 2 states have applied but not yet approved, and 1 state will not apply. Of </w:t>
      </w:r>
      <w:r w:rsidR="003B080D">
        <w:t>approved states, 11 have already started disbursing funds</w:t>
      </w:r>
      <w:r w:rsidR="001067A1">
        <w:t xml:space="preserve"> and 12 more will do so mid to late September. The remaining states have not announced when their programs start or will start in October. Therefore, most spending will happen in Q4 2020 (calendar year)</w:t>
      </w:r>
    </w:p>
    <w:p w:rsidR="001067A1" w:rsidP="009334B1" w:rsidRDefault="002D3D5D" w14:paraId="4AEAF030" w14:textId="0E7D84C4">
      <w:pPr>
        <w:pStyle w:val="ListParagraph"/>
        <w:numPr>
          <w:ilvl w:val="1"/>
          <w:numId w:val="7"/>
        </w:numPr>
      </w:pPr>
      <w:r>
        <w:t>Indicated as “Trump UI” in the main tab of “</w:t>
      </w:r>
      <w:hyperlink w:history="1" r:id="rId18">
        <w:r w:rsidRPr="001F247C">
          <w:rPr>
            <w:rStyle w:val="Hyperlink"/>
          </w:rPr>
          <w:t>LSFIM_KY_v2</w:t>
        </w:r>
      </w:hyperlink>
      <w:r>
        <w:t>” we added</w:t>
      </w:r>
      <w:r w:rsidR="00C62A89">
        <w:t xml:space="preserve">. We did 25% in </w:t>
      </w:r>
      <w:r w:rsidR="0031612F">
        <w:t xml:space="preserve">2020 Q3 and the remaining in 2020 Q4. These were also annualized. </w:t>
      </w:r>
      <w:r w:rsidR="001F247C">
        <w:t xml:space="preserve">This gets added to total Federal UI and subsequently will update the rest of the spreadsheet and add factors accordingly. </w:t>
      </w:r>
    </w:p>
    <w:p w:rsidR="00E34E32" w:rsidP="009334B1" w:rsidRDefault="00E34E32" w14:paraId="6AE99F57" w14:textId="166DD147">
      <w:pPr>
        <w:pStyle w:val="ListParagraph"/>
        <w:numPr>
          <w:ilvl w:val="1"/>
          <w:numId w:val="7"/>
        </w:numPr>
      </w:pPr>
      <w:r>
        <w:t>Further documentation can be found under COVID-19 Changes/September/WLA. Data for each states program can be found in WLA/data/</w:t>
      </w:r>
      <w:r w:rsidR="005D5F04">
        <w:t xml:space="preserve">wla.csv and an R notebook called “summary.nb.html” summarizing the data can be found under WLA/code. </w:t>
      </w:r>
    </w:p>
    <w:p w:rsidR="2C6DE2CA" w:rsidP="20DBAFF1" w:rsidRDefault="2C6DE2CA" w14:paraId="12ED11B2" w14:textId="17FB9502">
      <w:pPr>
        <w:pStyle w:val="ListParagraph"/>
        <w:numPr>
          <w:ilvl w:val="1"/>
          <w:numId w:val="7"/>
        </w:numPr>
      </w:pPr>
      <w:r>
        <w:t xml:space="preserve">Dashboard on unemployment insurance </w:t>
      </w:r>
      <w:hyperlink r:id="rId19">
        <w:r w:rsidRPr="20DBAFF1">
          <w:rPr>
            <w:rStyle w:val="Hyperlink"/>
          </w:rPr>
          <w:t>here</w:t>
        </w:r>
      </w:hyperlink>
    </w:p>
    <w:p w:rsidR="33C7EAB8" w:rsidP="20DBAFF1" w:rsidRDefault="33C7EAB8" w14:paraId="0D0CD81E" w14:textId="43F7F624">
      <w:pPr>
        <w:pStyle w:val="ListParagraph"/>
        <w:numPr>
          <w:ilvl w:val="1"/>
          <w:numId w:val="7"/>
        </w:numPr>
      </w:pPr>
      <w:r>
        <w:t xml:space="preserve">Useful data </w:t>
      </w:r>
      <w:hyperlink w:anchor="gid=0" r:id="rId20">
        <w:r w:rsidRPr="20DBAFF1">
          <w:rPr>
            <w:rStyle w:val="Hyperlink"/>
          </w:rPr>
          <w:t>here</w:t>
        </w:r>
      </w:hyperlink>
    </w:p>
    <w:p w:rsidR="00421FD6" w:rsidP="00421FD6" w:rsidRDefault="00421FD6" w14:paraId="37308B9F" w14:textId="5A0D711A">
      <w:pPr>
        <w:pStyle w:val="ListParagraph"/>
        <w:numPr>
          <w:ilvl w:val="0"/>
          <w:numId w:val="7"/>
        </w:numPr>
      </w:pPr>
      <w:commentRangeStart w:id="3"/>
      <w:r>
        <w:t xml:space="preserve">Change </w:t>
      </w:r>
      <w:r w:rsidR="000C0B2B">
        <w:t xml:space="preserve">code so growth rates consider </w:t>
      </w:r>
      <w:r w:rsidR="00420802">
        <w:t xml:space="preserve">CBO quarterly data. </w:t>
      </w:r>
    </w:p>
    <w:p w:rsidR="00420802" w:rsidP="00420802" w:rsidRDefault="00420802" w14:paraId="417B32BC" w14:textId="17B35EC2">
      <w:pPr>
        <w:pStyle w:val="ListParagraph"/>
        <w:numPr>
          <w:ilvl w:val="1"/>
          <w:numId w:val="7"/>
        </w:numPr>
      </w:pPr>
      <w:r>
        <w:t>Currently, we ignore data for growth rates until all four quarters come out</w:t>
      </w:r>
    </w:p>
    <w:p w:rsidR="00420802" w:rsidP="00420802" w:rsidRDefault="00420802" w14:paraId="5746DC45" w14:textId="1802DA35">
      <w:pPr>
        <w:pStyle w:val="ListParagraph"/>
        <w:numPr>
          <w:ilvl w:val="1"/>
          <w:numId w:val="7"/>
        </w:numPr>
      </w:pPr>
      <w:r>
        <w:t>Sheet of CBO growth rates</w:t>
      </w:r>
    </w:p>
    <w:p w:rsidR="00420802" w:rsidP="00420802" w:rsidRDefault="00420802" w14:paraId="1CA2BBF2" w14:textId="515B6328">
      <w:pPr>
        <w:pStyle w:val="ListParagraph"/>
        <w:numPr>
          <w:ilvl w:val="1"/>
          <w:numId w:val="7"/>
        </w:numPr>
      </w:pPr>
      <w:r>
        <w:t xml:space="preserve">Check our </w:t>
      </w:r>
      <w:proofErr w:type="spellStart"/>
      <w:r>
        <w:t>fim</w:t>
      </w:r>
      <w:proofErr w:type="spellEnd"/>
      <w:r>
        <w:t xml:space="preserve"> projections match with CBO</w:t>
      </w:r>
      <w:commentRangeEnd w:id="3"/>
      <w:r w:rsidR="0015759F">
        <w:rPr>
          <w:rStyle w:val="CommentReference"/>
          <w:rFonts w:eastAsia="Times New Roman" w:asciiTheme="minorHAnsi" w:hAnsiTheme="minorHAnsi"/>
        </w:rPr>
        <w:commentReference w:id="3"/>
      </w:r>
    </w:p>
    <w:p w:rsidR="00777052" w:rsidP="00777052" w:rsidRDefault="00777052" w14:paraId="7FD5DEBB" w14:textId="7FA4F8E6">
      <w:pPr>
        <w:pStyle w:val="ListParagraph"/>
        <w:numPr>
          <w:ilvl w:val="0"/>
          <w:numId w:val="7"/>
        </w:numPr>
      </w:pPr>
      <w:r>
        <w:t>Louise overriding growth rate of S&amp;L purchases with her own assumptions</w:t>
      </w:r>
    </w:p>
    <w:p w:rsidR="00777052" w:rsidP="00777052" w:rsidRDefault="00777052" w14:paraId="119723E7" w14:textId="57C448A8">
      <w:pPr>
        <w:pStyle w:val="ListParagraph"/>
        <w:numPr>
          <w:ilvl w:val="1"/>
          <w:numId w:val="7"/>
        </w:numPr>
      </w:pPr>
      <w:r>
        <w:t>2020 Q3 = -5%</w:t>
      </w:r>
    </w:p>
    <w:p w:rsidR="00777052" w:rsidP="00777052" w:rsidRDefault="00777052" w14:paraId="45A906B5" w14:textId="1BAD6D66">
      <w:pPr>
        <w:pStyle w:val="ListParagraph"/>
        <w:numPr>
          <w:ilvl w:val="1"/>
          <w:numId w:val="7"/>
        </w:numPr>
      </w:pPr>
      <w:r>
        <w:t>2020 Q4 = 4%</w:t>
      </w:r>
    </w:p>
    <w:p w:rsidR="00777052" w:rsidP="00777052" w:rsidRDefault="00777052" w14:paraId="35B8B8A9" w14:textId="775FC870">
      <w:pPr>
        <w:pStyle w:val="ListParagraph"/>
        <w:numPr>
          <w:ilvl w:val="1"/>
          <w:numId w:val="7"/>
        </w:numPr>
      </w:pPr>
      <w:r>
        <w:t xml:space="preserve">In </w:t>
      </w:r>
      <w:r w:rsidR="00266B1E">
        <w:t>projections code before the bigger mutations</w:t>
      </w:r>
    </w:p>
    <w:p w:rsidRPr="008426B6" w:rsidR="00BA074A" w:rsidP="003F4D7E" w:rsidRDefault="00866B51" w14:paraId="526B328A" w14:textId="0CA767C8">
      <w:pPr>
        <w:pStyle w:val="ListParagraph"/>
        <w:numPr>
          <w:ilvl w:val="0"/>
          <w:numId w:val="7"/>
        </w:numPr>
      </w:pPr>
      <w:r w:rsidRPr="00AF21B7">
        <w:rPr>
          <w:highlight w:val="yellow"/>
        </w:rPr>
        <w:t>T</w:t>
      </w:r>
      <w:r w:rsidRPr="00AF21B7" w:rsidR="00AF21B7">
        <w:rPr>
          <w:highlight w:val="yellow"/>
        </w:rPr>
        <w:t>o</w:t>
      </w:r>
      <w:r w:rsidRPr="00AF21B7">
        <w:rPr>
          <w:highlight w:val="yellow"/>
        </w:rPr>
        <w:t xml:space="preserve"> do ne</w:t>
      </w:r>
      <w:r w:rsidRPr="00AF21B7" w:rsidR="00777052">
        <w:rPr>
          <w:highlight w:val="yellow"/>
        </w:rPr>
        <w:t>x</w:t>
      </w:r>
      <w:r w:rsidRPr="00AF21B7">
        <w:rPr>
          <w:highlight w:val="yellow"/>
        </w:rPr>
        <w:t>t time:</w:t>
      </w:r>
      <w:r>
        <w:t xml:space="preserve"> state health outlays should be state health spending</w:t>
      </w:r>
    </w:p>
    <w:p w:rsidR="003031B9" w:rsidP="00BA5178" w:rsidRDefault="003031B9" w14:paraId="70486D15" w14:textId="77777777">
      <w:pPr>
        <w:pStyle w:val="Heading2"/>
      </w:pPr>
    </w:p>
    <w:p w:rsidRPr="00C64486" w:rsidR="00C64486" w:rsidP="00F31933" w:rsidRDefault="00A27F91" w14:paraId="38BB29A6" w14:textId="6FD6AC75">
      <w:pPr>
        <w:pStyle w:val="Heading2"/>
      </w:pPr>
      <w:r>
        <w:t>6/23/2020 Coronavirus Legislation and Forecast</w:t>
      </w:r>
    </w:p>
    <w:p w:rsidR="00A27F91" w:rsidP="00A27F91" w:rsidRDefault="00A27F91" w14:paraId="4DCF4272" w14:textId="08687AA8">
      <w:r>
        <w:t xml:space="preserve">There were several legislations passed in response to the 2020 coronavirus pandemic. </w:t>
      </w:r>
      <w:r w:rsidR="00E44B38">
        <w:t xml:space="preserve">The forecast was initially removed </w:t>
      </w:r>
      <w:r w:rsidR="00C60BE9">
        <w:t xml:space="preserve">due to lack of </w:t>
      </w:r>
      <w:r w:rsidR="00271EC2">
        <w:t>scores,</w:t>
      </w:r>
      <w:r w:rsidR="00C60BE9">
        <w:t xml:space="preserve"> but the forecast will be reinstated with the following changes: </w:t>
      </w:r>
    </w:p>
    <w:p w:rsidR="00204C85" w:rsidP="00C60BE9" w:rsidRDefault="00C60BE9" w14:paraId="47AC396C" w14:textId="6BE92918">
      <w:pPr>
        <w:pStyle w:val="ListParagraph"/>
        <w:numPr>
          <w:ilvl w:val="0"/>
          <w:numId w:val="6"/>
        </w:numPr>
      </w:pPr>
      <w:r>
        <w:t xml:space="preserve">We all </w:t>
      </w:r>
      <w:r w:rsidR="00655336">
        <w:t>include add</w:t>
      </w:r>
      <w:r>
        <w:t xml:space="preserve"> factors for the variables of interest (</w:t>
      </w:r>
      <w:r w:rsidR="00CF4DCE">
        <w:t>taxes</w:t>
      </w:r>
      <w:r>
        <w:t xml:space="preserve">, </w:t>
      </w:r>
      <w:r w:rsidR="00CF4DCE">
        <w:t xml:space="preserve">transfers, and spending) on both a federal and state &amp; local level. See </w:t>
      </w:r>
      <w:r w:rsidR="0069467A">
        <w:t xml:space="preserve">the tab </w:t>
      </w:r>
      <w:r w:rsidR="00655336">
        <w:t>“add factors” tab in the “</w:t>
      </w:r>
      <w:proofErr w:type="spellStart"/>
      <w:r w:rsidR="003F4D7E">
        <w:fldChar w:fldCharType="begin"/>
      </w:r>
      <w:r w:rsidR="003F4D7E">
        <w:instrText xml:space="preserve"> HYPERLINK "https://brookingsinstitution.sharepoint.com/:x:/s/hutchinscenterteam/Eamh8nVATpFNg0RsN1V7C0gBjFi38aEQkJpETlmaJ4dQsg?e=qYn4fx" </w:instrText>
      </w:r>
      <w:r w:rsidR="003F4D7E">
        <w:fldChar w:fldCharType="separate"/>
      </w:r>
      <w:r w:rsidRPr="003B7CEB" w:rsidR="0069467A">
        <w:rPr>
          <w:rStyle w:val="Hyperlink"/>
        </w:rPr>
        <w:t>covid_quartely_outlays</w:t>
      </w:r>
      <w:proofErr w:type="spellEnd"/>
      <w:r w:rsidR="003F4D7E">
        <w:rPr>
          <w:rStyle w:val="Hyperlink"/>
        </w:rPr>
        <w:fldChar w:fldCharType="end"/>
      </w:r>
      <w:r w:rsidR="00655336">
        <w:t>” excel</w:t>
      </w:r>
      <w:r w:rsidR="0069467A">
        <w:t xml:space="preserve"> file in the “</w:t>
      </w:r>
      <w:r w:rsidR="00D83484">
        <w:t xml:space="preserve">COVID-19 Changes/May” </w:t>
      </w:r>
      <w:r w:rsidR="0069467A">
        <w:t xml:space="preserve">folder. </w:t>
      </w:r>
      <w:r w:rsidR="00655336">
        <w:t>These are based off legislation and automatic changes to the variable</w:t>
      </w:r>
      <w:r w:rsidR="00204C85">
        <w:t>s. Helpful resources:</w:t>
      </w:r>
    </w:p>
    <w:p w:rsidR="00C60BE9" w:rsidP="00204C85" w:rsidRDefault="00B63A2E" w14:paraId="648B510B" w14:textId="48DB8121">
      <w:pPr>
        <w:pStyle w:val="ListParagraph"/>
        <w:numPr>
          <w:ilvl w:val="1"/>
          <w:numId w:val="6"/>
        </w:numPr>
      </w:pPr>
      <w:r>
        <w:t>Scores for legislations: H.</w:t>
      </w:r>
      <w:r w:rsidR="00204C85">
        <w:t xml:space="preserve">R. </w:t>
      </w:r>
      <w:hyperlink w:history="1" r:id="rId21">
        <w:r w:rsidRPr="00204C85">
          <w:rPr>
            <w:rStyle w:val="Hyperlink"/>
          </w:rPr>
          <w:t>6074</w:t>
        </w:r>
      </w:hyperlink>
      <w:r>
        <w:t>,</w:t>
      </w:r>
      <w:r w:rsidRPr="00204C85" w:rsidR="00204C85">
        <w:t xml:space="preserve"> </w:t>
      </w:r>
      <w:r w:rsidR="00204C85">
        <w:t>H.R.</w:t>
      </w:r>
      <w:r>
        <w:t xml:space="preserve"> </w:t>
      </w:r>
      <w:hyperlink w:history="1" r:id="rId22">
        <w:r w:rsidRPr="00204C85">
          <w:rPr>
            <w:rStyle w:val="Hyperlink"/>
          </w:rPr>
          <w:t>6201</w:t>
        </w:r>
      </w:hyperlink>
      <w:r>
        <w:t>,</w:t>
      </w:r>
      <w:r w:rsidRPr="00204C85" w:rsidR="00204C85">
        <w:t xml:space="preserve"> </w:t>
      </w:r>
      <w:r w:rsidR="00204C85">
        <w:t>H.R.</w:t>
      </w:r>
      <w:r>
        <w:t xml:space="preserve"> </w:t>
      </w:r>
      <w:hyperlink w:history="1" r:id="rId23">
        <w:r w:rsidRPr="00204C85">
          <w:rPr>
            <w:rStyle w:val="Hyperlink"/>
          </w:rPr>
          <w:t>748</w:t>
        </w:r>
      </w:hyperlink>
    </w:p>
    <w:p w:rsidR="00204C85" w:rsidP="00F708E6" w:rsidRDefault="00204C85" w14:paraId="29BBC061" w14:textId="53615074">
      <w:pPr>
        <w:pStyle w:val="ListParagraph"/>
        <w:numPr>
          <w:ilvl w:val="1"/>
          <w:numId w:val="6"/>
        </w:numPr>
      </w:pPr>
      <w:r>
        <w:t xml:space="preserve">Slide 11 of </w:t>
      </w:r>
      <w:hyperlink w:history="1" r:id="rId24">
        <w:r w:rsidRPr="00DD78F6" w:rsidR="00F708E6">
          <w:rPr>
            <w:rStyle w:val="Hyperlink"/>
          </w:rPr>
          <w:t>Presentation</w:t>
        </w:r>
      </w:hyperlink>
      <w:r w:rsidR="00F708E6">
        <w:t>: Impact of Covid-19 on BEA’s Economic Accounts</w:t>
      </w:r>
    </w:p>
    <w:p w:rsidR="00DD78F6" w:rsidP="00DD78F6" w:rsidRDefault="003F4D7E" w14:paraId="57584203" w14:textId="380D761E">
      <w:pPr>
        <w:pStyle w:val="ListParagraph"/>
        <w:numPr>
          <w:ilvl w:val="1"/>
          <w:numId w:val="6"/>
        </w:numPr>
      </w:pPr>
      <w:hyperlink w:history="1" r:id="rId25">
        <w:r w:rsidRPr="00D27EDD" w:rsidR="00DD78F6">
          <w:rPr>
            <w:rStyle w:val="Hyperlink"/>
          </w:rPr>
          <w:t>Pdf text</w:t>
        </w:r>
      </w:hyperlink>
      <w:r w:rsidR="00DD78F6">
        <w:t xml:space="preserve"> explanation: COVID-19 Pandemic: Federal Recovery Legislation and the NIPAs</w:t>
      </w:r>
    </w:p>
    <w:p w:rsidR="00920E31" w:rsidP="00920E31" w:rsidRDefault="003F4D7E" w14:paraId="279249CF" w14:textId="49B66D9F">
      <w:pPr>
        <w:pStyle w:val="ListParagraph"/>
        <w:numPr>
          <w:ilvl w:val="1"/>
          <w:numId w:val="6"/>
        </w:numPr>
      </w:pPr>
      <w:hyperlink w:history="1" r:id="rId26">
        <w:r w:rsidRPr="009E1753" w:rsidR="00920E31">
          <w:rPr>
            <w:rStyle w:val="Hyperlink"/>
          </w:rPr>
          <w:t>Interim Economic Projections for 2020 and 2021</w:t>
        </w:r>
      </w:hyperlink>
    </w:p>
    <w:p w:rsidR="00C140A0" w:rsidP="00C60BE9" w:rsidRDefault="00C140A0" w14:paraId="17E46F35" w14:textId="19172279">
      <w:pPr>
        <w:pStyle w:val="ListParagraph"/>
        <w:numPr>
          <w:ilvl w:val="0"/>
          <w:numId w:val="6"/>
        </w:numPr>
      </w:pPr>
      <w:r>
        <w:t>We will add in subsidies to the code</w:t>
      </w:r>
    </w:p>
    <w:p w:rsidR="001D4577" w:rsidP="001D4577" w:rsidRDefault="007E3D27" w14:paraId="2795CECD" w14:textId="67FB5D40">
      <w:pPr>
        <w:pStyle w:val="ListParagraph"/>
        <w:numPr>
          <w:ilvl w:val="1"/>
          <w:numId w:val="6"/>
        </w:numPr>
      </w:pPr>
      <w:r>
        <w:t>See word document “updating code for subsidies”</w:t>
      </w:r>
    </w:p>
    <w:p w:rsidR="007E3D27" w:rsidP="001D4577" w:rsidRDefault="00CC2A31" w14:paraId="31354D46" w14:textId="7F6E3C42">
      <w:pPr>
        <w:pStyle w:val="ListParagraph"/>
        <w:numPr>
          <w:ilvl w:val="1"/>
          <w:numId w:val="6"/>
        </w:numPr>
      </w:pPr>
      <w:r>
        <w:t>For the figures output, the subsidies should be included in total taxes and transfer</w:t>
      </w:r>
    </w:p>
    <w:p w:rsidR="00655336" w:rsidP="00C60BE9" w:rsidRDefault="00CB536E" w14:paraId="132AF227" w14:textId="1751BCF5">
      <w:pPr>
        <w:pStyle w:val="ListParagraph"/>
        <w:numPr>
          <w:ilvl w:val="0"/>
          <w:numId w:val="6"/>
        </w:numPr>
      </w:pPr>
      <w:r>
        <w:t xml:space="preserve">We will change the MPCs to </w:t>
      </w:r>
      <w:r w:rsidR="0002296A">
        <w:t xml:space="preserve">reflect the behavioral changes and the inclusion of subsidies. See the table below: </w:t>
      </w:r>
    </w:p>
    <w:p w:rsidR="00C140A0" w:rsidP="00C140A0" w:rsidRDefault="00C140A0" w14:paraId="35CAC3AB" w14:textId="77777777">
      <w:pPr>
        <w:pStyle w:val="ListParagraph"/>
      </w:pPr>
    </w:p>
    <w:tbl>
      <w:tblPr>
        <w:tblStyle w:val="TableGrid"/>
        <w:tblW w:w="8498" w:type="dxa"/>
        <w:tblInd w:w="677" w:type="dxa"/>
        <w:tblLook w:val="04A0" w:firstRow="1" w:lastRow="0" w:firstColumn="1" w:lastColumn="0" w:noHBand="0" w:noVBand="1"/>
      </w:tblPr>
      <w:tblGrid>
        <w:gridCol w:w="1510"/>
        <w:gridCol w:w="1102"/>
        <w:gridCol w:w="1942"/>
        <w:gridCol w:w="1815"/>
        <w:gridCol w:w="2129"/>
      </w:tblGrid>
      <w:tr w:rsidRPr="00C140A0" w:rsidR="00C140A0" w:rsidTr="002B0DE9" w14:paraId="5640E5CC" w14:textId="77777777">
        <w:trPr>
          <w:trHeight w:val="485"/>
        </w:trPr>
        <w:tc>
          <w:tcPr>
            <w:tcW w:w="1510" w:type="dxa"/>
          </w:tcPr>
          <w:p w:rsidRPr="00C140A0" w:rsidR="00C140A0" w:rsidP="00C140A0" w:rsidRDefault="00C140A0" w14:paraId="2962D46F" w14:textId="77777777">
            <w:pPr>
              <w:rPr>
                <w:rFonts w:eastAsia="Times New Roman" w:cs="Times New Roman"/>
                <w:b/>
                <w:bCs/>
                <w:sz w:val="28"/>
                <w:szCs w:val="28"/>
              </w:rPr>
            </w:pPr>
            <w:r w:rsidRPr="00C140A0">
              <w:rPr>
                <w:rFonts w:eastAsia="Times New Roman" w:cs="Times New Roman"/>
                <w:b/>
                <w:bCs/>
                <w:sz w:val="28"/>
                <w:szCs w:val="28"/>
              </w:rPr>
              <w:t>Type</w:t>
            </w:r>
          </w:p>
        </w:tc>
        <w:tc>
          <w:tcPr>
            <w:tcW w:w="1102" w:type="dxa"/>
          </w:tcPr>
          <w:p w:rsidRPr="00C140A0" w:rsidR="00C140A0" w:rsidP="00C140A0" w:rsidRDefault="00C140A0" w14:paraId="4F7C76A6" w14:textId="77777777">
            <w:pPr>
              <w:rPr>
                <w:rFonts w:eastAsia="Times New Roman" w:cs="Times New Roman"/>
                <w:b/>
                <w:bCs/>
                <w:sz w:val="28"/>
                <w:szCs w:val="28"/>
              </w:rPr>
            </w:pPr>
            <w:r w:rsidRPr="00C140A0">
              <w:rPr>
                <w:rFonts w:eastAsia="Times New Roman" w:cs="Times New Roman"/>
                <w:b/>
                <w:bCs/>
                <w:sz w:val="28"/>
                <w:szCs w:val="28"/>
              </w:rPr>
              <w:t>Current MPC</w:t>
            </w:r>
          </w:p>
        </w:tc>
        <w:tc>
          <w:tcPr>
            <w:tcW w:w="1942" w:type="dxa"/>
          </w:tcPr>
          <w:p w:rsidRPr="00C140A0" w:rsidR="00C140A0" w:rsidP="00C140A0" w:rsidRDefault="00C140A0" w14:paraId="74E09BBD" w14:textId="77777777">
            <w:pPr>
              <w:rPr>
                <w:rFonts w:eastAsia="Times New Roman" w:cs="Times New Roman"/>
                <w:b/>
                <w:bCs/>
                <w:sz w:val="28"/>
                <w:szCs w:val="28"/>
              </w:rPr>
            </w:pPr>
            <w:r w:rsidRPr="00C140A0">
              <w:rPr>
                <w:rFonts w:eastAsia="Times New Roman" w:cs="Times New Roman"/>
                <w:b/>
                <w:bCs/>
                <w:sz w:val="28"/>
                <w:szCs w:val="28"/>
              </w:rPr>
              <w:t>Current Timing</w:t>
            </w:r>
          </w:p>
        </w:tc>
        <w:tc>
          <w:tcPr>
            <w:tcW w:w="1815" w:type="dxa"/>
          </w:tcPr>
          <w:p w:rsidRPr="00C140A0" w:rsidR="00C140A0" w:rsidP="00C140A0" w:rsidRDefault="00C140A0" w14:paraId="67C38EE7" w14:textId="77777777">
            <w:pPr>
              <w:rPr>
                <w:rFonts w:eastAsia="Times New Roman" w:cs="Times New Roman"/>
                <w:b/>
                <w:bCs/>
                <w:sz w:val="28"/>
                <w:szCs w:val="28"/>
              </w:rPr>
            </w:pPr>
            <w:r w:rsidRPr="00C140A0">
              <w:rPr>
                <w:rFonts w:eastAsia="Times New Roman" w:cs="Times New Roman"/>
                <w:b/>
                <w:bCs/>
                <w:sz w:val="28"/>
                <w:szCs w:val="28"/>
              </w:rPr>
              <w:t>Proposed MPC</w:t>
            </w:r>
          </w:p>
        </w:tc>
        <w:tc>
          <w:tcPr>
            <w:tcW w:w="2129" w:type="dxa"/>
          </w:tcPr>
          <w:p w:rsidRPr="00C140A0" w:rsidR="00C140A0" w:rsidP="00C140A0" w:rsidRDefault="00C140A0" w14:paraId="544E2DD3" w14:textId="2F9CCC30">
            <w:pPr>
              <w:rPr>
                <w:rFonts w:eastAsia="Times New Roman" w:cs="Times New Roman"/>
                <w:b/>
                <w:bCs/>
                <w:sz w:val="28"/>
                <w:szCs w:val="28"/>
              </w:rPr>
            </w:pPr>
            <w:r w:rsidRPr="00C140A0">
              <w:rPr>
                <w:rFonts w:eastAsia="Times New Roman" w:cs="Times New Roman"/>
                <w:b/>
                <w:bCs/>
                <w:sz w:val="28"/>
                <w:szCs w:val="28"/>
              </w:rPr>
              <w:t xml:space="preserve">Proposed Timing of </w:t>
            </w:r>
            <w:r w:rsidR="008A24E7">
              <w:rPr>
                <w:rFonts w:eastAsia="Times New Roman" w:cs="Times New Roman"/>
                <w:b/>
                <w:bCs/>
                <w:sz w:val="28"/>
                <w:szCs w:val="28"/>
              </w:rPr>
              <w:t>Consumption</w:t>
            </w:r>
          </w:p>
        </w:tc>
      </w:tr>
      <w:tr w:rsidRPr="00C140A0" w:rsidR="00C140A0" w:rsidTr="002B0DE9" w14:paraId="4BCB4768" w14:textId="77777777">
        <w:trPr>
          <w:trHeight w:val="738"/>
        </w:trPr>
        <w:tc>
          <w:tcPr>
            <w:tcW w:w="1510" w:type="dxa"/>
          </w:tcPr>
          <w:p w:rsidRPr="00C140A0" w:rsidR="00C140A0" w:rsidP="00C140A0" w:rsidRDefault="00C140A0" w14:paraId="12BC9D67" w14:textId="77777777">
            <w:pPr>
              <w:rPr>
                <w:rFonts w:eastAsia="Times New Roman" w:cs="Times New Roman"/>
                <w:sz w:val="28"/>
                <w:szCs w:val="28"/>
              </w:rPr>
            </w:pPr>
            <w:r w:rsidRPr="00C140A0">
              <w:rPr>
                <w:rFonts w:eastAsia="Times New Roman" w:cs="Times New Roman"/>
                <w:sz w:val="28"/>
                <w:szCs w:val="28"/>
              </w:rPr>
              <w:t>Social Benefits</w:t>
            </w:r>
          </w:p>
        </w:tc>
        <w:tc>
          <w:tcPr>
            <w:tcW w:w="1102" w:type="dxa"/>
          </w:tcPr>
          <w:p w:rsidRPr="00C140A0" w:rsidR="00C140A0" w:rsidP="00C140A0" w:rsidRDefault="00C140A0" w14:paraId="68EF272C" w14:textId="77777777">
            <w:pPr>
              <w:rPr>
                <w:rFonts w:eastAsia="Times New Roman" w:cs="Times New Roman"/>
                <w:sz w:val="28"/>
                <w:szCs w:val="28"/>
              </w:rPr>
            </w:pPr>
            <w:r w:rsidRPr="00C140A0">
              <w:rPr>
                <w:rFonts w:eastAsia="Times New Roman" w:cs="Times New Roman"/>
                <w:sz w:val="28"/>
                <w:szCs w:val="28"/>
              </w:rPr>
              <w:t>0.9</w:t>
            </w:r>
          </w:p>
        </w:tc>
        <w:tc>
          <w:tcPr>
            <w:tcW w:w="1942" w:type="dxa"/>
          </w:tcPr>
          <w:p w:rsidRPr="00C140A0" w:rsidR="00C140A0" w:rsidP="00C140A0" w:rsidRDefault="00C140A0" w14:paraId="39BEAA03" w14:textId="77777777">
            <w:pPr>
              <w:rPr>
                <w:rFonts w:eastAsia="Times New Roman" w:cs="Times New Roman"/>
                <w:sz w:val="28"/>
                <w:szCs w:val="28"/>
              </w:rPr>
            </w:pPr>
            <w:r w:rsidRPr="00C140A0">
              <w:rPr>
                <w:rFonts w:eastAsia="Times New Roman" w:cs="Times New Roman"/>
                <w:sz w:val="28"/>
                <w:szCs w:val="28"/>
              </w:rPr>
              <w:t>Evenly over 4 quarters</w:t>
            </w:r>
          </w:p>
        </w:tc>
        <w:tc>
          <w:tcPr>
            <w:tcW w:w="1815" w:type="dxa"/>
          </w:tcPr>
          <w:p w:rsidRPr="00C140A0" w:rsidR="00C140A0" w:rsidP="00C140A0" w:rsidRDefault="00C140A0" w14:paraId="628D0590" w14:textId="77777777">
            <w:pPr>
              <w:rPr>
                <w:rFonts w:eastAsia="Times New Roman" w:cs="Times New Roman"/>
                <w:sz w:val="28"/>
                <w:szCs w:val="28"/>
              </w:rPr>
            </w:pPr>
            <w:r w:rsidRPr="00C140A0">
              <w:rPr>
                <w:rFonts w:eastAsia="Times New Roman" w:cs="Times New Roman"/>
                <w:i/>
                <w:iCs/>
                <w:sz w:val="28"/>
                <w:szCs w:val="28"/>
              </w:rPr>
              <w:t>unchanged</w:t>
            </w:r>
          </w:p>
        </w:tc>
        <w:tc>
          <w:tcPr>
            <w:tcW w:w="2129" w:type="dxa"/>
          </w:tcPr>
          <w:p w:rsidRPr="00923D01" w:rsidR="00C140A0" w:rsidP="00C140A0" w:rsidRDefault="00923D01" w14:paraId="571B424C" w14:textId="16934F40">
            <w:pPr>
              <w:rPr>
                <w:rFonts w:eastAsia="Times New Roman" w:cs="Times New Roman"/>
                <w:sz w:val="28"/>
                <w:szCs w:val="28"/>
              </w:rPr>
            </w:pPr>
            <w:r w:rsidRPr="00923D01">
              <w:rPr>
                <w:rFonts w:eastAsia="Times New Roman" w:cs="Times New Roman"/>
                <w:sz w:val="28"/>
                <w:szCs w:val="28"/>
              </w:rPr>
              <w:t>See MPC tab in spreadsheet</w:t>
            </w:r>
            <w:r w:rsidR="008E00C6">
              <w:rPr>
                <w:rFonts w:eastAsia="Times New Roman" w:cs="Times New Roman"/>
                <w:sz w:val="28"/>
                <w:szCs w:val="28"/>
              </w:rPr>
              <w:t xml:space="preserve"> (#1)</w:t>
            </w:r>
            <w:r w:rsidRPr="00923D01">
              <w:rPr>
                <w:rFonts w:eastAsia="Times New Roman" w:cs="Times New Roman"/>
                <w:sz w:val="28"/>
                <w:szCs w:val="28"/>
              </w:rPr>
              <w:t xml:space="preserve"> for timing change</w:t>
            </w:r>
          </w:p>
        </w:tc>
      </w:tr>
      <w:tr w:rsidRPr="00C140A0" w:rsidR="00C140A0" w:rsidTr="002B0DE9" w14:paraId="60431775" w14:textId="77777777">
        <w:trPr>
          <w:trHeight w:val="485"/>
        </w:trPr>
        <w:tc>
          <w:tcPr>
            <w:tcW w:w="1510" w:type="dxa"/>
          </w:tcPr>
          <w:p w:rsidRPr="00C140A0" w:rsidR="00C140A0" w:rsidP="00C140A0" w:rsidRDefault="00C140A0" w14:paraId="507F4CE7" w14:textId="77777777">
            <w:pPr>
              <w:rPr>
                <w:rFonts w:eastAsia="Times New Roman" w:cs="Times New Roman"/>
                <w:sz w:val="28"/>
                <w:szCs w:val="28"/>
              </w:rPr>
            </w:pPr>
            <w:r w:rsidRPr="00C140A0">
              <w:rPr>
                <w:rFonts w:eastAsia="Times New Roman" w:cs="Times New Roman"/>
                <w:sz w:val="28"/>
                <w:szCs w:val="28"/>
              </w:rPr>
              <w:t>Health Outlays</w:t>
            </w:r>
          </w:p>
        </w:tc>
        <w:tc>
          <w:tcPr>
            <w:tcW w:w="1102" w:type="dxa"/>
          </w:tcPr>
          <w:p w:rsidRPr="00C140A0" w:rsidR="00C140A0" w:rsidP="00C140A0" w:rsidRDefault="00C140A0" w14:paraId="3EB617E1" w14:textId="77777777">
            <w:pPr>
              <w:rPr>
                <w:rFonts w:eastAsia="Times New Roman" w:cs="Times New Roman"/>
                <w:sz w:val="28"/>
                <w:szCs w:val="28"/>
              </w:rPr>
            </w:pPr>
            <w:r w:rsidRPr="00C140A0">
              <w:rPr>
                <w:rFonts w:eastAsia="Times New Roman" w:cs="Times New Roman"/>
                <w:sz w:val="28"/>
                <w:szCs w:val="28"/>
              </w:rPr>
              <w:t>0.9</w:t>
            </w:r>
          </w:p>
        </w:tc>
        <w:tc>
          <w:tcPr>
            <w:tcW w:w="1942" w:type="dxa"/>
          </w:tcPr>
          <w:p w:rsidRPr="00C140A0" w:rsidR="00C140A0" w:rsidP="00C140A0" w:rsidRDefault="00C140A0" w14:paraId="6ABEE408" w14:textId="77777777">
            <w:pPr>
              <w:rPr>
                <w:rFonts w:eastAsia="Times New Roman" w:cs="Times New Roman"/>
                <w:sz w:val="28"/>
                <w:szCs w:val="28"/>
              </w:rPr>
            </w:pPr>
            <w:r w:rsidRPr="00C140A0">
              <w:rPr>
                <w:rFonts w:eastAsia="Times New Roman" w:cs="Times New Roman"/>
                <w:sz w:val="28"/>
                <w:szCs w:val="28"/>
              </w:rPr>
              <w:t>Evenly over 4 quarters</w:t>
            </w:r>
          </w:p>
        </w:tc>
        <w:tc>
          <w:tcPr>
            <w:tcW w:w="1815" w:type="dxa"/>
          </w:tcPr>
          <w:p w:rsidRPr="00C140A0" w:rsidR="00C140A0" w:rsidP="00C140A0" w:rsidRDefault="00C140A0" w14:paraId="383F0A2E" w14:textId="77777777">
            <w:pPr>
              <w:rPr>
                <w:rFonts w:eastAsia="Times New Roman" w:cs="Times New Roman"/>
                <w:i/>
                <w:iCs/>
                <w:sz w:val="28"/>
                <w:szCs w:val="28"/>
              </w:rPr>
            </w:pPr>
            <w:r w:rsidRPr="00C140A0">
              <w:rPr>
                <w:rFonts w:eastAsia="Times New Roman" w:cs="Times New Roman"/>
                <w:i/>
                <w:iCs/>
                <w:sz w:val="28"/>
                <w:szCs w:val="28"/>
              </w:rPr>
              <w:t>unchanged</w:t>
            </w:r>
          </w:p>
        </w:tc>
        <w:tc>
          <w:tcPr>
            <w:tcW w:w="2129" w:type="dxa"/>
          </w:tcPr>
          <w:p w:rsidRPr="00C140A0" w:rsidR="00C140A0" w:rsidP="00C140A0" w:rsidRDefault="00A9146F" w14:paraId="0ABBC361" w14:textId="31678DDA">
            <w:pPr>
              <w:rPr>
                <w:rFonts w:eastAsia="Times New Roman" w:cs="Times New Roman"/>
                <w:sz w:val="28"/>
                <w:szCs w:val="28"/>
              </w:rPr>
            </w:pPr>
            <w:r w:rsidRPr="00C140A0">
              <w:rPr>
                <w:rFonts w:eastAsia="Times New Roman" w:cs="Times New Roman"/>
                <w:i/>
                <w:iCs/>
                <w:sz w:val="28"/>
                <w:szCs w:val="28"/>
              </w:rPr>
              <w:t>unchanged</w:t>
            </w:r>
            <w:r w:rsidRPr="00C140A0">
              <w:rPr>
                <w:rFonts w:eastAsia="Times New Roman" w:cs="Times New Roman"/>
                <w:sz w:val="28"/>
                <w:szCs w:val="28"/>
              </w:rPr>
              <w:t xml:space="preserve"> </w:t>
            </w:r>
          </w:p>
        </w:tc>
      </w:tr>
      <w:tr w:rsidRPr="00C140A0" w:rsidR="00C140A0" w:rsidTr="002B0DE9" w14:paraId="2E852CD7" w14:textId="77777777">
        <w:trPr>
          <w:trHeight w:val="495"/>
        </w:trPr>
        <w:tc>
          <w:tcPr>
            <w:tcW w:w="1510" w:type="dxa"/>
          </w:tcPr>
          <w:p w:rsidRPr="00C140A0" w:rsidR="00C140A0" w:rsidP="00C140A0" w:rsidRDefault="00C140A0" w14:paraId="08E7DEB1" w14:textId="77777777">
            <w:pPr>
              <w:rPr>
                <w:rFonts w:eastAsia="Times New Roman" w:cs="Times New Roman"/>
                <w:sz w:val="28"/>
                <w:szCs w:val="28"/>
              </w:rPr>
            </w:pPr>
            <w:r w:rsidRPr="00C140A0">
              <w:rPr>
                <w:rFonts w:eastAsia="Times New Roman" w:cs="Times New Roman"/>
                <w:sz w:val="28"/>
                <w:szCs w:val="28"/>
              </w:rPr>
              <w:t>Corp Taxes</w:t>
            </w:r>
          </w:p>
        </w:tc>
        <w:tc>
          <w:tcPr>
            <w:tcW w:w="1102" w:type="dxa"/>
          </w:tcPr>
          <w:p w:rsidRPr="00C140A0" w:rsidR="00C140A0" w:rsidP="00C140A0" w:rsidRDefault="00C140A0" w14:paraId="4256D117" w14:textId="77777777">
            <w:pPr>
              <w:rPr>
                <w:rFonts w:eastAsia="Times New Roman" w:cs="Times New Roman"/>
                <w:sz w:val="28"/>
                <w:szCs w:val="28"/>
              </w:rPr>
            </w:pPr>
            <w:r w:rsidRPr="00C140A0">
              <w:rPr>
                <w:rFonts w:eastAsia="Times New Roman" w:cs="Times New Roman"/>
                <w:sz w:val="28"/>
                <w:szCs w:val="28"/>
              </w:rPr>
              <w:t>-0.4</w:t>
            </w:r>
          </w:p>
        </w:tc>
        <w:tc>
          <w:tcPr>
            <w:tcW w:w="1942" w:type="dxa"/>
          </w:tcPr>
          <w:p w:rsidRPr="00C140A0" w:rsidR="00C140A0" w:rsidP="00C140A0" w:rsidRDefault="00C140A0" w14:paraId="17A04051" w14:textId="77777777">
            <w:pPr>
              <w:rPr>
                <w:rFonts w:eastAsia="Times New Roman" w:cs="Times New Roman"/>
                <w:sz w:val="28"/>
                <w:szCs w:val="28"/>
              </w:rPr>
            </w:pPr>
            <w:r w:rsidRPr="00C140A0">
              <w:rPr>
                <w:rFonts w:eastAsia="Times New Roman" w:cs="Times New Roman"/>
                <w:sz w:val="28"/>
                <w:szCs w:val="28"/>
              </w:rPr>
              <w:t>Evenly over 12 quarters</w:t>
            </w:r>
          </w:p>
        </w:tc>
        <w:tc>
          <w:tcPr>
            <w:tcW w:w="1815" w:type="dxa"/>
          </w:tcPr>
          <w:p w:rsidRPr="00C140A0" w:rsidR="00C140A0" w:rsidP="00C140A0" w:rsidRDefault="00A9146F" w14:paraId="79D0188C" w14:textId="1699DB39">
            <w:pPr>
              <w:rPr>
                <w:rFonts w:eastAsia="Times New Roman" w:cs="Times New Roman"/>
                <w:sz w:val="28"/>
                <w:szCs w:val="28"/>
              </w:rPr>
            </w:pPr>
            <w:r w:rsidRPr="00C140A0">
              <w:rPr>
                <w:rFonts w:eastAsia="Times New Roman" w:cs="Times New Roman"/>
                <w:i/>
                <w:iCs/>
                <w:sz w:val="28"/>
                <w:szCs w:val="28"/>
              </w:rPr>
              <w:t>unchanged</w:t>
            </w:r>
          </w:p>
        </w:tc>
        <w:tc>
          <w:tcPr>
            <w:tcW w:w="2129" w:type="dxa"/>
          </w:tcPr>
          <w:p w:rsidRPr="00C140A0" w:rsidR="00C140A0" w:rsidP="00C140A0" w:rsidRDefault="00C140A0" w14:paraId="3F4AAABF" w14:textId="77777777">
            <w:pPr>
              <w:rPr>
                <w:rFonts w:eastAsia="Times New Roman" w:cs="Times New Roman"/>
                <w:sz w:val="28"/>
                <w:szCs w:val="28"/>
              </w:rPr>
            </w:pPr>
            <w:r w:rsidRPr="00C140A0">
              <w:rPr>
                <w:rFonts w:eastAsia="Times New Roman" w:cs="Times New Roman"/>
                <w:i/>
                <w:iCs/>
                <w:sz w:val="28"/>
                <w:szCs w:val="28"/>
              </w:rPr>
              <w:t>unchanged</w:t>
            </w:r>
          </w:p>
        </w:tc>
      </w:tr>
      <w:tr w:rsidRPr="00C140A0" w:rsidR="00C140A0" w:rsidTr="002B0DE9" w14:paraId="2486D342" w14:textId="77777777">
        <w:trPr>
          <w:trHeight w:val="981"/>
        </w:trPr>
        <w:tc>
          <w:tcPr>
            <w:tcW w:w="1510" w:type="dxa"/>
          </w:tcPr>
          <w:p w:rsidRPr="00C140A0" w:rsidR="00C140A0" w:rsidP="00C140A0" w:rsidRDefault="00C140A0" w14:paraId="46160A93" w14:textId="77777777">
            <w:pPr>
              <w:rPr>
                <w:rFonts w:eastAsia="Times New Roman" w:cs="Times New Roman"/>
                <w:sz w:val="28"/>
                <w:szCs w:val="28"/>
              </w:rPr>
            </w:pPr>
            <w:r w:rsidRPr="00C140A0">
              <w:rPr>
                <w:rFonts w:eastAsia="Times New Roman" w:cs="Times New Roman"/>
                <w:sz w:val="28"/>
                <w:szCs w:val="28"/>
              </w:rPr>
              <w:t>Non-</w:t>
            </w:r>
            <w:proofErr w:type="spellStart"/>
            <w:r w:rsidRPr="00C140A0">
              <w:rPr>
                <w:rFonts w:eastAsia="Times New Roman" w:cs="Times New Roman"/>
                <w:sz w:val="28"/>
                <w:szCs w:val="28"/>
              </w:rPr>
              <w:t>corp</w:t>
            </w:r>
            <w:proofErr w:type="spellEnd"/>
            <w:r w:rsidRPr="00C140A0">
              <w:rPr>
                <w:rFonts w:eastAsia="Times New Roman" w:cs="Times New Roman"/>
                <w:sz w:val="28"/>
                <w:szCs w:val="28"/>
              </w:rPr>
              <w:t xml:space="preserve"> Taxes</w:t>
            </w:r>
          </w:p>
        </w:tc>
        <w:tc>
          <w:tcPr>
            <w:tcW w:w="1102" w:type="dxa"/>
          </w:tcPr>
          <w:p w:rsidRPr="00C140A0" w:rsidR="00C140A0" w:rsidP="00C140A0" w:rsidRDefault="00C140A0" w14:paraId="56A07468" w14:textId="77777777">
            <w:pPr>
              <w:rPr>
                <w:rFonts w:eastAsia="Times New Roman" w:cs="Times New Roman"/>
                <w:b/>
                <w:bCs/>
                <w:sz w:val="28"/>
                <w:szCs w:val="28"/>
              </w:rPr>
            </w:pPr>
            <w:r w:rsidRPr="00C140A0">
              <w:rPr>
                <w:rFonts w:eastAsia="Times New Roman" w:cs="Times New Roman"/>
                <w:sz w:val="28"/>
                <w:szCs w:val="28"/>
              </w:rPr>
              <w:t>-0.6</w:t>
            </w:r>
          </w:p>
        </w:tc>
        <w:tc>
          <w:tcPr>
            <w:tcW w:w="1942" w:type="dxa"/>
          </w:tcPr>
          <w:p w:rsidRPr="00C140A0" w:rsidR="00C140A0" w:rsidP="00C140A0" w:rsidRDefault="00C140A0" w14:paraId="649E8CCD" w14:textId="77777777">
            <w:pPr>
              <w:rPr>
                <w:rFonts w:eastAsia="Times New Roman" w:cs="Times New Roman"/>
                <w:sz w:val="28"/>
                <w:szCs w:val="28"/>
              </w:rPr>
            </w:pPr>
            <w:r w:rsidRPr="00C140A0">
              <w:rPr>
                <w:rFonts w:eastAsia="Times New Roman" w:cs="Times New Roman"/>
                <w:sz w:val="28"/>
                <w:szCs w:val="28"/>
              </w:rPr>
              <w:t>8 quarters: 20% in Q1,2. 60% evenly over last 6 quarters</w:t>
            </w:r>
          </w:p>
        </w:tc>
        <w:tc>
          <w:tcPr>
            <w:tcW w:w="1815" w:type="dxa"/>
          </w:tcPr>
          <w:p w:rsidRPr="00923D01" w:rsidR="00C140A0" w:rsidP="00C140A0" w:rsidRDefault="00CC2A31" w14:paraId="318C7834" w14:textId="7CA80C46">
            <w:pPr>
              <w:rPr>
                <w:rFonts w:eastAsia="Times New Roman" w:cs="Times New Roman"/>
                <w:sz w:val="28"/>
                <w:szCs w:val="28"/>
              </w:rPr>
            </w:pPr>
            <w:r w:rsidRPr="00923D01">
              <w:rPr>
                <w:rFonts w:eastAsia="Times New Roman" w:cs="Times New Roman"/>
                <w:sz w:val="28"/>
                <w:szCs w:val="28"/>
              </w:rPr>
              <w:t>See MPC tab in spreadsheet</w:t>
            </w:r>
            <w:r>
              <w:rPr>
                <w:rFonts w:eastAsia="Times New Roman" w:cs="Times New Roman"/>
                <w:sz w:val="28"/>
                <w:szCs w:val="28"/>
              </w:rPr>
              <w:t xml:space="preserve"> (#1)</w:t>
            </w:r>
            <w:r w:rsidRPr="00923D01">
              <w:rPr>
                <w:rFonts w:eastAsia="Times New Roman" w:cs="Times New Roman"/>
                <w:sz w:val="28"/>
                <w:szCs w:val="28"/>
              </w:rPr>
              <w:t xml:space="preserve"> for timing change</w:t>
            </w:r>
          </w:p>
        </w:tc>
        <w:tc>
          <w:tcPr>
            <w:tcW w:w="2129" w:type="dxa"/>
          </w:tcPr>
          <w:p w:rsidRPr="00C140A0" w:rsidR="00C140A0" w:rsidP="00C140A0" w:rsidRDefault="009B54C0" w14:paraId="74EC33A9" w14:textId="3AFE9A92">
            <w:pPr>
              <w:rPr>
                <w:rFonts w:eastAsia="Times New Roman" w:cs="Times New Roman"/>
                <w:sz w:val="28"/>
                <w:szCs w:val="28"/>
              </w:rPr>
            </w:pPr>
            <w:r>
              <w:rPr>
                <w:rFonts w:eastAsia="Times New Roman" w:cs="Times New Roman"/>
                <w:sz w:val="28"/>
                <w:szCs w:val="28"/>
              </w:rPr>
              <w:t>See MPC tab in spreadsheet</w:t>
            </w:r>
            <w:r w:rsidR="008E00C6">
              <w:rPr>
                <w:rFonts w:eastAsia="Times New Roman" w:cs="Times New Roman"/>
                <w:sz w:val="28"/>
                <w:szCs w:val="28"/>
              </w:rPr>
              <w:t xml:space="preserve"> (#1)</w:t>
            </w:r>
            <w:r>
              <w:rPr>
                <w:rFonts w:eastAsia="Times New Roman" w:cs="Times New Roman"/>
                <w:sz w:val="28"/>
                <w:szCs w:val="28"/>
              </w:rPr>
              <w:t xml:space="preserve"> for timing change</w:t>
            </w:r>
          </w:p>
        </w:tc>
      </w:tr>
      <w:tr w:rsidRPr="00C140A0" w:rsidR="00C140A0" w:rsidTr="002B0DE9" w14:paraId="64D2CED8" w14:textId="77777777">
        <w:trPr>
          <w:trHeight w:val="242"/>
        </w:trPr>
        <w:tc>
          <w:tcPr>
            <w:tcW w:w="1510" w:type="dxa"/>
          </w:tcPr>
          <w:p w:rsidRPr="00C140A0" w:rsidR="00C140A0" w:rsidP="00C140A0" w:rsidRDefault="00C140A0" w14:paraId="63633E00" w14:textId="77777777">
            <w:pPr>
              <w:rPr>
                <w:rFonts w:eastAsia="Times New Roman" w:cs="Times New Roman"/>
                <w:sz w:val="28"/>
                <w:szCs w:val="28"/>
              </w:rPr>
            </w:pPr>
            <w:r w:rsidRPr="00C140A0">
              <w:rPr>
                <w:rFonts w:eastAsia="Times New Roman" w:cs="Times New Roman"/>
                <w:sz w:val="28"/>
                <w:szCs w:val="28"/>
              </w:rPr>
              <w:t>Subsidies</w:t>
            </w:r>
          </w:p>
        </w:tc>
        <w:tc>
          <w:tcPr>
            <w:tcW w:w="1102" w:type="dxa"/>
          </w:tcPr>
          <w:p w:rsidRPr="00C140A0" w:rsidR="00C140A0" w:rsidP="00C140A0" w:rsidRDefault="00C140A0" w14:paraId="714E7A96" w14:textId="77777777">
            <w:pPr>
              <w:rPr>
                <w:rFonts w:eastAsia="Times New Roman" w:cs="Times New Roman"/>
                <w:sz w:val="28"/>
                <w:szCs w:val="28"/>
              </w:rPr>
            </w:pPr>
            <w:r w:rsidRPr="00C140A0">
              <w:rPr>
                <w:rFonts w:eastAsia="Times New Roman" w:cs="Times New Roman"/>
                <w:sz w:val="28"/>
                <w:szCs w:val="28"/>
              </w:rPr>
              <w:t>*new*</w:t>
            </w:r>
          </w:p>
        </w:tc>
        <w:tc>
          <w:tcPr>
            <w:tcW w:w="1942" w:type="dxa"/>
          </w:tcPr>
          <w:p w:rsidRPr="00C140A0" w:rsidR="00C140A0" w:rsidP="00C140A0" w:rsidRDefault="00C140A0" w14:paraId="6AC1BE9B" w14:textId="77777777">
            <w:pPr>
              <w:rPr>
                <w:rFonts w:eastAsia="Times New Roman" w:cs="Times New Roman"/>
                <w:sz w:val="28"/>
                <w:szCs w:val="28"/>
              </w:rPr>
            </w:pPr>
            <w:r w:rsidRPr="00C140A0">
              <w:rPr>
                <w:rFonts w:eastAsia="Times New Roman" w:cs="Times New Roman"/>
                <w:sz w:val="28"/>
                <w:szCs w:val="28"/>
              </w:rPr>
              <w:t>*new*</w:t>
            </w:r>
          </w:p>
        </w:tc>
        <w:tc>
          <w:tcPr>
            <w:tcW w:w="1815" w:type="dxa"/>
          </w:tcPr>
          <w:p w:rsidRPr="00C140A0" w:rsidR="00C140A0" w:rsidP="00C140A0" w:rsidRDefault="00CC2A31" w14:paraId="25BA32BA" w14:textId="52EF3A45">
            <w:pPr>
              <w:rPr>
                <w:rFonts w:eastAsia="Times New Roman" w:cs="Times New Roman"/>
                <w:sz w:val="28"/>
                <w:szCs w:val="28"/>
              </w:rPr>
            </w:pPr>
            <w:r w:rsidRPr="00923D01">
              <w:rPr>
                <w:rFonts w:eastAsia="Times New Roman" w:cs="Times New Roman"/>
                <w:sz w:val="28"/>
                <w:szCs w:val="28"/>
              </w:rPr>
              <w:t>See MPC tab in spreadsheet</w:t>
            </w:r>
            <w:r>
              <w:rPr>
                <w:rFonts w:eastAsia="Times New Roman" w:cs="Times New Roman"/>
                <w:sz w:val="28"/>
                <w:szCs w:val="28"/>
              </w:rPr>
              <w:t xml:space="preserve"> (#1)</w:t>
            </w:r>
            <w:r w:rsidRPr="00923D01">
              <w:rPr>
                <w:rFonts w:eastAsia="Times New Roman" w:cs="Times New Roman"/>
                <w:sz w:val="28"/>
                <w:szCs w:val="28"/>
              </w:rPr>
              <w:t xml:space="preserve"> for timing change</w:t>
            </w:r>
          </w:p>
        </w:tc>
        <w:tc>
          <w:tcPr>
            <w:tcW w:w="2129" w:type="dxa"/>
          </w:tcPr>
          <w:p w:rsidRPr="00C140A0" w:rsidR="00C140A0" w:rsidP="00C140A0" w:rsidRDefault="002B0DE9" w14:paraId="7338CB0E" w14:textId="2CA46712">
            <w:pPr>
              <w:rPr>
                <w:rFonts w:eastAsia="Times New Roman" w:cs="Times New Roman"/>
                <w:sz w:val="28"/>
                <w:szCs w:val="28"/>
              </w:rPr>
            </w:pPr>
            <w:r>
              <w:rPr>
                <w:rFonts w:eastAsia="Times New Roman" w:cs="Times New Roman"/>
                <w:sz w:val="28"/>
                <w:szCs w:val="28"/>
              </w:rPr>
              <w:t>See MPC tab in spreadsheet</w:t>
            </w:r>
            <w:r w:rsidR="008E00C6">
              <w:rPr>
                <w:rFonts w:eastAsia="Times New Roman" w:cs="Times New Roman"/>
                <w:sz w:val="28"/>
                <w:szCs w:val="28"/>
              </w:rPr>
              <w:t xml:space="preserve"> (#1)</w:t>
            </w:r>
            <w:r>
              <w:rPr>
                <w:rFonts w:eastAsia="Times New Roman" w:cs="Times New Roman"/>
                <w:sz w:val="28"/>
                <w:szCs w:val="28"/>
              </w:rPr>
              <w:t xml:space="preserve"> for timing change</w:t>
            </w:r>
          </w:p>
        </w:tc>
      </w:tr>
    </w:tbl>
    <w:p w:rsidR="0002296A" w:rsidP="0002296A" w:rsidRDefault="0002296A" w14:paraId="149B885F" w14:textId="77777777">
      <w:pPr>
        <w:ind w:left="720"/>
      </w:pPr>
    </w:p>
    <w:p w:rsidR="0002296A" w:rsidP="00C60BE9" w:rsidRDefault="00BA5178" w14:paraId="734CBF01" w14:textId="251DAC1B">
      <w:pPr>
        <w:pStyle w:val="ListParagraph"/>
        <w:numPr>
          <w:ilvl w:val="0"/>
          <w:numId w:val="6"/>
        </w:numPr>
      </w:pPr>
      <w:r>
        <w:t>We will now reattribute state unemployment spending to states and not to federal</w:t>
      </w:r>
    </w:p>
    <w:p w:rsidR="00496C68" w:rsidP="00496C68" w:rsidRDefault="00496C68" w14:paraId="7E604FF6" w14:textId="356D0B26">
      <w:pPr>
        <w:pStyle w:val="ListParagraph"/>
        <w:numPr>
          <w:ilvl w:val="1"/>
          <w:numId w:val="6"/>
        </w:numPr>
      </w:pPr>
      <w:r>
        <w:t xml:space="preserve">Pull haver code: </w:t>
      </w:r>
      <w:proofErr w:type="gramStart"/>
      <w:r>
        <w:t xml:space="preserve">“ </w:t>
      </w:r>
      <w:r w:rsidRPr="00496C68">
        <w:t>GFTFBUSX</w:t>
      </w:r>
      <w:proofErr w:type="gramEnd"/>
      <w:r>
        <w:t>@USNA”</w:t>
      </w:r>
    </w:p>
    <w:p w:rsidR="00496C68" w:rsidP="00496C68" w:rsidRDefault="0012576F" w14:paraId="33517D62" w14:textId="62A837C6">
      <w:pPr>
        <w:pStyle w:val="ListParagraph"/>
        <w:numPr>
          <w:ilvl w:val="1"/>
          <w:numId w:val="6"/>
        </w:numPr>
      </w:pPr>
      <w:r>
        <w:t xml:space="preserve">In projections file: </w:t>
      </w:r>
    </w:p>
    <w:p w:rsidR="0012576F" w:rsidP="0012576F" w:rsidRDefault="0012576F" w14:paraId="5F830BD3" w14:textId="77777777">
      <w:pPr>
        <w:pStyle w:val="ListParagraph"/>
        <w:numPr>
          <w:ilvl w:val="2"/>
          <w:numId w:val="6"/>
        </w:numPr>
      </w:pPr>
      <w:r>
        <w:t>#reattribute state unemployment from federal back to state</w:t>
      </w:r>
    </w:p>
    <w:p w:rsidR="0012576F" w:rsidP="0012576F" w:rsidRDefault="0012576F" w14:paraId="41697FCF" w14:textId="77777777">
      <w:pPr>
        <w:pStyle w:val="ListParagraph"/>
        <w:numPr>
          <w:ilvl w:val="2"/>
          <w:numId w:val="6"/>
        </w:numPr>
      </w:pPr>
      <w:proofErr w:type="spellStart"/>
      <w:r>
        <w:t>xx$gftfbusx</w:t>
      </w:r>
      <w:proofErr w:type="spellEnd"/>
      <w:r>
        <w:t xml:space="preserve"> = </w:t>
      </w:r>
      <w:proofErr w:type="spellStart"/>
      <w:r>
        <w:t>xx$gftfbusx</w:t>
      </w:r>
      <w:proofErr w:type="spellEnd"/>
      <w:r>
        <w:t>/1000 #translate from millions to billions</w:t>
      </w:r>
    </w:p>
    <w:p w:rsidR="0012576F" w:rsidP="0012576F" w:rsidRDefault="0012576F" w14:paraId="07590018" w14:textId="77777777">
      <w:pPr>
        <w:pStyle w:val="ListParagraph"/>
        <w:numPr>
          <w:ilvl w:val="2"/>
          <w:numId w:val="6"/>
        </w:numPr>
      </w:pPr>
      <w:proofErr w:type="spellStart"/>
      <w:r>
        <w:t>xx$gftfp</w:t>
      </w:r>
      <w:proofErr w:type="spellEnd"/>
      <w:r>
        <w:t xml:space="preserve"> = </w:t>
      </w:r>
      <w:proofErr w:type="spellStart"/>
      <w:r>
        <w:t>xx$gftfp</w:t>
      </w:r>
      <w:proofErr w:type="spellEnd"/>
      <w:r>
        <w:t xml:space="preserve"> - </w:t>
      </w:r>
      <w:proofErr w:type="spellStart"/>
      <w:r>
        <w:t>xx$gftfbusx</w:t>
      </w:r>
      <w:proofErr w:type="spellEnd"/>
    </w:p>
    <w:p w:rsidR="0012576F" w:rsidP="0012576F" w:rsidRDefault="0012576F" w14:paraId="6A70888F" w14:textId="00F84266">
      <w:pPr>
        <w:pStyle w:val="ListParagraph"/>
        <w:numPr>
          <w:ilvl w:val="2"/>
          <w:numId w:val="6"/>
        </w:numPr>
      </w:pPr>
      <w:proofErr w:type="spellStart"/>
      <w:r>
        <w:t>xx$gstfp</w:t>
      </w:r>
      <w:proofErr w:type="spellEnd"/>
      <w:r>
        <w:t xml:space="preserve"> = </w:t>
      </w:r>
      <w:proofErr w:type="spellStart"/>
      <w:r>
        <w:t>xx$gstfp</w:t>
      </w:r>
      <w:proofErr w:type="spellEnd"/>
      <w:r>
        <w:t xml:space="preserve"> + </w:t>
      </w:r>
      <w:proofErr w:type="spellStart"/>
      <w:r>
        <w:t>xx$gftfbusx</w:t>
      </w:r>
      <w:proofErr w:type="spellEnd"/>
    </w:p>
    <w:p w:rsidR="00744FC5" w:rsidP="007A7A14" w:rsidRDefault="00744FC5" w14:paraId="6824890F" w14:textId="06E84728">
      <w:pPr>
        <w:pStyle w:val="ListParagraph"/>
        <w:numPr>
          <w:ilvl w:val="2"/>
          <w:numId w:val="6"/>
        </w:numPr>
      </w:pPr>
      <w:r>
        <w:t>add to calculation of forward values</w:t>
      </w:r>
    </w:p>
    <w:p w:rsidR="00D64528" w:rsidP="00C60BE9" w:rsidRDefault="00D64528" w14:paraId="7BF6341C" w14:textId="3F7C50B0">
      <w:pPr>
        <w:pStyle w:val="ListParagraph"/>
        <w:numPr>
          <w:ilvl w:val="0"/>
          <w:numId w:val="6"/>
        </w:numPr>
      </w:pPr>
      <w:r>
        <w:t xml:space="preserve">Remove old legislation from code: </w:t>
      </w:r>
    </w:p>
    <w:p w:rsidR="00D64528" w:rsidP="00D64528" w:rsidRDefault="00D64528" w14:paraId="1F304116" w14:textId="7EBFF206">
      <w:pPr>
        <w:pStyle w:val="ListParagraph"/>
        <w:numPr>
          <w:ilvl w:val="1"/>
          <w:numId w:val="6"/>
        </w:numPr>
      </w:pPr>
      <w:r>
        <w:t>HR 1865</w:t>
      </w:r>
    </w:p>
    <w:p w:rsidR="00A27F91" w:rsidP="00E810A7" w:rsidRDefault="00D64528" w14:paraId="5068902F" w14:textId="3D8778CD">
      <w:pPr>
        <w:pStyle w:val="ListParagraph"/>
        <w:numPr>
          <w:ilvl w:val="1"/>
          <w:numId w:val="6"/>
        </w:numPr>
      </w:pPr>
      <w:r w:rsidRPr="00D64528">
        <w:t>HR 6074 Addons Calculation</w:t>
      </w:r>
      <w:r>
        <w:t>s</w:t>
      </w:r>
    </w:p>
    <w:p w:rsidR="001D044D" w:rsidP="001D044D" w:rsidRDefault="001D044D" w14:paraId="4E0F3F67" w14:textId="77777777">
      <w:pPr>
        <w:pStyle w:val="ListParagraph"/>
        <w:ind w:left="1440"/>
      </w:pPr>
    </w:p>
    <w:p w:rsidRPr="00E810A7" w:rsidR="00E810A7" w:rsidP="00E810A7" w:rsidRDefault="00367782" w14:paraId="7434FAE0" w14:textId="69572D0F">
      <w:pPr>
        <w:pStyle w:val="Heading2"/>
      </w:pPr>
      <w:r>
        <w:t>12/19/19</w:t>
      </w:r>
      <w:r w:rsidR="00E810A7">
        <w:t xml:space="preserve"> </w:t>
      </w:r>
      <w:r w:rsidRPr="00E810A7" w:rsidR="00E810A7">
        <w:t xml:space="preserve">Effects </w:t>
      </w:r>
      <w:proofErr w:type="gramStart"/>
      <w:r w:rsidRPr="00E810A7" w:rsidR="00E810A7">
        <w:t>Of</w:t>
      </w:r>
      <w:proofErr w:type="gramEnd"/>
      <w:r w:rsidRPr="00E810A7" w:rsidR="00E810A7">
        <w:t xml:space="preserve"> H.R. 1865, The Further Consolidated Appropriations Act, 2020</w:t>
      </w:r>
    </w:p>
    <w:p w:rsidR="00367782" w:rsidP="00367782" w:rsidRDefault="00367782" w14:paraId="51E561C3" w14:textId="755D3ABB">
      <w:r>
        <w:t xml:space="preserve">House passed spending deal (consistent with the </w:t>
      </w:r>
      <w:r w:rsidR="00621530">
        <w:t>s</w:t>
      </w:r>
      <w:r>
        <w:t xml:space="preserve">ummer 2019 act that </w:t>
      </w:r>
      <w:r w:rsidR="00621530">
        <w:t>raised</w:t>
      </w:r>
      <w:r>
        <w:t xml:space="preserve"> the discretionary spending caps for FY 2020 and FY 2021)</w:t>
      </w:r>
      <w:r w:rsidR="00621530">
        <w:t xml:space="preserve">. The spending deal applies to the remaining quarters in FY 2020. </w:t>
      </w:r>
    </w:p>
    <w:p w:rsidR="00621530" w:rsidP="00367782" w:rsidRDefault="00621530" w14:paraId="0A43B685" w14:textId="46DA53D7">
      <w:r>
        <w:t xml:space="preserve">The deal does nothing to the discretionary caps, ($1.29 for </w:t>
      </w:r>
      <w:r w:rsidR="001F664C">
        <w:t xml:space="preserve">FY2020), but it does adjust the “cap adjustments” (these are flexible pieces of the caps, like disaster relief spending), upwards by about $18 billion (Louise’s math—we’re checking). </w:t>
      </w:r>
    </w:p>
    <w:p w:rsidR="00016FBC" w:rsidP="00367782" w:rsidRDefault="00016FBC" w14:paraId="40CF4888" w14:textId="0110975A">
      <w:r>
        <w:t xml:space="preserve">To incorporate this into the forecast, we’ll boost government purchases by $18billion for the rest of FY20, grow that 18 by nominal potential for FY21 and 22, and add those amounts onto the projected purchases for those years. </w:t>
      </w:r>
    </w:p>
    <w:p w:rsidR="0039154B" w:rsidP="00367782" w:rsidRDefault="00016FBC" w14:paraId="7D7E748B" w14:textId="06FCC306">
      <w:r>
        <w:t xml:space="preserve">The bill </w:t>
      </w:r>
      <w:r w:rsidR="0039154B">
        <w:t xml:space="preserve">also has </w:t>
      </w:r>
      <w:r w:rsidR="00E61F1E">
        <w:t>several</w:t>
      </w:r>
      <w:r w:rsidR="0039154B">
        <w:t xml:space="preserve"> tax </w:t>
      </w:r>
      <w:proofErr w:type="gramStart"/>
      <w:r w:rsidR="0039154B">
        <w:t>revenue</w:t>
      </w:r>
      <w:proofErr w:type="gramEnd"/>
      <w:r w:rsidR="0039154B">
        <w:t xml:space="preserve"> provisions. It lets a bunch of tax extenders expire, so taxes go down. </w:t>
      </w:r>
      <w:r w:rsidR="004F6C52">
        <w:t>To incorporate these, we will:</w:t>
      </w:r>
    </w:p>
    <w:p w:rsidR="00A65158" w:rsidP="004F6C52" w:rsidRDefault="004F6C52" w14:paraId="0DE0A961" w14:textId="77777777">
      <w:pPr>
        <w:pStyle w:val="ListParagraph"/>
        <w:numPr>
          <w:ilvl w:val="0"/>
          <w:numId w:val="4"/>
        </w:numPr>
      </w:pPr>
      <w:r>
        <w:t xml:space="preserve">Take off the CBO-scored </w:t>
      </w:r>
      <w:r w:rsidR="0094019E">
        <w:t>declines</w:t>
      </w:r>
      <w:r>
        <w:t xml:space="preserve"> </w:t>
      </w:r>
      <w:r w:rsidR="002B0B22">
        <w:t>in health insurance taxes (treat these like excise taxes)</w:t>
      </w:r>
      <w:r w:rsidR="0094019E">
        <w:t>:</w:t>
      </w:r>
    </w:p>
    <w:p w:rsidR="004F6C52" w:rsidP="00A65158" w:rsidRDefault="003F4D7E" w14:paraId="7EFDCDA9" w14:textId="645FDEAD">
      <w:pPr>
        <w:pStyle w:val="ListParagraph"/>
        <w:numPr>
          <w:ilvl w:val="1"/>
          <w:numId w:val="4"/>
        </w:numPr>
      </w:pPr>
      <w:hyperlink w:history="1" r:id="rId27">
        <w:r w:rsidRPr="0040072C" w:rsidR="00A65158">
          <w:rPr>
            <w:rStyle w:val="Hyperlink"/>
          </w:rPr>
          <w:t>https://www.cbo.gov/system/files/2019-12/hr1865.pdf</w:t>
        </w:r>
      </w:hyperlink>
    </w:p>
    <w:p w:rsidR="00C60EA8" w:rsidP="00A65158" w:rsidRDefault="00070A60" w14:paraId="4CEE7B99" w14:textId="05FC28D1">
      <w:pPr>
        <w:pStyle w:val="ListParagraph"/>
        <w:numPr>
          <w:ilvl w:val="1"/>
          <w:numId w:val="4"/>
        </w:numPr>
      </w:pPr>
      <w:r>
        <w:t>Treat them like excise taxes</w:t>
      </w:r>
    </w:p>
    <w:p w:rsidR="00070A60" w:rsidP="00A65158" w:rsidRDefault="00070A60" w14:paraId="35B68862" w14:textId="7E8F7252">
      <w:pPr>
        <w:pStyle w:val="ListParagraph"/>
        <w:numPr>
          <w:ilvl w:val="1"/>
          <w:numId w:val="4"/>
        </w:numPr>
      </w:pPr>
      <w:r>
        <w:t>About $2.1, 1.3, and 23 billion in 2020-22</w:t>
      </w:r>
    </w:p>
    <w:p w:rsidR="0094019E" w:rsidP="004F6C52" w:rsidRDefault="0094019E" w14:paraId="664CD14F" w14:textId="0D6EBD8C">
      <w:pPr>
        <w:pStyle w:val="ListParagraph"/>
        <w:numPr>
          <w:ilvl w:val="0"/>
          <w:numId w:val="4"/>
        </w:numPr>
      </w:pPr>
      <w:r>
        <w:t xml:space="preserve">Take off the </w:t>
      </w:r>
      <w:r w:rsidR="00C60EA8">
        <w:t>CBO-scored declines in other taxes</w:t>
      </w:r>
      <w:r w:rsidR="00A65158">
        <w:t>:</w:t>
      </w:r>
    </w:p>
    <w:p w:rsidR="00A65158" w:rsidP="00A65158" w:rsidRDefault="003F4D7E" w14:paraId="3EE30102" w14:textId="7EA5CEC8">
      <w:pPr>
        <w:pStyle w:val="ListParagraph"/>
        <w:numPr>
          <w:ilvl w:val="1"/>
          <w:numId w:val="4"/>
        </w:numPr>
      </w:pPr>
      <w:hyperlink w:history="1" r:id="rId28">
        <w:r w:rsidR="008702AA">
          <w:rPr>
            <w:rStyle w:val="Hyperlink"/>
          </w:rPr>
          <w:t>https://www.cbo.gov/system/files/2019-12/Supplemental%20Table%201%20-%20Division%20N.pdf</w:t>
        </w:r>
      </w:hyperlink>
    </w:p>
    <w:p w:rsidR="008702AA" w:rsidP="00A65158" w:rsidRDefault="003F4D7E" w14:paraId="39FACA83" w14:textId="70446E73">
      <w:pPr>
        <w:pStyle w:val="ListParagraph"/>
        <w:numPr>
          <w:ilvl w:val="1"/>
          <w:numId w:val="4"/>
        </w:numPr>
      </w:pPr>
      <w:hyperlink w:history="1" r:id="rId29">
        <w:r w:rsidR="008702AA">
          <w:rPr>
            <w:rStyle w:val="Hyperlink"/>
          </w:rPr>
          <w:t>https://www.cbo.gov/system/files/2019-12/hr1865_0.pdf</w:t>
        </w:r>
      </w:hyperlink>
    </w:p>
    <w:p w:rsidR="0096412F" w:rsidP="00A65158" w:rsidRDefault="0096412F" w14:paraId="0C4E2432" w14:textId="291C747C">
      <w:pPr>
        <w:pStyle w:val="ListParagraph"/>
        <w:numPr>
          <w:ilvl w:val="1"/>
          <w:numId w:val="4"/>
        </w:numPr>
      </w:pPr>
      <w:r>
        <w:t>Treat them like half personal and half corporate taxes for now</w:t>
      </w:r>
    </w:p>
    <w:p w:rsidR="0096412F" w:rsidP="00A65158" w:rsidRDefault="0096412F" w14:paraId="43AD8686" w14:textId="6555B84D">
      <w:pPr>
        <w:pStyle w:val="ListParagraph"/>
        <w:numPr>
          <w:ilvl w:val="1"/>
          <w:numId w:val="4"/>
        </w:numPr>
      </w:pPr>
      <w:r>
        <w:t xml:space="preserve">About </w:t>
      </w:r>
      <w:r w:rsidR="009A15DA">
        <w:t>32, 10, 4.5 billion in 2020-22</w:t>
      </w:r>
    </w:p>
    <w:p w:rsidR="00347779" w:rsidP="008961CB" w:rsidRDefault="00347779" w14:paraId="185A8327" w14:textId="77777777"/>
    <w:p w:rsidR="008961CB" w:rsidP="008961CB" w:rsidRDefault="008961CB" w14:paraId="248C5357" w14:textId="2A97B07D">
      <w:r>
        <w:t>See ‘Dec 2019 Legislation.xls’ worksheet</w:t>
      </w:r>
      <w:r w:rsidR="00347779">
        <w:t xml:space="preserve"> for the math. </w:t>
      </w:r>
    </w:p>
    <w:p w:rsidR="00236241" w:rsidP="008961CB" w:rsidRDefault="00236241" w14:paraId="6F8F2BCF" w14:textId="63663D8B"/>
    <w:p w:rsidR="00347779" w:rsidP="008961CB" w:rsidRDefault="00347779" w14:paraId="6453D72F" w14:textId="7F73102B"/>
    <w:p w:rsidR="00347779" w:rsidP="008961CB" w:rsidRDefault="00347779" w14:paraId="7C40499D" w14:textId="4954FFF3"/>
    <w:p w:rsidR="00347779" w:rsidP="008961CB" w:rsidRDefault="00347779" w14:paraId="5CEBE71D" w14:textId="610E3B92"/>
    <w:p w:rsidR="00347779" w:rsidP="008961CB" w:rsidRDefault="00347779" w14:paraId="7A10296D" w14:textId="59122F2F"/>
    <w:p w:rsidR="00347779" w:rsidP="008961CB" w:rsidRDefault="00347779" w14:paraId="29A91031" w14:textId="55DEF3C7"/>
    <w:p w:rsidR="00347779" w:rsidP="008961CB" w:rsidRDefault="00347779" w14:paraId="653AFA2C" w14:textId="229C64DE"/>
    <w:p w:rsidR="00347779" w:rsidP="008961CB" w:rsidRDefault="00347779" w14:paraId="64D66E4A" w14:textId="1151FE54"/>
    <w:p w:rsidR="00347779" w:rsidP="008961CB" w:rsidRDefault="00347779" w14:paraId="11969025" w14:textId="77777777"/>
    <w:tbl>
      <w:tblPr>
        <w:tblW w:w="9350" w:type="dxa"/>
        <w:tblLayout w:type="fixed"/>
        <w:tblLook w:val="04A0" w:firstRow="1" w:lastRow="0" w:firstColumn="1" w:lastColumn="0" w:noHBand="0" w:noVBand="1"/>
      </w:tblPr>
      <w:tblGrid>
        <w:gridCol w:w="5935"/>
        <w:gridCol w:w="1209"/>
        <w:gridCol w:w="1103"/>
        <w:gridCol w:w="1103"/>
      </w:tblGrid>
      <w:tr w:rsidRPr="00347779" w:rsidR="00347779" w:rsidTr="007B39B2" w14:paraId="0DBB83FF" w14:textId="77777777">
        <w:trPr>
          <w:trHeight w:val="900"/>
        </w:trPr>
        <w:tc>
          <w:tcPr>
            <w:tcW w:w="5935" w:type="dxa"/>
            <w:tcBorders>
              <w:top w:val="single" w:color="auto" w:sz="4" w:space="0"/>
              <w:left w:val="single" w:color="auto" w:sz="4" w:space="0"/>
              <w:bottom w:val="nil"/>
              <w:right w:val="nil"/>
            </w:tcBorders>
            <w:shd w:val="clear" w:color="auto" w:fill="auto"/>
            <w:vAlign w:val="bottom"/>
            <w:hideMark/>
          </w:tcPr>
          <w:p w:rsidRPr="00347779" w:rsidR="00347779" w:rsidP="00347779" w:rsidRDefault="003F4D7E" w14:paraId="5B3032DB" w14:textId="77777777">
            <w:pPr>
              <w:spacing w:after="0" w:line="240" w:lineRule="auto"/>
              <w:rPr>
                <w:rFonts w:ascii="Calibri" w:hAnsi="Calibri" w:eastAsia="Times New Roman" w:cs="Calibri"/>
                <w:color w:val="0563C1"/>
                <w:u w:val="single"/>
              </w:rPr>
            </w:pPr>
            <w:hyperlink w:history="1" r:id="rId30">
              <w:r w:rsidRPr="00347779" w:rsidR="00347779">
                <w:rPr>
                  <w:rFonts w:ascii="Calibri" w:hAnsi="Calibri" w:eastAsia="Times New Roman" w:cs="Calibri"/>
                  <w:color w:val="0563C1"/>
                  <w:u w:val="single"/>
                </w:rPr>
                <w:t>Took the revenue line items straight from JCT: https://www.jct.gov/publications.html?func=startdown&amp;id=5237</w:t>
              </w:r>
            </w:hyperlink>
          </w:p>
        </w:tc>
        <w:tc>
          <w:tcPr>
            <w:tcW w:w="1209" w:type="dxa"/>
            <w:tcBorders>
              <w:top w:val="single" w:color="auto" w:sz="4" w:space="0"/>
              <w:left w:val="nil"/>
              <w:bottom w:val="nil"/>
              <w:right w:val="nil"/>
            </w:tcBorders>
            <w:shd w:val="clear" w:color="auto" w:fill="auto"/>
            <w:noWrap/>
            <w:vAlign w:val="bottom"/>
            <w:hideMark/>
          </w:tcPr>
          <w:p w:rsidRPr="00347779" w:rsidR="00347779" w:rsidP="00347779" w:rsidRDefault="00347779" w14:paraId="631BE043"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FY</w:t>
            </w:r>
          </w:p>
        </w:tc>
        <w:tc>
          <w:tcPr>
            <w:tcW w:w="1103" w:type="dxa"/>
            <w:tcBorders>
              <w:top w:val="single" w:color="auto" w:sz="4" w:space="0"/>
              <w:left w:val="nil"/>
              <w:bottom w:val="nil"/>
              <w:right w:val="nil"/>
            </w:tcBorders>
            <w:shd w:val="clear" w:color="auto" w:fill="auto"/>
            <w:noWrap/>
            <w:vAlign w:val="bottom"/>
            <w:hideMark/>
          </w:tcPr>
          <w:p w:rsidRPr="00347779" w:rsidR="00347779" w:rsidP="00347779" w:rsidRDefault="00347779" w14:paraId="3F7748FA" w14:textId="77777777">
            <w:pPr>
              <w:spacing w:after="0" w:line="240" w:lineRule="auto"/>
              <w:rPr>
                <w:rFonts w:ascii="Calibri" w:hAnsi="Calibri" w:eastAsia="Times New Roman" w:cs="Calibri"/>
                <w:color w:val="000000"/>
              </w:rPr>
            </w:pPr>
          </w:p>
        </w:tc>
        <w:tc>
          <w:tcPr>
            <w:tcW w:w="1103" w:type="dxa"/>
            <w:tcBorders>
              <w:top w:val="single" w:color="auto" w:sz="4" w:space="0"/>
              <w:left w:val="nil"/>
              <w:bottom w:val="nil"/>
              <w:right w:val="single" w:color="auto" w:sz="4" w:space="0"/>
            </w:tcBorders>
            <w:shd w:val="clear" w:color="auto" w:fill="auto"/>
            <w:noWrap/>
            <w:vAlign w:val="bottom"/>
            <w:hideMark/>
          </w:tcPr>
          <w:p w:rsidRPr="00347779" w:rsidR="00347779" w:rsidP="00347779" w:rsidRDefault="00347779" w14:paraId="5E37621B" w14:textId="77777777">
            <w:pPr>
              <w:spacing w:after="0" w:line="240" w:lineRule="auto"/>
              <w:rPr>
                <w:rFonts w:ascii="Times New Roman" w:hAnsi="Times New Roman" w:eastAsia="Times New Roman" w:cs="Times New Roman"/>
                <w:sz w:val="20"/>
                <w:szCs w:val="20"/>
              </w:rPr>
            </w:pPr>
          </w:p>
        </w:tc>
      </w:tr>
      <w:tr w:rsidRPr="00347779" w:rsidR="00347779" w:rsidTr="007B39B2" w14:paraId="03F4B328" w14:textId="77777777">
        <w:trPr>
          <w:trHeight w:val="300"/>
        </w:trPr>
        <w:tc>
          <w:tcPr>
            <w:tcW w:w="5935" w:type="dxa"/>
            <w:tcBorders>
              <w:top w:val="single" w:color="auto" w:sz="4" w:space="0"/>
              <w:left w:val="single" w:color="auto" w:sz="4" w:space="0"/>
              <w:bottom w:val="nil"/>
              <w:right w:val="nil"/>
            </w:tcBorders>
            <w:shd w:val="clear" w:color="auto" w:fill="auto"/>
            <w:vAlign w:val="bottom"/>
            <w:hideMark/>
          </w:tcPr>
          <w:p w:rsidRPr="00347779" w:rsidR="00347779" w:rsidP="00347779" w:rsidRDefault="00347779" w14:paraId="6DC38D79"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c>
          <w:tcPr>
            <w:tcW w:w="1209" w:type="dxa"/>
            <w:tcBorders>
              <w:top w:val="single" w:color="auto" w:sz="4" w:space="0"/>
              <w:left w:val="nil"/>
              <w:bottom w:val="nil"/>
              <w:right w:val="nil"/>
            </w:tcBorders>
            <w:shd w:val="clear" w:color="auto" w:fill="auto"/>
            <w:noWrap/>
            <w:vAlign w:val="bottom"/>
            <w:hideMark/>
          </w:tcPr>
          <w:p w:rsidRPr="00347779" w:rsidR="00347779" w:rsidP="00347779" w:rsidRDefault="00347779" w14:paraId="021751DF" w14:textId="77777777">
            <w:pPr>
              <w:spacing w:after="0" w:line="240" w:lineRule="auto"/>
              <w:jc w:val="center"/>
              <w:rPr>
                <w:rFonts w:ascii="Calibri" w:hAnsi="Calibri" w:eastAsia="Times New Roman" w:cs="Calibri"/>
                <w:b/>
                <w:bCs/>
                <w:color w:val="000000"/>
              </w:rPr>
            </w:pPr>
            <w:r w:rsidRPr="00347779">
              <w:rPr>
                <w:rFonts w:ascii="Calibri" w:hAnsi="Calibri" w:eastAsia="Times New Roman" w:cs="Calibri"/>
                <w:b/>
                <w:bCs/>
                <w:color w:val="000000"/>
              </w:rPr>
              <w:t>2020</w:t>
            </w:r>
          </w:p>
        </w:tc>
        <w:tc>
          <w:tcPr>
            <w:tcW w:w="1103" w:type="dxa"/>
            <w:tcBorders>
              <w:top w:val="single" w:color="auto" w:sz="4" w:space="0"/>
              <w:left w:val="nil"/>
              <w:bottom w:val="nil"/>
              <w:right w:val="nil"/>
            </w:tcBorders>
            <w:shd w:val="clear" w:color="auto" w:fill="auto"/>
            <w:noWrap/>
            <w:vAlign w:val="bottom"/>
            <w:hideMark/>
          </w:tcPr>
          <w:p w:rsidRPr="00347779" w:rsidR="00347779" w:rsidP="00347779" w:rsidRDefault="00347779" w14:paraId="53AC95AD" w14:textId="77777777">
            <w:pPr>
              <w:spacing w:after="0" w:line="240" w:lineRule="auto"/>
              <w:jc w:val="center"/>
              <w:rPr>
                <w:rFonts w:ascii="Calibri" w:hAnsi="Calibri" w:eastAsia="Times New Roman" w:cs="Calibri"/>
                <w:b/>
                <w:bCs/>
                <w:color w:val="000000"/>
              </w:rPr>
            </w:pPr>
            <w:r w:rsidRPr="00347779">
              <w:rPr>
                <w:rFonts w:ascii="Calibri" w:hAnsi="Calibri" w:eastAsia="Times New Roman" w:cs="Calibri"/>
                <w:b/>
                <w:bCs/>
                <w:color w:val="000000"/>
              </w:rPr>
              <w:t>2021</w:t>
            </w:r>
          </w:p>
        </w:tc>
        <w:tc>
          <w:tcPr>
            <w:tcW w:w="1103" w:type="dxa"/>
            <w:tcBorders>
              <w:top w:val="single" w:color="auto" w:sz="4" w:space="0"/>
              <w:left w:val="nil"/>
              <w:bottom w:val="nil"/>
              <w:right w:val="single" w:color="auto" w:sz="4" w:space="0"/>
            </w:tcBorders>
            <w:shd w:val="clear" w:color="auto" w:fill="auto"/>
            <w:noWrap/>
            <w:vAlign w:val="bottom"/>
            <w:hideMark/>
          </w:tcPr>
          <w:p w:rsidRPr="00347779" w:rsidR="00347779" w:rsidP="00347779" w:rsidRDefault="00347779" w14:paraId="1EF6FA80" w14:textId="77777777">
            <w:pPr>
              <w:spacing w:after="0" w:line="240" w:lineRule="auto"/>
              <w:jc w:val="center"/>
              <w:rPr>
                <w:rFonts w:ascii="Calibri" w:hAnsi="Calibri" w:eastAsia="Times New Roman" w:cs="Calibri"/>
                <w:b/>
                <w:bCs/>
                <w:color w:val="000000"/>
              </w:rPr>
            </w:pPr>
            <w:r w:rsidRPr="00347779">
              <w:rPr>
                <w:rFonts w:ascii="Calibri" w:hAnsi="Calibri" w:eastAsia="Times New Roman" w:cs="Calibri"/>
                <w:b/>
                <w:bCs/>
                <w:color w:val="000000"/>
              </w:rPr>
              <w:t>2022</w:t>
            </w:r>
          </w:p>
        </w:tc>
      </w:tr>
      <w:tr w:rsidRPr="00347779" w:rsidR="00347779" w:rsidTr="007B39B2" w14:paraId="6C994B7A"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5D89B0EA" w14:textId="77777777">
            <w:pPr>
              <w:spacing w:after="0" w:line="240" w:lineRule="auto"/>
              <w:rPr>
                <w:rFonts w:ascii="Calibri" w:hAnsi="Calibri" w:eastAsia="Times New Roman" w:cs="Calibri"/>
                <w:b/>
                <w:bCs/>
                <w:color w:val="000000"/>
              </w:rPr>
            </w:pPr>
            <w:r w:rsidRPr="00347779">
              <w:rPr>
                <w:rFonts w:ascii="Calibri" w:hAnsi="Calibri" w:eastAsia="Times New Roman" w:cs="Calibri"/>
                <w:b/>
                <w:bCs/>
                <w:color w:val="000000"/>
              </w:rPr>
              <w:t>ECONOMIC VARS (percent)</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0654E15F" w14:textId="77777777">
            <w:pPr>
              <w:spacing w:after="0" w:line="240" w:lineRule="auto"/>
              <w:rPr>
                <w:rFonts w:ascii="Calibri" w:hAnsi="Calibri" w:eastAsia="Times New Roman" w:cs="Calibri"/>
                <w:b/>
                <w:bCs/>
                <w:color w:val="00000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01569D42"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72DB92BD" w14:textId="77777777">
            <w:pPr>
              <w:spacing w:after="0" w:line="240" w:lineRule="auto"/>
              <w:rPr>
                <w:rFonts w:ascii="Times New Roman" w:hAnsi="Times New Roman" w:eastAsia="Times New Roman" w:cs="Times New Roman"/>
                <w:sz w:val="20"/>
                <w:szCs w:val="20"/>
              </w:rPr>
            </w:pPr>
          </w:p>
        </w:tc>
      </w:tr>
      <w:tr w:rsidRPr="00347779" w:rsidR="00347779" w:rsidTr="007B39B2" w14:paraId="2CC14DC8"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4FF18593"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xml:space="preserve">Projected Real Potential </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7F9E34C9"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2.1</w:t>
            </w: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735C01CC"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2.1</w:t>
            </w: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2BBDD5D6"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2.1</w:t>
            </w:r>
          </w:p>
        </w:tc>
      </w:tr>
      <w:tr w:rsidRPr="00347779" w:rsidR="00347779" w:rsidTr="007B39B2" w14:paraId="29377573" w14:textId="77777777">
        <w:trPr>
          <w:trHeight w:val="300"/>
        </w:trPr>
        <w:tc>
          <w:tcPr>
            <w:tcW w:w="5935" w:type="dxa"/>
            <w:tcBorders>
              <w:top w:val="nil"/>
              <w:left w:val="single" w:color="auto" w:sz="4" w:space="0"/>
              <w:bottom w:val="single" w:color="auto" w:sz="4" w:space="0"/>
              <w:right w:val="nil"/>
            </w:tcBorders>
            <w:shd w:val="clear" w:color="auto" w:fill="auto"/>
            <w:vAlign w:val="bottom"/>
            <w:hideMark/>
          </w:tcPr>
          <w:p w:rsidRPr="00347779" w:rsidR="00347779" w:rsidP="00347779" w:rsidRDefault="00347779" w14:paraId="0ED1BFBC"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Projected Inflation</w:t>
            </w:r>
          </w:p>
        </w:tc>
        <w:tc>
          <w:tcPr>
            <w:tcW w:w="1209" w:type="dxa"/>
            <w:tcBorders>
              <w:top w:val="nil"/>
              <w:left w:val="nil"/>
              <w:bottom w:val="single" w:color="auto" w:sz="4" w:space="0"/>
              <w:right w:val="nil"/>
            </w:tcBorders>
            <w:shd w:val="clear" w:color="auto" w:fill="auto"/>
            <w:noWrap/>
            <w:vAlign w:val="bottom"/>
            <w:hideMark/>
          </w:tcPr>
          <w:p w:rsidRPr="00347779" w:rsidR="00347779" w:rsidP="00347779" w:rsidRDefault="00347779" w14:paraId="1FB54D1D"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2.1</w:t>
            </w:r>
          </w:p>
        </w:tc>
        <w:tc>
          <w:tcPr>
            <w:tcW w:w="1103" w:type="dxa"/>
            <w:tcBorders>
              <w:top w:val="nil"/>
              <w:left w:val="nil"/>
              <w:bottom w:val="single" w:color="auto" w:sz="4" w:space="0"/>
              <w:right w:val="nil"/>
            </w:tcBorders>
            <w:shd w:val="clear" w:color="auto" w:fill="auto"/>
            <w:noWrap/>
            <w:vAlign w:val="bottom"/>
            <w:hideMark/>
          </w:tcPr>
          <w:p w:rsidRPr="00347779" w:rsidR="00347779" w:rsidP="00347779" w:rsidRDefault="00347779" w14:paraId="095C25C2"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2.1</w:t>
            </w:r>
          </w:p>
        </w:tc>
        <w:tc>
          <w:tcPr>
            <w:tcW w:w="1103" w:type="dxa"/>
            <w:tcBorders>
              <w:top w:val="nil"/>
              <w:left w:val="nil"/>
              <w:bottom w:val="single" w:color="auto" w:sz="4" w:space="0"/>
              <w:right w:val="single" w:color="auto" w:sz="4" w:space="0"/>
            </w:tcBorders>
            <w:shd w:val="clear" w:color="auto" w:fill="auto"/>
            <w:noWrap/>
            <w:vAlign w:val="bottom"/>
            <w:hideMark/>
          </w:tcPr>
          <w:p w:rsidRPr="00347779" w:rsidR="00347779" w:rsidP="00347779" w:rsidRDefault="00347779" w14:paraId="2F213D3F"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2.1</w:t>
            </w:r>
          </w:p>
        </w:tc>
      </w:tr>
      <w:tr w:rsidRPr="00347779" w:rsidR="00347779" w:rsidTr="007B39B2" w14:paraId="224AB30D"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4FA19544" w14:textId="77777777">
            <w:pPr>
              <w:spacing w:after="0" w:line="240" w:lineRule="auto"/>
              <w:jc w:val="right"/>
              <w:rPr>
                <w:rFonts w:ascii="Calibri" w:hAnsi="Calibri" w:eastAsia="Times New Roman" w:cs="Calibri"/>
                <w:color w:val="000000"/>
              </w:rPr>
            </w:pP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04E83F67"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5CD502E5"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72DCF909" w14:textId="77777777">
            <w:pPr>
              <w:spacing w:after="0" w:line="240" w:lineRule="auto"/>
              <w:rPr>
                <w:rFonts w:ascii="Times New Roman" w:hAnsi="Times New Roman" w:eastAsia="Times New Roman" w:cs="Times New Roman"/>
                <w:sz w:val="20"/>
                <w:szCs w:val="20"/>
              </w:rPr>
            </w:pPr>
          </w:p>
        </w:tc>
      </w:tr>
      <w:tr w:rsidRPr="00347779" w:rsidR="00347779" w:rsidTr="007B39B2" w14:paraId="1FE926A3" w14:textId="77777777">
        <w:trPr>
          <w:trHeight w:val="300"/>
        </w:trPr>
        <w:tc>
          <w:tcPr>
            <w:tcW w:w="5935" w:type="dxa"/>
            <w:tcBorders>
              <w:top w:val="single" w:color="auto" w:sz="4" w:space="0"/>
              <w:left w:val="single" w:color="auto" w:sz="4" w:space="0"/>
              <w:bottom w:val="nil"/>
              <w:right w:val="nil"/>
            </w:tcBorders>
            <w:shd w:val="clear" w:color="auto" w:fill="auto"/>
            <w:vAlign w:val="bottom"/>
            <w:hideMark/>
          </w:tcPr>
          <w:p w:rsidRPr="00347779" w:rsidR="00347779" w:rsidP="00347779" w:rsidRDefault="00347779" w14:paraId="26C3B90A" w14:textId="77777777">
            <w:pPr>
              <w:spacing w:after="0" w:line="240" w:lineRule="auto"/>
              <w:rPr>
                <w:rFonts w:ascii="Calibri" w:hAnsi="Calibri" w:eastAsia="Times New Roman" w:cs="Calibri"/>
                <w:b/>
                <w:bCs/>
                <w:color w:val="000000"/>
              </w:rPr>
            </w:pPr>
            <w:r w:rsidRPr="00347779">
              <w:rPr>
                <w:rFonts w:ascii="Calibri" w:hAnsi="Calibri" w:eastAsia="Times New Roman" w:cs="Calibri"/>
                <w:b/>
                <w:bCs/>
                <w:color w:val="000000"/>
              </w:rPr>
              <w:t>REVENUE PROVISIONS, Millions of Dollars</w:t>
            </w:r>
          </w:p>
        </w:tc>
        <w:tc>
          <w:tcPr>
            <w:tcW w:w="1209" w:type="dxa"/>
            <w:tcBorders>
              <w:top w:val="single" w:color="auto" w:sz="4" w:space="0"/>
              <w:left w:val="nil"/>
              <w:bottom w:val="nil"/>
              <w:right w:val="nil"/>
            </w:tcBorders>
            <w:shd w:val="clear" w:color="auto" w:fill="auto"/>
            <w:noWrap/>
            <w:vAlign w:val="bottom"/>
            <w:hideMark/>
          </w:tcPr>
          <w:p w:rsidRPr="00347779" w:rsidR="00347779" w:rsidP="00347779" w:rsidRDefault="00347779" w14:paraId="3D9E7AC4"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c>
          <w:tcPr>
            <w:tcW w:w="1103" w:type="dxa"/>
            <w:tcBorders>
              <w:top w:val="single" w:color="auto" w:sz="4" w:space="0"/>
              <w:left w:val="nil"/>
              <w:bottom w:val="nil"/>
              <w:right w:val="nil"/>
            </w:tcBorders>
            <w:shd w:val="clear" w:color="auto" w:fill="auto"/>
            <w:noWrap/>
            <w:vAlign w:val="bottom"/>
            <w:hideMark/>
          </w:tcPr>
          <w:p w:rsidRPr="00347779" w:rsidR="00347779" w:rsidP="00347779" w:rsidRDefault="00347779" w14:paraId="03D88BA5"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c>
          <w:tcPr>
            <w:tcW w:w="1103" w:type="dxa"/>
            <w:tcBorders>
              <w:top w:val="single" w:color="auto" w:sz="4" w:space="0"/>
              <w:left w:val="nil"/>
              <w:bottom w:val="nil"/>
              <w:right w:val="single" w:color="auto" w:sz="4" w:space="0"/>
            </w:tcBorders>
            <w:shd w:val="clear" w:color="auto" w:fill="auto"/>
            <w:noWrap/>
            <w:vAlign w:val="bottom"/>
            <w:hideMark/>
          </w:tcPr>
          <w:p w:rsidRPr="00347779" w:rsidR="00347779" w:rsidP="00347779" w:rsidRDefault="00347779" w14:paraId="2571F5A3"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r>
      <w:tr w:rsidRPr="00347779" w:rsidR="00347779" w:rsidTr="007B39B2" w14:paraId="1E9961B3"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4E7C0C70"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DIVISION N - HEALTH AND HUMAN SERVICES EXTENDERS</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07F5FAA2"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-1,589</w:t>
            </w: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029CD972"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-15,912</w:t>
            </w: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564E8D8E"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-23,417</w:t>
            </w:r>
          </w:p>
        </w:tc>
      </w:tr>
      <w:tr w:rsidRPr="00347779" w:rsidR="00347779" w:rsidTr="007B39B2" w14:paraId="42BDA1E2" w14:textId="77777777">
        <w:trPr>
          <w:trHeight w:val="6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7D45C3B9"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DIVISION O - SETTING EVERY COMMUNITY UP FOR RETIREMENT</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78729D25"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-973</w:t>
            </w: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600387E7"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-574</w:t>
            </w: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0281A5AD"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-282</w:t>
            </w:r>
          </w:p>
        </w:tc>
      </w:tr>
      <w:tr w:rsidRPr="00347779" w:rsidR="00347779" w:rsidTr="007B39B2" w14:paraId="1A13AD2E" w14:textId="77777777">
        <w:trPr>
          <w:trHeight w:val="600"/>
        </w:trPr>
        <w:tc>
          <w:tcPr>
            <w:tcW w:w="5935" w:type="dxa"/>
            <w:tcBorders>
              <w:top w:val="nil"/>
              <w:left w:val="single" w:color="auto" w:sz="4" w:space="0"/>
              <w:bottom w:val="nil"/>
              <w:right w:val="nil"/>
            </w:tcBorders>
            <w:shd w:val="clear" w:color="000000" w:fill="F8CBAD"/>
            <w:vAlign w:val="bottom"/>
            <w:hideMark/>
          </w:tcPr>
          <w:p w:rsidR="007B39B2" w:rsidP="00347779" w:rsidRDefault="00347779" w14:paraId="0C8C6003" w14:textId="7ECA442C">
            <w:pPr>
              <w:spacing w:after="0" w:line="240" w:lineRule="auto"/>
              <w:rPr>
                <w:rFonts w:ascii="Calibri" w:hAnsi="Calibri" w:eastAsia="Times New Roman" w:cs="Calibri"/>
                <w:color w:val="000000"/>
              </w:rPr>
            </w:pPr>
            <w:r w:rsidRPr="00347779">
              <w:rPr>
                <w:rFonts w:ascii="Calibri" w:hAnsi="Calibri" w:eastAsia="Times New Roman" w:cs="Calibri"/>
                <w:color w:val="000000"/>
              </w:rPr>
              <w:t xml:space="preserve">DIVISION Q - REVENUE PROVISIONS </w:t>
            </w:r>
            <w:r w:rsidR="007B39B2">
              <w:rPr>
                <w:rFonts w:ascii="Calibri" w:hAnsi="Calibri" w:eastAsia="Times New Roman" w:cs="Calibri"/>
                <w:color w:val="000000"/>
              </w:rPr>
              <w:t>–</w:t>
            </w:r>
            <w:r w:rsidRPr="00347779">
              <w:rPr>
                <w:rFonts w:ascii="Calibri" w:hAnsi="Calibri" w:eastAsia="Times New Roman" w:cs="Calibri"/>
                <w:color w:val="000000"/>
              </w:rPr>
              <w:t xml:space="preserve"> </w:t>
            </w:r>
          </w:p>
          <w:p w:rsidRPr="00347779" w:rsidR="00347779" w:rsidP="00347779" w:rsidRDefault="00347779" w14:paraId="7FF8323E" w14:textId="1B1194F6">
            <w:pPr>
              <w:spacing w:after="0" w:line="240" w:lineRule="auto"/>
              <w:rPr>
                <w:rFonts w:ascii="Calibri" w:hAnsi="Calibri" w:eastAsia="Times New Roman" w:cs="Calibri"/>
                <w:color w:val="000000"/>
              </w:rPr>
            </w:pPr>
            <w:r w:rsidRPr="00347779">
              <w:rPr>
                <w:rFonts w:ascii="Calibri" w:hAnsi="Calibri" w:eastAsia="Times New Roman" w:cs="Calibri"/>
                <w:b/>
                <w:bCs/>
                <w:color w:val="000000"/>
              </w:rPr>
              <w:t>Most provisions sunset 12/31/ 2020</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6FAC6EE1"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-32,483</w:t>
            </w: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45269F68"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-10,506</w:t>
            </w: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75BE2162"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-4,501</w:t>
            </w:r>
          </w:p>
        </w:tc>
      </w:tr>
      <w:tr w:rsidRPr="00347779" w:rsidR="00347779" w:rsidTr="007B39B2" w14:paraId="7D0D39E5"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7FE78BDC"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70ED6211" w14:textId="77777777">
            <w:pPr>
              <w:spacing w:after="0" w:line="240" w:lineRule="auto"/>
              <w:rPr>
                <w:rFonts w:ascii="Calibri" w:hAnsi="Calibri" w:eastAsia="Times New Roman" w:cs="Calibri"/>
                <w:color w:val="00000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5DD81CC9"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46D5398A" w14:textId="77777777">
            <w:pPr>
              <w:spacing w:after="0" w:line="240" w:lineRule="auto"/>
              <w:rPr>
                <w:rFonts w:ascii="Times New Roman" w:hAnsi="Times New Roman" w:eastAsia="Times New Roman" w:cs="Times New Roman"/>
                <w:sz w:val="20"/>
                <w:szCs w:val="20"/>
              </w:rPr>
            </w:pPr>
          </w:p>
        </w:tc>
      </w:tr>
      <w:tr w:rsidRPr="00347779" w:rsidR="00347779" w:rsidTr="007B39B2" w14:paraId="5ED72653" w14:textId="77777777">
        <w:trPr>
          <w:trHeight w:val="6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7F73136D" w14:textId="77777777">
            <w:pPr>
              <w:spacing w:after="0" w:line="240" w:lineRule="auto"/>
              <w:rPr>
                <w:rFonts w:ascii="Calibri" w:hAnsi="Calibri" w:eastAsia="Times New Roman" w:cs="Calibri"/>
                <w:b/>
                <w:bCs/>
                <w:color w:val="000000"/>
              </w:rPr>
            </w:pPr>
            <w:r w:rsidRPr="00347779">
              <w:rPr>
                <w:rFonts w:ascii="Calibri" w:hAnsi="Calibri" w:eastAsia="Times New Roman" w:cs="Calibri"/>
                <w:b/>
                <w:bCs/>
                <w:color w:val="000000"/>
              </w:rPr>
              <w:t>REVENUE ADD-ONS, assuming sunsetting provisions do not sunset</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7CBD4BEF" w14:textId="77777777">
            <w:pPr>
              <w:spacing w:after="0" w:line="240" w:lineRule="auto"/>
              <w:rPr>
                <w:rFonts w:ascii="Calibri" w:hAnsi="Calibri" w:eastAsia="Times New Roman" w:cs="Calibri"/>
                <w:b/>
                <w:bCs/>
                <w:color w:val="00000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0516FC19"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5DD210B0" w14:textId="77777777">
            <w:pPr>
              <w:spacing w:after="0" w:line="240" w:lineRule="auto"/>
              <w:rPr>
                <w:rFonts w:ascii="Times New Roman" w:hAnsi="Times New Roman" w:eastAsia="Times New Roman" w:cs="Times New Roman"/>
                <w:sz w:val="20"/>
                <w:szCs w:val="20"/>
              </w:rPr>
            </w:pPr>
          </w:p>
        </w:tc>
      </w:tr>
      <w:tr w:rsidRPr="00347779" w:rsidR="00347779" w:rsidTr="007B39B2" w14:paraId="5E9E8D85"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7EE617B0"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Excise (Non-corporate taxes)</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5C27BD76"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-1,589</w:t>
            </w: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7B9C41E3"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-15,912</w:t>
            </w: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3498A27E"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-23,417</w:t>
            </w:r>
          </w:p>
        </w:tc>
      </w:tr>
      <w:tr w:rsidRPr="00347779" w:rsidR="00347779" w:rsidTr="007B39B2" w14:paraId="6E9D8974"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03A807AE"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Other (Non-corporate taxes)</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603B41F3"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-16,728</w:t>
            </w:r>
          </w:p>
        </w:tc>
        <w:tc>
          <w:tcPr>
            <w:tcW w:w="1103" w:type="dxa"/>
            <w:tcBorders>
              <w:top w:val="nil"/>
              <w:left w:val="nil"/>
              <w:bottom w:val="nil"/>
              <w:right w:val="nil"/>
            </w:tcBorders>
            <w:shd w:val="clear" w:color="000000" w:fill="F8CBAD"/>
            <w:noWrap/>
            <w:vAlign w:val="bottom"/>
            <w:hideMark/>
          </w:tcPr>
          <w:p w:rsidRPr="00347779" w:rsidR="00347779" w:rsidP="00347779" w:rsidRDefault="00347779" w14:paraId="5C5DF9C4"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-17,427</w:t>
            </w:r>
          </w:p>
        </w:tc>
        <w:tc>
          <w:tcPr>
            <w:tcW w:w="1103" w:type="dxa"/>
            <w:tcBorders>
              <w:top w:val="nil"/>
              <w:left w:val="nil"/>
              <w:bottom w:val="nil"/>
              <w:right w:val="single" w:color="auto" w:sz="4" w:space="0"/>
            </w:tcBorders>
            <w:shd w:val="clear" w:color="000000" w:fill="F8CBAD"/>
            <w:noWrap/>
            <w:vAlign w:val="bottom"/>
            <w:hideMark/>
          </w:tcPr>
          <w:p w:rsidRPr="00347779" w:rsidR="00347779" w:rsidP="00347779" w:rsidRDefault="00347779" w14:paraId="1C43C306"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-18,145</w:t>
            </w:r>
          </w:p>
        </w:tc>
      </w:tr>
      <w:tr w:rsidRPr="00347779" w:rsidR="00347779" w:rsidTr="007B39B2" w14:paraId="3D8D72D9"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2CAF23E6"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Non-Corporate Taxes</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5600F2AA"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-18,317</w:t>
            </w: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7D6A41DD"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-33,339</w:t>
            </w: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706DC0E1"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-41,562</w:t>
            </w:r>
          </w:p>
        </w:tc>
      </w:tr>
      <w:tr w:rsidRPr="00347779" w:rsidR="00347779" w:rsidTr="007B39B2" w14:paraId="1C3AF7A3"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767BB317"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Corporate Taxes</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02926568"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-16,242</w:t>
            </w:r>
          </w:p>
        </w:tc>
        <w:tc>
          <w:tcPr>
            <w:tcW w:w="1103" w:type="dxa"/>
            <w:tcBorders>
              <w:top w:val="nil"/>
              <w:left w:val="nil"/>
              <w:bottom w:val="nil"/>
              <w:right w:val="nil"/>
            </w:tcBorders>
            <w:shd w:val="clear" w:color="000000" w:fill="F8CBAD"/>
            <w:noWrap/>
            <w:vAlign w:val="bottom"/>
            <w:hideMark/>
          </w:tcPr>
          <w:p w:rsidRPr="00347779" w:rsidR="00347779" w:rsidP="00347779" w:rsidRDefault="00347779" w14:paraId="4548F78F"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-16,920</w:t>
            </w:r>
          </w:p>
        </w:tc>
        <w:tc>
          <w:tcPr>
            <w:tcW w:w="1103" w:type="dxa"/>
            <w:tcBorders>
              <w:top w:val="nil"/>
              <w:left w:val="nil"/>
              <w:bottom w:val="nil"/>
              <w:right w:val="single" w:color="auto" w:sz="4" w:space="0"/>
            </w:tcBorders>
            <w:shd w:val="clear" w:color="000000" w:fill="F8CBAD"/>
            <w:noWrap/>
            <w:vAlign w:val="bottom"/>
            <w:hideMark/>
          </w:tcPr>
          <w:p w:rsidRPr="00347779" w:rsidR="00347779" w:rsidP="00347779" w:rsidRDefault="00347779" w14:paraId="1B4E0C4F"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-17,617</w:t>
            </w:r>
          </w:p>
        </w:tc>
      </w:tr>
      <w:tr w:rsidRPr="00347779" w:rsidR="00347779" w:rsidTr="007B39B2" w14:paraId="0597DDBD"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1D3ADFE4"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76ABDFBA" w14:textId="77777777">
            <w:pPr>
              <w:spacing w:after="0" w:line="240" w:lineRule="auto"/>
              <w:rPr>
                <w:rFonts w:ascii="Calibri" w:hAnsi="Calibri" w:eastAsia="Times New Roman" w:cs="Calibri"/>
                <w:color w:val="00000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3AB2E1B9"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7B8A597C" w14:textId="77777777">
            <w:pPr>
              <w:spacing w:after="0" w:line="240" w:lineRule="auto"/>
              <w:rPr>
                <w:rFonts w:ascii="Times New Roman" w:hAnsi="Times New Roman" w:eastAsia="Times New Roman" w:cs="Times New Roman"/>
                <w:sz w:val="20"/>
                <w:szCs w:val="20"/>
              </w:rPr>
            </w:pPr>
          </w:p>
        </w:tc>
      </w:tr>
      <w:tr w:rsidRPr="00347779" w:rsidR="00347779" w:rsidTr="007B39B2" w14:paraId="57D40CC0"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2E226085" w14:textId="77777777">
            <w:pPr>
              <w:spacing w:after="0" w:line="240" w:lineRule="auto"/>
              <w:rPr>
                <w:rFonts w:ascii="Calibri" w:hAnsi="Calibri" w:eastAsia="Times New Roman" w:cs="Calibri"/>
                <w:b/>
                <w:bCs/>
                <w:color w:val="000000"/>
              </w:rPr>
            </w:pPr>
            <w:r w:rsidRPr="00347779">
              <w:rPr>
                <w:rFonts w:ascii="Calibri" w:hAnsi="Calibri" w:eastAsia="Times New Roman" w:cs="Calibri"/>
                <w:b/>
                <w:bCs/>
                <w:color w:val="000000"/>
              </w:rPr>
              <w:t>REVENUE TOTALS</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77DDA561" w14:textId="77777777">
            <w:pPr>
              <w:spacing w:after="0" w:line="240" w:lineRule="auto"/>
              <w:rPr>
                <w:rFonts w:ascii="Calibri" w:hAnsi="Calibri" w:eastAsia="Times New Roman" w:cs="Calibri"/>
                <w:b/>
                <w:bCs/>
                <w:color w:val="00000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0D1E7CFE"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65ADCE66" w14:textId="77777777">
            <w:pPr>
              <w:spacing w:after="0" w:line="240" w:lineRule="auto"/>
              <w:rPr>
                <w:rFonts w:ascii="Times New Roman" w:hAnsi="Times New Roman" w:eastAsia="Times New Roman" w:cs="Times New Roman"/>
                <w:sz w:val="20"/>
                <w:szCs w:val="20"/>
              </w:rPr>
            </w:pPr>
          </w:p>
        </w:tc>
      </w:tr>
      <w:tr w:rsidRPr="00347779" w:rsidR="00347779" w:rsidTr="007B39B2" w14:paraId="766FA325"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7CF9F897"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Non-Corporate Taxes - OLD</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1CC2A6B4"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3,414,000</w:t>
            </w: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728205F4"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3,549,000</w:t>
            </w: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012B552F"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3,693,000</w:t>
            </w:r>
          </w:p>
        </w:tc>
      </w:tr>
      <w:tr w:rsidRPr="00347779" w:rsidR="00347779" w:rsidTr="007B39B2" w14:paraId="49C90146"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33D2AFB0"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Non-Corporate Taxes - NEW</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34AAD1DF"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3,395,683</w:t>
            </w: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1842372C"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3,515,661</w:t>
            </w: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3F4B60AF"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3,651,438</w:t>
            </w:r>
          </w:p>
        </w:tc>
      </w:tr>
      <w:tr w:rsidRPr="00347779" w:rsidR="00347779" w:rsidTr="007B39B2" w14:paraId="6D1C5FB2"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3F42C341"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Corporate Taxes - OLD</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7F4972DF"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243,000</w:t>
            </w: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3FC8C22F"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261,000</w:t>
            </w: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13CE5194"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286,000</w:t>
            </w:r>
          </w:p>
        </w:tc>
      </w:tr>
      <w:tr w:rsidRPr="00347779" w:rsidR="00347779" w:rsidTr="007B39B2" w14:paraId="6CCF8BD8" w14:textId="77777777">
        <w:trPr>
          <w:trHeight w:val="300"/>
        </w:trPr>
        <w:tc>
          <w:tcPr>
            <w:tcW w:w="5935" w:type="dxa"/>
            <w:tcBorders>
              <w:top w:val="nil"/>
              <w:left w:val="single" w:color="auto" w:sz="4" w:space="0"/>
              <w:bottom w:val="single" w:color="auto" w:sz="4" w:space="0"/>
              <w:right w:val="nil"/>
            </w:tcBorders>
            <w:shd w:val="clear" w:color="auto" w:fill="auto"/>
            <w:vAlign w:val="bottom"/>
            <w:hideMark/>
          </w:tcPr>
          <w:p w:rsidRPr="00347779" w:rsidR="00347779" w:rsidP="00347779" w:rsidRDefault="00347779" w14:paraId="7490340F"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Corporate Taxes - NEW</w:t>
            </w:r>
          </w:p>
        </w:tc>
        <w:tc>
          <w:tcPr>
            <w:tcW w:w="1209" w:type="dxa"/>
            <w:tcBorders>
              <w:top w:val="nil"/>
              <w:left w:val="nil"/>
              <w:bottom w:val="single" w:color="auto" w:sz="4" w:space="0"/>
              <w:right w:val="nil"/>
            </w:tcBorders>
            <w:shd w:val="clear" w:color="auto" w:fill="auto"/>
            <w:noWrap/>
            <w:vAlign w:val="bottom"/>
            <w:hideMark/>
          </w:tcPr>
          <w:p w:rsidRPr="00347779" w:rsidR="00347779" w:rsidP="00347779" w:rsidRDefault="00347779" w14:paraId="5B2A2227"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226,759</w:t>
            </w:r>
          </w:p>
        </w:tc>
        <w:tc>
          <w:tcPr>
            <w:tcW w:w="1103" w:type="dxa"/>
            <w:tcBorders>
              <w:top w:val="nil"/>
              <w:left w:val="nil"/>
              <w:bottom w:val="single" w:color="auto" w:sz="4" w:space="0"/>
              <w:right w:val="nil"/>
            </w:tcBorders>
            <w:shd w:val="clear" w:color="auto" w:fill="auto"/>
            <w:noWrap/>
            <w:vAlign w:val="bottom"/>
            <w:hideMark/>
          </w:tcPr>
          <w:p w:rsidRPr="00347779" w:rsidR="00347779" w:rsidP="00347779" w:rsidRDefault="00347779" w14:paraId="7A6D11FF"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244,080</w:t>
            </w:r>
          </w:p>
        </w:tc>
        <w:tc>
          <w:tcPr>
            <w:tcW w:w="1103" w:type="dxa"/>
            <w:tcBorders>
              <w:top w:val="nil"/>
              <w:left w:val="nil"/>
              <w:bottom w:val="single" w:color="auto" w:sz="4" w:space="0"/>
              <w:right w:val="single" w:color="auto" w:sz="4" w:space="0"/>
            </w:tcBorders>
            <w:shd w:val="clear" w:color="auto" w:fill="auto"/>
            <w:noWrap/>
            <w:vAlign w:val="bottom"/>
            <w:hideMark/>
          </w:tcPr>
          <w:p w:rsidRPr="00347779" w:rsidR="00347779" w:rsidP="00347779" w:rsidRDefault="00347779" w14:paraId="4558700D"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268,383</w:t>
            </w:r>
          </w:p>
        </w:tc>
      </w:tr>
      <w:tr w:rsidRPr="00347779" w:rsidR="00347779" w:rsidTr="007B39B2" w14:paraId="59286187"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7134D799" w14:textId="77777777">
            <w:pPr>
              <w:spacing w:after="0" w:line="240" w:lineRule="auto"/>
              <w:jc w:val="right"/>
              <w:rPr>
                <w:rFonts w:ascii="Calibri" w:hAnsi="Calibri" w:eastAsia="Times New Roman" w:cs="Calibri"/>
                <w:color w:val="000000"/>
              </w:rPr>
            </w:pP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13400BC9"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1B10D399"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6F92432F" w14:textId="77777777">
            <w:pPr>
              <w:spacing w:after="0" w:line="240" w:lineRule="auto"/>
              <w:rPr>
                <w:rFonts w:ascii="Times New Roman" w:hAnsi="Times New Roman" w:eastAsia="Times New Roman" w:cs="Times New Roman"/>
                <w:sz w:val="20"/>
                <w:szCs w:val="20"/>
              </w:rPr>
            </w:pPr>
          </w:p>
        </w:tc>
      </w:tr>
      <w:tr w:rsidRPr="00347779" w:rsidR="00347779" w:rsidTr="007B39B2" w14:paraId="15CF4F0B" w14:textId="77777777">
        <w:trPr>
          <w:trHeight w:val="300"/>
        </w:trPr>
        <w:tc>
          <w:tcPr>
            <w:tcW w:w="5935" w:type="dxa"/>
            <w:tcBorders>
              <w:top w:val="single" w:color="auto" w:sz="4" w:space="0"/>
              <w:left w:val="single" w:color="auto" w:sz="4" w:space="0"/>
              <w:bottom w:val="nil"/>
              <w:right w:val="nil"/>
            </w:tcBorders>
            <w:shd w:val="clear" w:color="auto" w:fill="auto"/>
            <w:vAlign w:val="bottom"/>
            <w:hideMark/>
          </w:tcPr>
          <w:p w:rsidRPr="00347779" w:rsidR="00347779" w:rsidP="00347779" w:rsidRDefault="00347779" w14:paraId="7D3250D4" w14:textId="77777777">
            <w:pPr>
              <w:spacing w:after="0" w:line="240" w:lineRule="auto"/>
              <w:rPr>
                <w:rFonts w:ascii="Calibri" w:hAnsi="Calibri" w:eastAsia="Times New Roman" w:cs="Calibri"/>
                <w:b/>
                <w:bCs/>
                <w:color w:val="000000"/>
              </w:rPr>
            </w:pPr>
            <w:r w:rsidRPr="00347779">
              <w:rPr>
                <w:rFonts w:ascii="Calibri" w:hAnsi="Calibri" w:eastAsia="Times New Roman" w:cs="Calibri"/>
                <w:b/>
                <w:bCs/>
                <w:color w:val="000000"/>
              </w:rPr>
              <w:t>SPENDING PROVISIONS, Millions of Dollars</w:t>
            </w:r>
          </w:p>
        </w:tc>
        <w:tc>
          <w:tcPr>
            <w:tcW w:w="1209" w:type="dxa"/>
            <w:tcBorders>
              <w:top w:val="single" w:color="auto" w:sz="4" w:space="0"/>
              <w:left w:val="nil"/>
              <w:bottom w:val="nil"/>
              <w:right w:val="nil"/>
            </w:tcBorders>
            <w:shd w:val="clear" w:color="auto" w:fill="auto"/>
            <w:noWrap/>
            <w:vAlign w:val="bottom"/>
            <w:hideMark/>
          </w:tcPr>
          <w:p w:rsidRPr="00347779" w:rsidR="00347779" w:rsidP="00347779" w:rsidRDefault="00347779" w14:paraId="0E53DE96"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c>
          <w:tcPr>
            <w:tcW w:w="1103" w:type="dxa"/>
            <w:tcBorders>
              <w:top w:val="single" w:color="auto" w:sz="4" w:space="0"/>
              <w:left w:val="nil"/>
              <w:bottom w:val="nil"/>
              <w:right w:val="nil"/>
            </w:tcBorders>
            <w:shd w:val="clear" w:color="auto" w:fill="auto"/>
            <w:noWrap/>
            <w:vAlign w:val="bottom"/>
            <w:hideMark/>
          </w:tcPr>
          <w:p w:rsidRPr="00347779" w:rsidR="00347779" w:rsidP="00347779" w:rsidRDefault="00347779" w14:paraId="428EE6DA"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c>
          <w:tcPr>
            <w:tcW w:w="1103" w:type="dxa"/>
            <w:tcBorders>
              <w:top w:val="single" w:color="auto" w:sz="4" w:space="0"/>
              <w:left w:val="nil"/>
              <w:bottom w:val="nil"/>
              <w:right w:val="single" w:color="auto" w:sz="4" w:space="0"/>
            </w:tcBorders>
            <w:shd w:val="clear" w:color="auto" w:fill="auto"/>
            <w:noWrap/>
            <w:vAlign w:val="bottom"/>
            <w:hideMark/>
          </w:tcPr>
          <w:p w:rsidRPr="00347779" w:rsidR="00347779" w:rsidP="00347779" w:rsidRDefault="00347779" w14:paraId="7F3B022C"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r>
      <w:tr w:rsidRPr="00347779" w:rsidR="00347779" w:rsidTr="007B39B2" w14:paraId="012028BF"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4D18129E"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Estimated raise of CAP ADJUSTMENTS</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2F8F0507"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18,726</w:t>
            </w: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1CC097EA" w14:textId="77777777">
            <w:pPr>
              <w:spacing w:after="0" w:line="240" w:lineRule="auto"/>
              <w:jc w:val="center"/>
              <w:rPr>
                <w:rFonts w:ascii="Calibri" w:hAnsi="Calibri" w:eastAsia="Times New Roman" w:cs="Calibri"/>
                <w:color w:val="000000"/>
              </w:rPr>
            </w:pPr>
            <w:r w:rsidRPr="00347779">
              <w:rPr>
                <w:rFonts w:ascii="Calibri" w:hAnsi="Calibri" w:eastAsia="Times New Roman" w:cs="Calibri"/>
                <w:color w:val="000000"/>
              </w:rPr>
              <w:t>--</w:t>
            </w: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2390B298" w14:textId="77777777">
            <w:pPr>
              <w:spacing w:after="0" w:line="240" w:lineRule="auto"/>
              <w:jc w:val="center"/>
              <w:rPr>
                <w:rFonts w:ascii="Calibri" w:hAnsi="Calibri" w:eastAsia="Times New Roman" w:cs="Calibri"/>
                <w:color w:val="000000"/>
              </w:rPr>
            </w:pPr>
            <w:r w:rsidRPr="00347779">
              <w:rPr>
                <w:rFonts w:ascii="Calibri" w:hAnsi="Calibri" w:eastAsia="Times New Roman" w:cs="Calibri"/>
                <w:color w:val="000000"/>
              </w:rPr>
              <w:t>--</w:t>
            </w:r>
          </w:p>
        </w:tc>
      </w:tr>
      <w:tr w:rsidRPr="00347779" w:rsidR="00347779" w:rsidTr="007B39B2" w14:paraId="53B40C03"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49C7CB5A"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10D11CBB" w14:textId="77777777">
            <w:pPr>
              <w:spacing w:after="0" w:line="240" w:lineRule="auto"/>
              <w:rPr>
                <w:rFonts w:ascii="Calibri" w:hAnsi="Calibri" w:eastAsia="Times New Roman" w:cs="Calibri"/>
                <w:color w:val="00000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4147F97E"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013B1C29" w14:textId="77777777">
            <w:pPr>
              <w:spacing w:after="0" w:line="240" w:lineRule="auto"/>
              <w:rPr>
                <w:rFonts w:ascii="Times New Roman" w:hAnsi="Times New Roman" w:eastAsia="Times New Roman" w:cs="Times New Roman"/>
                <w:sz w:val="20"/>
                <w:szCs w:val="20"/>
              </w:rPr>
            </w:pPr>
          </w:p>
        </w:tc>
      </w:tr>
      <w:tr w:rsidRPr="00347779" w:rsidR="00347779" w:rsidTr="007B39B2" w14:paraId="77267382" w14:textId="77777777">
        <w:trPr>
          <w:trHeight w:val="6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3D3DB4FE" w14:textId="77777777">
            <w:pPr>
              <w:spacing w:after="0" w:line="240" w:lineRule="auto"/>
              <w:rPr>
                <w:rFonts w:ascii="Calibri" w:hAnsi="Calibri" w:eastAsia="Times New Roman" w:cs="Calibri"/>
                <w:b/>
                <w:bCs/>
                <w:color w:val="000000"/>
              </w:rPr>
            </w:pPr>
            <w:r w:rsidRPr="00347779">
              <w:rPr>
                <w:rFonts w:ascii="Calibri" w:hAnsi="Calibri" w:eastAsia="Times New Roman" w:cs="Calibri"/>
                <w:b/>
                <w:bCs/>
                <w:color w:val="000000"/>
              </w:rPr>
              <w:t>SPENDING ADD-ONS, assuming cap adjustments continue to rise</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03555AC8" w14:textId="77777777">
            <w:pPr>
              <w:spacing w:after="0" w:line="240" w:lineRule="auto"/>
              <w:rPr>
                <w:rFonts w:ascii="Calibri" w:hAnsi="Calibri" w:eastAsia="Times New Roman" w:cs="Calibri"/>
                <w:b/>
                <w:bCs/>
                <w:color w:val="00000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7C884A59"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1399322C" w14:textId="77777777">
            <w:pPr>
              <w:spacing w:after="0" w:line="240" w:lineRule="auto"/>
              <w:rPr>
                <w:rFonts w:ascii="Times New Roman" w:hAnsi="Times New Roman" w:eastAsia="Times New Roman" w:cs="Times New Roman"/>
                <w:sz w:val="20"/>
                <w:szCs w:val="20"/>
              </w:rPr>
            </w:pPr>
          </w:p>
        </w:tc>
      </w:tr>
      <w:tr w:rsidRPr="00347779" w:rsidR="00347779" w:rsidTr="007B39B2" w14:paraId="5C0A8FAE"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192A44E7"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Estimated raise of CAP ADJUSTMENTS</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05A2235E"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18,726</w:t>
            </w:r>
          </w:p>
        </w:tc>
        <w:tc>
          <w:tcPr>
            <w:tcW w:w="1103" w:type="dxa"/>
            <w:tcBorders>
              <w:top w:val="nil"/>
              <w:left w:val="nil"/>
              <w:bottom w:val="nil"/>
              <w:right w:val="nil"/>
            </w:tcBorders>
            <w:shd w:val="clear" w:color="000000" w:fill="F8CBAD"/>
            <w:noWrap/>
            <w:vAlign w:val="bottom"/>
            <w:hideMark/>
          </w:tcPr>
          <w:p w:rsidRPr="00347779" w:rsidR="00347779" w:rsidP="00347779" w:rsidRDefault="00347779" w14:paraId="383391A2"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19,508</w:t>
            </w:r>
          </w:p>
        </w:tc>
        <w:tc>
          <w:tcPr>
            <w:tcW w:w="1103" w:type="dxa"/>
            <w:tcBorders>
              <w:top w:val="nil"/>
              <w:left w:val="nil"/>
              <w:bottom w:val="nil"/>
              <w:right w:val="single" w:color="auto" w:sz="4" w:space="0"/>
            </w:tcBorders>
            <w:shd w:val="clear" w:color="000000" w:fill="F8CBAD"/>
            <w:noWrap/>
            <w:vAlign w:val="bottom"/>
            <w:hideMark/>
          </w:tcPr>
          <w:p w:rsidRPr="00347779" w:rsidR="00347779" w:rsidP="00347779" w:rsidRDefault="00347779" w14:paraId="2D66CE71"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20,312</w:t>
            </w:r>
          </w:p>
        </w:tc>
      </w:tr>
      <w:tr w:rsidRPr="00347779" w:rsidR="00347779" w:rsidTr="007B39B2" w14:paraId="59C45005"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1C36DCC1"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 </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7FBFAA15" w14:textId="77777777">
            <w:pPr>
              <w:spacing w:after="0" w:line="240" w:lineRule="auto"/>
              <w:rPr>
                <w:rFonts w:ascii="Calibri" w:hAnsi="Calibri" w:eastAsia="Times New Roman" w:cs="Calibri"/>
                <w:color w:val="00000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76ECDCE3"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77E2FB01" w14:textId="77777777">
            <w:pPr>
              <w:spacing w:after="0" w:line="240" w:lineRule="auto"/>
              <w:rPr>
                <w:rFonts w:ascii="Times New Roman" w:hAnsi="Times New Roman" w:eastAsia="Times New Roman" w:cs="Times New Roman"/>
                <w:sz w:val="20"/>
                <w:szCs w:val="20"/>
              </w:rPr>
            </w:pPr>
          </w:p>
        </w:tc>
      </w:tr>
      <w:tr w:rsidRPr="00347779" w:rsidR="00347779" w:rsidTr="007B39B2" w14:paraId="39952889" w14:textId="77777777">
        <w:trPr>
          <w:trHeight w:val="6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5B3EB6FE" w14:textId="77777777">
            <w:pPr>
              <w:spacing w:after="0" w:line="240" w:lineRule="auto"/>
              <w:rPr>
                <w:rFonts w:ascii="Calibri" w:hAnsi="Calibri" w:eastAsia="Times New Roman" w:cs="Calibri"/>
                <w:b/>
                <w:bCs/>
                <w:color w:val="000000"/>
              </w:rPr>
            </w:pPr>
            <w:r w:rsidRPr="00347779">
              <w:rPr>
                <w:rFonts w:ascii="Calibri" w:hAnsi="Calibri" w:eastAsia="Times New Roman" w:cs="Calibri"/>
                <w:b/>
                <w:bCs/>
                <w:color w:val="000000"/>
              </w:rPr>
              <w:t>SPENDING TOTALS, assuming cap adjustments continue to rise</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0FFF0CB0" w14:textId="77777777">
            <w:pPr>
              <w:spacing w:after="0" w:line="240" w:lineRule="auto"/>
              <w:rPr>
                <w:rFonts w:ascii="Calibri" w:hAnsi="Calibri" w:eastAsia="Times New Roman" w:cs="Calibri"/>
                <w:b/>
                <w:bCs/>
                <w:color w:val="000000"/>
              </w:rPr>
            </w:pPr>
          </w:p>
        </w:tc>
        <w:tc>
          <w:tcPr>
            <w:tcW w:w="1103" w:type="dxa"/>
            <w:tcBorders>
              <w:top w:val="nil"/>
              <w:left w:val="nil"/>
              <w:bottom w:val="nil"/>
              <w:right w:val="nil"/>
            </w:tcBorders>
            <w:shd w:val="clear" w:color="auto" w:fill="auto"/>
            <w:noWrap/>
            <w:vAlign w:val="bottom"/>
            <w:hideMark/>
          </w:tcPr>
          <w:p w:rsidRPr="00347779" w:rsidR="00347779" w:rsidP="00347779" w:rsidRDefault="00347779" w14:paraId="46966A51" w14:textId="77777777">
            <w:pPr>
              <w:spacing w:after="0" w:line="240" w:lineRule="auto"/>
              <w:rPr>
                <w:rFonts w:ascii="Times New Roman" w:hAnsi="Times New Roman" w:eastAsia="Times New Roman" w:cs="Times New Roman"/>
                <w:sz w:val="20"/>
                <w:szCs w:val="20"/>
              </w:rPr>
            </w:pPr>
          </w:p>
        </w:tc>
        <w:tc>
          <w:tcPr>
            <w:tcW w:w="1103" w:type="dxa"/>
            <w:tcBorders>
              <w:top w:val="nil"/>
              <w:left w:val="nil"/>
              <w:bottom w:val="nil"/>
              <w:right w:val="single" w:color="auto" w:sz="4" w:space="0"/>
            </w:tcBorders>
            <w:shd w:val="clear" w:color="auto" w:fill="auto"/>
            <w:noWrap/>
            <w:vAlign w:val="bottom"/>
            <w:hideMark/>
          </w:tcPr>
          <w:p w:rsidRPr="00347779" w:rsidR="00347779" w:rsidP="00347779" w:rsidRDefault="00347779" w14:paraId="13798FFA" w14:textId="77777777">
            <w:pPr>
              <w:spacing w:after="0" w:line="240" w:lineRule="auto"/>
              <w:rPr>
                <w:rFonts w:ascii="Times New Roman" w:hAnsi="Times New Roman" w:eastAsia="Times New Roman" w:cs="Times New Roman"/>
                <w:sz w:val="20"/>
                <w:szCs w:val="20"/>
              </w:rPr>
            </w:pPr>
          </w:p>
        </w:tc>
      </w:tr>
      <w:tr w:rsidRPr="00347779" w:rsidR="00347779" w:rsidTr="007B39B2" w14:paraId="4F7F1854" w14:textId="77777777">
        <w:trPr>
          <w:trHeight w:val="300"/>
        </w:trPr>
        <w:tc>
          <w:tcPr>
            <w:tcW w:w="5935" w:type="dxa"/>
            <w:tcBorders>
              <w:top w:val="nil"/>
              <w:left w:val="single" w:color="auto" w:sz="4" w:space="0"/>
              <w:bottom w:val="nil"/>
              <w:right w:val="nil"/>
            </w:tcBorders>
            <w:shd w:val="clear" w:color="auto" w:fill="auto"/>
            <w:vAlign w:val="bottom"/>
            <w:hideMark/>
          </w:tcPr>
          <w:p w:rsidRPr="00347779" w:rsidR="00347779" w:rsidP="00347779" w:rsidRDefault="00347779" w14:paraId="2A40EAE2"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Federal Purchases - OLD</w:t>
            </w:r>
          </w:p>
        </w:tc>
        <w:tc>
          <w:tcPr>
            <w:tcW w:w="1209" w:type="dxa"/>
            <w:tcBorders>
              <w:top w:val="nil"/>
              <w:left w:val="nil"/>
              <w:bottom w:val="nil"/>
              <w:right w:val="nil"/>
            </w:tcBorders>
            <w:shd w:val="clear" w:color="auto" w:fill="auto"/>
            <w:noWrap/>
            <w:vAlign w:val="bottom"/>
            <w:hideMark/>
          </w:tcPr>
          <w:p w:rsidRPr="00347779" w:rsidR="00347779" w:rsidP="00347779" w:rsidRDefault="00347779" w14:paraId="177FB526"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1,432,700</w:t>
            </w:r>
          </w:p>
        </w:tc>
        <w:tc>
          <w:tcPr>
            <w:tcW w:w="1103" w:type="dxa"/>
            <w:tcBorders>
              <w:top w:val="nil"/>
              <w:left w:val="nil"/>
              <w:bottom w:val="nil"/>
              <w:right w:val="nil"/>
            </w:tcBorders>
            <w:shd w:val="clear" w:color="000000" w:fill="F8CBAD"/>
            <w:noWrap/>
            <w:vAlign w:val="bottom"/>
            <w:hideMark/>
          </w:tcPr>
          <w:p w:rsidRPr="00347779" w:rsidR="00347779" w:rsidP="00347779" w:rsidRDefault="00347779" w14:paraId="19552C81"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1,471,100</w:t>
            </w:r>
          </w:p>
        </w:tc>
        <w:tc>
          <w:tcPr>
            <w:tcW w:w="1103" w:type="dxa"/>
            <w:tcBorders>
              <w:top w:val="nil"/>
              <w:left w:val="nil"/>
              <w:bottom w:val="nil"/>
              <w:right w:val="single" w:color="auto" w:sz="4" w:space="0"/>
            </w:tcBorders>
            <w:shd w:val="clear" w:color="000000" w:fill="F8CBAD"/>
            <w:noWrap/>
            <w:vAlign w:val="bottom"/>
            <w:hideMark/>
          </w:tcPr>
          <w:p w:rsidRPr="00347779" w:rsidR="00347779" w:rsidP="00347779" w:rsidRDefault="00347779" w14:paraId="7398FF17"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1,502,800</w:t>
            </w:r>
          </w:p>
        </w:tc>
      </w:tr>
      <w:tr w:rsidRPr="00347779" w:rsidR="00347779" w:rsidTr="007B39B2" w14:paraId="36D199EE" w14:textId="77777777">
        <w:trPr>
          <w:trHeight w:val="300"/>
        </w:trPr>
        <w:tc>
          <w:tcPr>
            <w:tcW w:w="5935" w:type="dxa"/>
            <w:tcBorders>
              <w:top w:val="nil"/>
              <w:left w:val="single" w:color="auto" w:sz="4" w:space="0"/>
              <w:bottom w:val="single" w:color="auto" w:sz="4" w:space="0"/>
              <w:right w:val="nil"/>
            </w:tcBorders>
            <w:shd w:val="clear" w:color="auto" w:fill="auto"/>
            <w:vAlign w:val="bottom"/>
            <w:hideMark/>
          </w:tcPr>
          <w:p w:rsidRPr="00347779" w:rsidR="00347779" w:rsidP="00347779" w:rsidRDefault="00347779" w14:paraId="59D53BD6" w14:textId="77777777">
            <w:pPr>
              <w:spacing w:after="0" w:line="240" w:lineRule="auto"/>
              <w:rPr>
                <w:rFonts w:ascii="Calibri" w:hAnsi="Calibri" w:eastAsia="Times New Roman" w:cs="Calibri"/>
                <w:color w:val="000000"/>
              </w:rPr>
            </w:pPr>
            <w:r w:rsidRPr="00347779">
              <w:rPr>
                <w:rFonts w:ascii="Calibri" w:hAnsi="Calibri" w:eastAsia="Times New Roman" w:cs="Calibri"/>
                <w:color w:val="000000"/>
              </w:rPr>
              <w:t>Federal Purchases - NEW</w:t>
            </w:r>
          </w:p>
        </w:tc>
        <w:tc>
          <w:tcPr>
            <w:tcW w:w="1209" w:type="dxa"/>
            <w:tcBorders>
              <w:top w:val="nil"/>
              <w:left w:val="nil"/>
              <w:bottom w:val="single" w:color="auto" w:sz="4" w:space="0"/>
              <w:right w:val="nil"/>
            </w:tcBorders>
            <w:shd w:val="clear" w:color="auto" w:fill="auto"/>
            <w:noWrap/>
            <w:vAlign w:val="bottom"/>
            <w:hideMark/>
          </w:tcPr>
          <w:p w:rsidRPr="00347779" w:rsidR="00347779" w:rsidP="00347779" w:rsidRDefault="00347779" w14:paraId="64655B1B"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1,451,426</w:t>
            </w:r>
          </w:p>
        </w:tc>
        <w:tc>
          <w:tcPr>
            <w:tcW w:w="1103" w:type="dxa"/>
            <w:tcBorders>
              <w:top w:val="nil"/>
              <w:left w:val="nil"/>
              <w:bottom w:val="single" w:color="auto" w:sz="4" w:space="0"/>
              <w:right w:val="nil"/>
            </w:tcBorders>
            <w:shd w:val="clear" w:color="000000" w:fill="F8CBAD"/>
            <w:noWrap/>
            <w:vAlign w:val="bottom"/>
            <w:hideMark/>
          </w:tcPr>
          <w:p w:rsidRPr="00347779" w:rsidR="00347779" w:rsidP="00347779" w:rsidRDefault="00347779" w14:paraId="1F64F6E6"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1,490,608</w:t>
            </w:r>
          </w:p>
        </w:tc>
        <w:tc>
          <w:tcPr>
            <w:tcW w:w="1103" w:type="dxa"/>
            <w:tcBorders>
              <w:top w:val="nil"/>
              <w:left w:val="nil"/>
              <w:bottom w:val="single" w:color="auto" w:sz="4" w:space="0"/>
              <w:right w:val="single" w:color="auto" w:sz="4" w:space="0"/>
            </w:tcBorders>
            <w:shd w:val="clear" w:color="000000" w:fill="F8CBAD"/>
            <w:noWrap/>
            <w:vAlign w:val="bottom"/>
            <w:hideMark/>
          </w:tcPr>
          <w:p w:rsidRPr="00347779" w:rsidR="00347779" w:rsidP="00347779" w:rsidRDefault="00347779" w14:paraId="7F609218" w14:textId="77777777">
            <w:pPr>
              <w:spacing w:after="0" w:line="240" w:lineRule="auto"/>
              <w:jc w:val="right"/>
              <w:rPr>
                <w:rFonts w:ascii="Calibri" w:hAnsi="Calibri" w:eastAsia="Times New Roman" w:cs="Calibri"/>
                <w:color w:val="000000"/>
              </w:rPr>
            </w:pPr>
            <w:r w:rsidRPr="00347779">
              <w:rPr>
                <w:rFonts w:ascii="Calibri" w:hAnsi="Calibri" w:eastAsia="Times New Roman" w:cs="Calibri"/>
                <w:color w:val="000000"/>
              </w:rPr>
              <w:t>1,523,112</w:t>
            </w:r>
          </w:p>
        </w:tc>
      </w:tr>
    </w:tbl>
    <w:p w:rsidR="00236241" w:rsidP="008961CB" w:rsidRDefault="00236241" w14:paraId="6056684E" w14:textId="77777777"/>
    <w:p w:rsidR="008961CB" w:rsidP="008961CB" w:rsidRDefault="008961CB" w14:paraId="72061679" w14:textId="77777777"/>
    <w:p w:rsidRPr="00367782" w:rsidR="0039154B" w:rsidP="00367782" w:rsidRDefault="0039154B" w14:paraId="38C4A211" w14:textId="77777777"/>
    <w:p w:rsidR="00BB2E8B" w:rsidP="00071A17" w:rsidRDefault="00BB2E8B" w14:paraId="3072F310" w14:textId="1316BB1E">
      <w:pPr>
        <w:pStyle w:val="Heading2"/>
      </w:pPr>
      <w:r>
        <w:t>11/19</w:t>
      </w:r>
    </w:p>
    <w:p w:rsidR="000A5DA6" w:rsidP="00BB2E8B" w:rsidRDefault="00BB2E8B" w14:paraId="37884D95" w14:textId="3E95AB00">
      <w:r>
        <w:t>What explains big jump in government social benefits?</w:t>
      </w:r>
    </w:p>
    <w:p w:rsidR="00BB2E8B" w:rsidP="00BB2E8B" w:rsidRDefault="00BB2E8B" w14:paraId="18B65128" w14:textId="6B495A4D">
      <w:r>
        <w:t xml:space="preserve">Refundable tax credits, maybe because of change in </w:t>
      </w:r>
      <w:r w:rsidR="000A5DA6">
        <w:t>EITC benefits related to adoption of C-CPI-U as automatic adjustment?</w:t>
      </w:r>
    </w:p>
    <w:p w:rsidR="00506EDD" w:rsidP="00BB2E8B" w:rsidRDefault="00506EDD" w14:paraId="781A277E" w14:textId="41A92099">
      <w:r>
        <w:rPr>
          <w:noProof/>
        </w:rPr>
        <w:drawing>
          <wp:inline distT="0" distB="0" distL="0" distR="0" wp14:anchorId="105470F1" wp14:editId="6E840C14">
            <wp:extent cx="5796951" cy="4163683"/>
            <wp:effectExtent l="0" t="0" r="13335" b="8890"/>
            <wp:docPr id="9" name="Chart 9">
              <a:extLst xmlns:a="http://schemas.openxmlformats.org/drawingml/2006/main">
                <a:ext uri="{FF2B5EF4-FFF2-40B4-BE49-F238E27FC236}">
                  <a16:creationId xmlns:a16="http://schemas.microsoft.com/office/drawing/2014/main" id="{EB327AF0-4616-4E1F-A585-5BD04D555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B2E8B" w:rsidP="00BB2E8B" w:rsidRDefault="003F4D7E" w14:paraId="278F7D64" w14:textId="258A8E81">
      <w:pPr>
        <w:rPr>
          <w:rStyle w:val="Hyperlink"/>
        </w:rPr>
      </w:pPr>
      <w:hyperlink w:history="1" r:id="rId32">
        <w:r w:rsidR="00BB2E8B">
          <w:rPr>
            <w:rStyle w:val="Hyperlink"/>
          </w:rPr>
          <w:t>https://www.irs.gov/credits-deductions/individuals/earned-income-tax-credit/eitc-income-limits-maximum-credit-amounts-next-year</w:t>
        </w:r>
      </w:hyperlink>
    </w:p>
    <w:p w:rsidR="006E0EBA" w:rsidP="00BB2E8B" w:rsidRDefault="006E0EBA" w14:paraId="4F89C154" w14:textId="72CAA4E1"/>
    <w:p w:rsidR="006E0EBA" w:rsidP="00BB2E8B" w:rsidRDefault="006E0EBA" w14:paraId="6324451F" w14:textId="6F3F810E">
      <w:r>
        <w:t xml:space="preserve">Are the refundable tax credits </w:t>
      </w:r>
      <w:proofErr w:type="gramStart"/>
      <w:r>
        <w:t>actually reported</w:t>
      </w:r>
      <w:proofErr w:type="gramEnd"/>
      <w:r>
        <w:t xml:space="preserve"> on a cash basis, in which case these could be changes in the EITC and child tax credits from the 2017 tax law?</w:t>
      </w:r>
    </w:p>
    <w:bookmarkStart w:name="1070009" w:id="5"/>
    <w:p w:rsidR="002B20C6" w:rsidP="00BB2E8B" w:rsidRDefault="002B20C6" w14:paraId="1777689D" w14:textId="77777777">
      <w:r>
        <w:fldChar w:fldCharType="begin"/>
      </w:r>
      <w:r>
        <w:instrText xml:space="preserve"> HYPERLINK "http://www.cbo.gov/sites/default/files/cbofiles/ftpdocs/89xx/doc8917/appendixd.12.1.shtml" </w:instrText>
      </w:r>
      <w:r>
        <w:fldChar w:fldCharType="separate"/>
      </w:r>
      <w:r>
        <w:rPr>
          <w:rStyle w:val="Hyperlink"/>
        </w:rPr>
        <w:t>http://www.cbo.gov/sites/default/files/cbofiles/ftpdocs/89xx/doc8917/appendixd.12.1.shtml</w:t>
      </w:r>
      <w:r>
        <w:fldChar w:fldCharType="end"/>
      </w:r>
      <w:r>
        <w:t>:</w:t>
      </w:r>
    </w:p>
    <w:p w:rsidR="006E0EBA" w:rsidP="00BB2E8B" w:rsidRDefault="002B20C6" w14:paraId="4E7C6D35" w14:textId="1606A1BC">
      <w:r>
        <w:t>“</w:t>
      </w:r>
      <w:r w:rsidRPr="004C48D7" w:rsidR="004C48D7">
        <w:t>Personal Taxes. </w:t>
      </w:r>
      <w:bookmarkEnd w:id="5"/>
      <w:r w:rsidRPr="004C48D7" w:rsidR="004C48D7">
        <w:t>Although personal taxes are not recorded on an accrual basis in the NIPAs, BEA nevertheless attempts to avoid large, distorting upward or downward spikes in personal disposable income that result from timing quirks. Such quirks occur each year in April, for example, when most final settlements for the previous year’s personal taxes are paid. In the NIPAs, therefore, those settlements are evenly spread over the four quarters of the calendar year in which they are paid. (As with accrual accounting, that treatment avoids spikes. Unlike accrual treatment, however, it does not move payments back to the year in which the liabilities were incurred.) Such "smoothing" can alter the relationship of the NIPAs and the budget accounts for various fiscal years because it shifts some receipts into the last quarter of the calendar year and thus into the following fiscal year.</w:t>
      </w:r>
      <w:bookmarkStart w:name="wwfootnote_inline_60" w:id="6"/>
      <w:r w:rsidRPr="004C48D7" w:rsidR="004C48D7">
        <w:rPr>
          <w:vertAlign w:val="superscript"/>
        </w:rPr>
        <w:fldChar w:fldCharType="begin"/>
      </w:r>
      <w:r w:rsidRPr="004C48D7" w:rsidR="004C48D7">
        <w:rPr>
          <w:vertAlign w:val="superscript"/>
        </w:rPr>
        <w:instrText xml:space="preserve"> HYPERLINK "http://www.cbo.gov/sites/default/files/cbofiles/ftpdocs/89xx/doc8917/appendixd.12.1.shtml" \l "60" </w:instrText>
      </w:r>
      <w:r w:rsidRPr="004C48D7" w:rsidR="004C48D7">
        <w:rPr>
          <w:vertAlign w:val="superscript"/>
        </w:rPr>
        <w:fldChar w:fldCharType="separate"/>
      </w:r>
      <w:r w:rsidRPr="004C48D7" w:rsidR="004C48D7">
        <w:rPr>
          <w:rStyle w:val="Hyperlink"/>
          <w:vertAlign w:val="superscript"/>
        </w:rPr>
        <w:t>14</w:t>
      </w:r>
      <w:r w:rsidRPr="004C48D7" w:rsidR="004C48D7">
        <w:fldChar w:fldCharType="end"/>
      </w:r>
      <w:bookmarkEnd w:id="6"/>
      <w:r>
        <w:t>”</w:t>
      </w:r>
    </w:p>
    <w:p w:rsidRPr="00BB2E8B" w:rsidR="006E0EBA" w:rsidP="00BB2E8B" w:rsidRDefault="006E0EBA" w14:paraId="25581E2B" w14:textId="77777777"/>
    <w:p w:rsidR="00D52111" w:rsidP="00071A17" w:rsidRDefault="00D52111" w14:paraId="63CC3119" w14:textId="06A9857E">
      <w:pPr>
        <w:pStyle w:val="Heading2"/>
      </w:pPr>
      <w:r>
        <w:t>10/29</w:t>
      </w:r>
    </w:p>
    <w:p w:rsidR="00BA5E13" w:rsidP="00D52111" w:rsidRDefault="00C34298" w14:paraId="7D2C7E49" w14:textId="517C8D30">
      <w:r>
        <w:t xml:space="preserve">We </w:t>
      </w:r>
      <w:r w:rsidR="00087B2F">
        <w:t>are now</w:t>
      </w:r>
      <w:r>
        <w:t xml:space="preserve"> applying specific deflators for the different pieces of state, local, and federal purchases. Particularly for the pieces that we’re redistributing between the federal and state sectors. E.g., capital grants to states, which we now attribute to </w:t>
      </w:r>
      <w:r w:rsidR="00BA5E13">
        <w:t>federal purchases</w:t>
      </w:r>
      <w:r>
        <w:t xml:space="preserve">, should get the deflator for state and local investment, because that’s how it’s being spent. </w:t>
      </w:r>
    </w:p>
    <w:p w:rsidR="00A4192D" w:rsidP="00D52111" w:rsidRDefault="00A4192D" w14:paraId="3280E59C" w14:textId="3241512A">
      <w:r>
        <w:t xml:space="preserve">I.e., keep the nominal categories separate, then use specific deflators to calculate the contributions for the different pieces, then add the contributions together to form the total contribution for state and local purchases or federal purchases. </w:t>
      </w:r>
    </w:p>
    <w:p w:rsidR="00087B2F" w:rsidP="00087B2F" w:rsidRDefault="00087B2F" w14:paraId="4A962D1B" w14:textId="77777777">
      <w:pPr>
        <w:rPr>
          <w:noProof/>
        </w:rPr>
      </w:pPr>
      <w:r>
        <w:t xml:space="preserve">As a check, I took our new, adjusted contributions for state &amp; loc and for federal purchases, added our “neutral” measure back to both, and added the two together, and we get BEA’s numbers for total government contributions to GDP growth.  The neutral measure is just (real potential </w:t>
      </w:r>
      <w:proofErr w:type="spellStart"/>
      <w:r>
        <w:t>gdp</w:t>
      </w:r>
      <w:proofErr w:type="spellEnd"/>
      <w:r>
        <w:t xml:space="preserve"> </w:t>
      </w:r>
      <w:proofErr w:type="gramStart"/>
      <w:r>
        <w:t>growth)*</w:t>
      </w:r>
      <w:proofErr w:type="gramEnd"/>
      <w:r>
        <w:t>(lagged nominal purchases / lagged nominal GDP). See chart below.</w:t>
      </w:r>
      <w:r w:rsidRPr="00087B2F">
        <w:rPr>
          <w:noProof/>
        </w:rPr>
        <w:t xml:space="preserve"> </w:t>
      </w:r>
    </w:p>
    <w:p w:rsidR="00087B2F" w:rsidP="00087B2F" w:rsidRDefault="00087B2F" w14:paraId="0EE39B2D" w14:textId="3F1CAFEF">
      <w:pPr>
        <w:jc w:val="center"/>
      </w:pPr>
      <w:r>
        <w:rPr>
          <w:noProof/>
        </w:rPr>
        <w:drawing>
          <wp:inline distT="0" distB="0" distL="0" distR="0" wp14:anchorId="36B3FEE2" wp14:editId="488DE446">
            <wp:extent cx="3249521" cy="2425392"/>
            <wp:effectExtent l="0" t="0" r="8255" b="0"/>
            <wp:docPr id="6" name="Picture 6" descr="cid:image001.png@01D58F14.D5E1A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3">
                      <a:extLst>
                        <a:ext uri="{28A0092B-C50C-407E-A947-70E740481C1C}">
                          <a14:useLocalDpi xmlns:a14="http://schemas.microsoft.com/office/drawing/2010/main" val="0"/>
                        </a:ext>
                      </a:extLst>
                    </a:blip>
                    <a:stretch>
                      <a:fillRect/>
                    </a:stretch>
                  </pic:blipFill>
                  <pic:spPr>
                    <a:xfrm>
                      <a:off x="0" y="0"/>
                      <a:ext cx="3249521" cy="2425392"/>
                    </a:xfrm>
                    <a:prstGeom prst="rect">
                      <a:avLst/>
                    </a:prstGeom>
                  </pic:spPr>
                </pic:pic>
              </a:graphicData>
            </a:graphic>
          </wp:inline>
        </w:drawing>
      </w:r>
    </w:p>
    <w:p w:rsidR="00087B2F" w:rsidP="00087B2F" w:rsidRDefault="00087B2F" w14:paraId="350EDA57" w14:textId="3C9BCF7A">
      <w:r>
        <w:t xml:space="preserve">FYI, here are the neutrals for the federal and </w:t>
      </w:r>
      <w:proofErr w:type="spellStart"/>
      <w:r>
        <w:t>s&amp;l</w:t>
      </w:r>
      <w:proofErr w:type="spellEnd"/>
      <w:r>
        <w:t xml:space="preserve"> pieces, both before and after reattributing the grants to federal:</w:t>
      </w:r>
    </w:p>
    <w:p w:rsidR="00087B2F" w:rsidP="00087B2F" w:rsidRDefault="00087B2F" w14:paraId="15DB0AF5" w14:textId="77777777">
      <w:pPr>
        <w:rPr>
          <w:i/>
          <w:iCs/>
        </w:rPr>
      </w:pPr>
      <w:r>
        <w:rPr>
          <w:i/>
          <w:iCs/>
        </w:rPr>
        <w:t>With no adjustment to attribute grants to federal:</w:t>
      </w:r>
    </w:p>
    <w:p w:rsidR="00087B2F" w:rsidP="00087B2F" w:rsidRDefault="00087B2F" w14:paraId="0F401A32" w14:textId="77777777">
      <w:r>
        <w:t>Federal neutral = ~0.14</w:t>
      </w:r>
    </w:p>
    <w:p w:rsidR="00087B2F" w:rsidP="00087B2F" w:rsidRDefault="00087B2F" w14:paraId="236FDA71" w14:textId="74935C6D">
      <w:r>
        <w:t>State and local neutral = ~0.23</w:t>
      </w:r>
    </w:p>
    <w:p w:rsidR="00087B2F" w:rsidP="00087B2F" w:rsidRDefault="00087B2F" w14:paraId="151BE71D" w14:textId="77777777">
      <w:pPr>
        <w:rPr>
          <w:i/>
          <w:iCs/>
        </w:rPr>
      </w:pPr>
      <w:r>
        <w:rPr>
          <w:i/>
          <w:iCs/>
        </w:rPr>
        <w:t>With adjustment to attribute grants to federal:</w:t>
      </w:r>
    </w:p>
    <w:p w:rsidR="00087B2F" w:rsidP="00087B2F" w:rsidRDefault="00087B2F" w14:paraId="6A7DF0A4" w14:textId="77777777">
      <w:r>
        <w:t>Federal neutral = ~0.16</w:t>
      </w:r>
    </w:p>
    <w:p w:rsidR="00087B2F" w:rsidP="00087B2F" w:rsidRDefault="00087B2F" w14:paraId="45838A27" w14:textId="00136794">
      <w:r>
        <w:t>State and local neutral = ~0.21</w:t>
      </w:r>
    </w:p>
    <w:p w:rsidR="00087B2F" w:rsidP="00087B2F" w:rsidRDefault="00087B2F" w14:paraId="6257C6F8" w14:textId="5F1209B9">
      <w:pPr>
        <w:jc w:val="center"/>
      </w:pPr>
    </w:p>
    <w:p w:rsidRPr="00D52111" w:rsidR="00087B2F" w:rsidP="00D52111" w:rsidRDefault="00087B2F" w14:paraId="2EED6198" w14:textId="5EC6160F"/>
    <w:p w:rsidR="005F584C" w:rsidP="00071A17" w:rsidRDefault="005F584C" w14:paraId="63F99BDC" w14:textId="3CDC2034">
      <w:pPr>
        <w:pStyle w:val="Heading2"/>
      </w:pPr>
      <w:r>
        <w:t>10/20</w:t>
      </w:r>
    </w:p>
    <w:p w:rsidRPr="004A4F86" w:rsidR="005F584C" w:rsidP="004A4F86" w:rsidRDefault="005F584C" w14:paraId="3507B5F3" w14:textId="2A55A099">
      <w:pPr>
        <w:rPr>
          <w:b/>
          <w:bCs/>
        </w:rPr>
      </w:pPr>
      <w:r>
        <w:t>There is a BEA line item for Federal Government grants to states for health, Medicaid</w:t>
      </w:r>
      <w:r w:rsidR="004A4F86">
        <w:t xml:space="preserve"> (</w:t>
      </w:r>
      <w:r w:rsidRPr="004A4F86" w:rsidR="004A4F86">
        <w:rPr>
          <w:b/>
          <w:bCs/>
        </w:rPr>
        <w:t>Table 3.24U. Federal Grants-in-Aid to State and Local Governments</w:t>
      </w:r>
      <w:r w:rsidR="004A4F86">
        <w:rPr>
          <w:b/>
          <w:bCs/>
        </w:rPr>
        <w:t>, line 14-15)</w:t>
      </w:r>
      <w:r>
        <w:t xml:space="preserve">. We’ve been estimating the Federal Medicaid grants using FMAPs (we get </w:t>
      </w:r>
      <w:proofErr w:type="gramStart"/>
      <w:r>
        <w:t>pretty close</w:t>
      </w:r>
      <w:proofErr w:type="gramEnd"/>
      <w:r>
        <w:t xml:space="preserve">), but we can start using this line item now. But we want to ensure that we’re not attributing any non-purchase grants to federal purchases mistakenly. Those should all go into </w:t>
      </w:r>
      <w:r w:rsidR="004A4F86">
        <w:t xml:space="preserve">federal transfers, not federal purchases. </w:t>
      </w:r>
    </w:p>
    <w:p w:rsidR="00EF31A7" w:rsidP="00AA2299" w:rsidRDefault="00C337FD" w14:paraId="745CE62A" w14:textId="4EC0B409">
      <w:pPr>
        <w:pStyle w:val="Heading2"/>
        <w:jc w:val="center"/>
      </w:pPr>
      <w:r>
        <w:rPr>
          <w:noProof/>
        </w:rPr>
        <w:drawing>
          <wp:inline distT="0" distB="0" distL="0" distR="0" wp14:anchorId="3A70A128" wp14:editId="2DA955F7">
            <wp:extent cx="3355319" cy="2463590"/>
            <wp:effectExtent l="0" t="0" r="17145" b="13335"/>
            <wp:docPr id="5" name="Chart 5">
              <a:extLst xmlns:a="http://schemas.openxmlformats.org/drawingml/2006/main">
                <a:ext uri="{FF2B5EF4-FFF2-40B4-BE49-F238E27FC236}">
                  <a16:creationId xmlns:a16="http://schemas.microsoft.com/office/drawing/2014/main" id="{A56BA2E5-C77D-4EE7-9E01-9CFD321ADD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Pr="00EF31A7" w:rsidR="00EF31A7" w:rsidP="00EF31A7" w:rsidRDefault="00EF31A7" w14:paraId="5B68D0F5" w14:textId="387A799F">
      <w:r>
        <w:t xml:space="preserve">Should we also be including federal capital grants to states in federal purchases? </w:t>
      </w:r>
    </w:p>
    <w:p w:rsidR="00B66E68" w:rsidP="00071A17" w:rsidRDefault="0074172E" w14:paraId="6E300080" w14:textId="03DC01AC">
      <w:pPr>
        <w:pStyle w:val="Heading2"/>
      </w:pPr>
      <w:r w:rsidRPr="00B66E68">
        <w:t>10/17 question from CBO about backing out the implied potential growth rate we use</w:t>
      </w:r>
      <w:r w:rsidRPr="00B66E68" w:rsidR="00B4607E">
        <w:t xml:space="preserve">. </w:t>
      </w:r>
    </w:p>
    <w:p w:rsidRPr="00B66E68" w:rsidR="000A3457" w:rsidP="00E65CF0" w:rsidRDefault="00B4607E" w14:paraId="6CF3681C" w14:textId="765A5B96">
      <w:r w:rsidRPr="00B66E68">
        <w:t xml:space="preserve">See implied_poetentialGDPGrowth_Hutchins.xls for a replication. </w:t>
      </w:r>
    </w:p>
    <w:p w:rsidRPr="00902C17" w:rsidR="00902C17" w:rsidP="00902C17" w:rsidRDefault="00902C17" w14:paraId="133F0AC1" w14:textId="79C50545">
      <w:pPr>
        <w:spacing w:after="240" w:line="240" w:lineRule="auto"/>
        <w:outlineLvl w:val="0"/>
        <w:rPr>
          <w:rFonts w:ascii="Calibri" w:hAnsi="Calibri" w:eastAsia="Calibri" w:cs="Calibri"/>
        </w:rPr>
      </w:pPr>
      <w:r w:rsidRPr="00902C17">
        <w:rPr>
          <w:rFonts w:ascii="Calibri" w:hAnsi="Calibri" w:eastAsia="Calibri" w:cs="Calibri"/>
          <w:b/>
          <w:bCs/>
        </w:rPr>
        <w:t>From:</w:t>
      </w:r>
      <w:r w:rsidRPr="00902C17">
        <w:rPr>
          <w:rFonts w:ascii="Calibri" w:hAnsi="Calibri" w:eastAsia="Calibri" w:cs="Calibri"/>
        </w:rPr>
        <w:t xml:space="preserve"> John </w:t>
      </w:r>
      <w:proofErr w:type="spellStart"/>
      <w:r w:rsidRPr="00902C17">
        <w:rPr>
          <w:rFonts w:ascii="Calibri" w:hAnsi="Calibri" w:eastAsia="Calibri" w:cs="Calibri"/>
        </w:rPr>
        <w:t>Seliski</w:t>
      </w:r>
      <w:proofErr w:type="spellEnd"/>
      <w:r w:rsidRPr="00902C17">
        <w:rPr>
          <w:rFonts w:ascii="Calibri" w:hAnsi="Calibri" w:eastAsia="Calibri" w:cs="Calibri"/>
        </w:rPr>
        <w:t xml:space="preserve"> &lt;</w:t>
      </w:r>
      <w:hyperlink w:history="1" r:id="rId35">
        <w:r w:rsidRPr="00902C17">
          <w:rPr>
            <w:rFonts w:ascii="Calibri" w:hAnsi="Calibri" w:eastAsia="Calibri" w:cs="Calibri"/>
            <w:color w:val="0563C1"/>
            <w:u w:val="single"/>
          </w:rPr>
          <w:t>John.Seliski@cbo.gov</w:t>
        </w:r>
      </w:hyperlink>
      <w:r w:rsidRPr="00902C17">
        <w:rPr>
          <w:rFonts w:ascii="Calibri" w:hAnsi="Calibri" w:eastAsia="Calibri" w:cs="Calibri"/>
        </w:rPr>
        <w:t>&gt;</w:t>
      </w:r>
      <w:r w:rsidRPr="00902C17">
        <w:rPr>
          <w:rFonts w:ascii="Calibri" w:hAnsi="Calibri" w:eastAsia="Calibri" w:cs="Calibri"/>
        </w:rPr>
        <w:br/>
      </w:r>
      <w:r w:rsidRPr="00902C17">
        <w:rPr>
          <w:rFonts w:ascii="Calibri" w:hAnsi="Calibri" w:eastAsia="Calibri" w:cs="Calibri"/>
          <w:b/>
          <w:bCs/>
        </w:rPr>
        <w:t>Date:</w:t>
      </w:r>
      <w:r w:rsidRPr="00902C17">
        <w:rPr>
          <w:rFonts w:ascii="Calibri" w:hAnsi="Calibri" w:eastAsia="Calibri" w:cs="Calibri"/>
        </w:rPr>
        <w:t xml:space="preserve"> October 16, 2019 at 5:25:15 PM EDT</w:t>
      </w:r>
      <w:r w:rsidRPr="00902C17">
        <w:rPr>
          <w:rFonts w:ascii="Calibri" w:hAnsi="Calibri" w:eastAsia="Calibri" w:cs="Calibri"/>
        </w:rPr>
        <w:br/>
      </w:r>
      <w:r w:rsidRPr="00902C17">
        <w:rPr>
          <w:rFonts w:ascii="Calibri" w:hAnsi="Calibri" w:eastAsia="Calibri" w:cs="Calibri"/>
          <w:b/>
          <w:bCs/>
        </w:rPr>
        <w:t>To:</w:t>
      </w:r>
      <w:r w:rsidRPr="00902C17">
        <w:rPr>
          <w:rFonts w:ascii="Calibri" w:hAnsi="Calibri" w:eastAsia="Calibri" w:cs="Calibri"/>
        </w:rPr>
        <w:t xml:space="preserve"> Louise Sheiner &lt;</w:t>
      </w:r>
      <w:hyperlink w:history="1" r:id="rId36">
        <w:r w:rsidRPr="00902C17">
          <w:rPr>
            <w:rFonts w:ascii="Calibri" w:hAnsi="Calibri" w:eastAsia="Calibri" w:cs="Calibri"/>
            <w:color w:val="0563C1"/>
            <w:u w:val="single"/>
          </w:rPr>
          <w:t>LSheiner@brookings.edu</w:t>
        </w:r>
      </w:hyperlink>
      <w:r w:rsidRPr="00902C17">
        <w:rPr>
          <w:rFonts w:ascii="Calibri" w:hAnsi="Calibri" w:eastAsia="Calibri" w:cs="Calibri"/>
        </w:rPr>
        <w:t>&gt;</w:t>
      </w:r>
      <w:r w:rsidRPr="00902C17">
        <w:rPr>
          <w:rFonts w:ascii="Calibri" w:hAnsi="Calibri" w:eastAsia="Calibri" w:cs="Calibri"/>
        </w:rPr>
        <w:br/>
      </w:r>
      <w:r w:rsidRPr="00902C17">
        <w:rPr>
          <w:rFonts w:ascii="Calibri" w:hAnsi="Calibri" w:eastAsia="Calibri" w:cs="Calibri"/>
          <w:b/>
          <w:bCs/>
        </w:rPr>
        <w:t>Cc:</w:t>
      </w:r>
      <w:r w:rsidRPr="00902C17">
        <w:rPr>
          <w:rFonts w:ascii="Calibri" w:hAnsi="Calibri" w:eastAsia="Calibri" w:cs="Calibri"/>
        </w:rPr>
        <w:t xml:space="preserve"> John Kitchen &lt;</w:t>
      </w:r>
      <w:hyperlink w:history="1" r:id="rId37">
        <w:r w:rsidRPr="00902C17">
          <w:rPr>
            <w:rFonts w:ascii="Calibri" w:hAnsi="Calibri" w:eastAsia="Calibri" w:cs="Calibri"/>
            <w:color w:val="0563C1"/>
            <w:u w:val="single"/>
          </w:rPr>
          <w:t>John.Kitchen@cbo.gov</w:t>
        </w:r>
      </w:hyperlink>
      <w:r w:rsidRPr="00902C17">
        <w:rPr>
          <w:rFonts w:ascii="Calibri" w:hAnsi="Calibri" w:eastAsia="Calibri" w:cs="Calibri"/>
        </w:rPr>
        <w:t>&gt;</w:t>
      </w:r>
      <w:r w:rsidRPr="00902C17">
        <w:rPr>
          <w:rFonts w:ascii="Calibri" w:hAnsi="Calibri" w:eastAsia="Calibri" w:cs="Calibri"/>
        </w:rPr>
        <w:br/>
      </w:r>
      <w:r w:rsidRPr="00902C17">
        <w:rPr>
          <w:rFonts w:ascii="Calibri" w:hAnsi="Calibri" w:eastAsia="Calibri" w:cs="Calibri"/>
          <w:b/>
          <w:bCs/>
        </w:rPr>
        <w:t>Subject:</w:t>
      </w:r>
      <w:r w:rsidRPr="00902C17">
        <w:rPr>
          <w:rFonts w:ascii="Calibri" w:hAnsi="Calibri" w:eastAsia="Calibri" w:cs="Calibri"/>
        </w:rPr>
        <w:t xml:space="preserve"> </w:t>
      </w:r>
      <w:r w:rsidRPr="00902C17">
        <w:rPr>
          <w:rFonts w:ascii="Calibri" w:hAnsi="Calibri" w:eastAsia="Calibri" w:cs="Calibri"/>
          <w:b/>
          <w:bCs/>
        </w:rPr>
        <w:t>FIM for federal, state, and local government purchases</w:t>
      </w:r>
    </w:p>
    <w:p w:rsidRPr="00902C17" w:rsidR="00902C17" w:rsidP="00902C17" w:rsidRDefault="00902C17" w14:paraId="748C3DEA" w14:textId="77777777">
      <w:pPr>
        <w:spacing w:after="0" w:line="240" w:lineRule="auto"/>
        <w:rPr>
          <w:rFonts w:ascii="Calibri" w:hAnsi="Calibri" w:eastAsia="Calibri" w:cs="Calibri"/>
        </w:rPr>
      </w:pPr>
      <w:r w:rsidRPr="00902C17">
        <w:rPr>
          <w:rFonts w:ascii="Calibri" w:hAnsi="Calibri" w:eastAsia="Calibri" w:cs="Calibri"/>
        </w:rPr>
        <w:t>Hi Louise,</w:t>
      </w:r>
    </w:p>
    <w:p w:rsidRPr="00902C17" w:rsidR="00902C17" w:rsidP="00902C17" w:rsidRDefault="00902C17" w14:paraId="433035DD" w14:textId="77777777">
      <w:pPr>
        <w:spacing w:after="0" w:line="240" w:lineRule="auto"/>
        <w:rPr>
          <w:rFonts w:ascii="Calibri" w:hAnsi="Calibri" w:eastAsia="Calibri" w:cs="Calibri"/>
        </w:rPr>
      </w:pPr>
      <w:r w:rsidRPr="00902C17">
        <w:rPr>
          <w:rFonts w:ascii="Calibri" w:hAnsi="Calibri" w:eastAsia="Calibri" w:cs="Calibri"/>
        </w:rPr>
        <w:t xml:space="preserve">I am an analyst at the Congressional Budget </w:t>
      </w:r>
      <w:proofErr w:type="gramStart"/>
      <w:r w:rsidRPr="00902C17">
        <w:rPr>
          <w:rFonts w:ascii="Calibri" w:hAnsi="Calibri" w:eastAsia="Calibri" w:cs="Calibri"/>
        </w:rPr>
        <w:t>Office</w:t>
      </w:r>
      <w:proofErr w:type="gramEnd"/>
      <w:r w:rsidRPr="00902C17">
        <w:rPr>
          <w:rFonts w:ascii="Calibri" w:hAnsi="Calibri" w:eastAsia="Calibri" w:cs="Calibri"/>
        </w:rPr>
        <w:t xml:space="preserve"> and I have a question related to the government purchases numbers you are reporting in the Hutchins Center Fiscal Impact Measure (FIM). I’m not sure which real potential GDP series the FIM uses (CBO’s?), but I tried to back out the implied potential growth rates and they look a bit strange.</w:t>
      </w:r>
    </w:p>
    <w:p w:rsidRPr="00902C17" w:rsidR="00902C17" w:rsidP="00902C17" w:rsidRDefault="00902C17" w14:paraId="2B8F42DE" w14:textId="77777777">
      <w:pPr>
        <w:spacing w:after="0" w:line="240" w:lineRule="auto"/>
        <w:rPr>
          <w:rFonts w:ascii="Calibri" w:hAnsi="Calibri" w:eastAsia="Calibri" w:cs="Calibri"/>
        </w:rPr>
      </w:pPr>
      <w:r w:rsidRPr="00902C17">
        <w:rPr>
          <w:rFonts w:ascii="Calibri" w:hAnsi="Calibri" w:eastAsia="Calibri" w:cs="Calibri"/>
        </w:rPr>
        <w:t> </w:t>
      </w:r>
    </w:p>
    <w:p w:rsidRPr="00902C17" w:rsidR="00902C17" w:rsidP="00902C17" w:rsidRDefault="00902C17" w14:paraId="3205017C" w14:textId="77777777">
      <w:pPr>
        <w:spacing w:after="0" w:line="240" w:lineRule="auto"/>
        <w:rPr>
          <w:rFonts w:ascii="Calibri" w:hAnsi="Calibri" w:eastAsia="Calibri" w:cs="Calibri"/>
        </w:rPr>
      </w:pPr>
      <w:r w:rsidRPr="00902C17">
        <w:rPr>
          <w:rFonts w:ascii="Calibri" w:hAnsi="Calibri" w:eastAsia="Calibri" w:cs="Calibri"/>
        </w:rPr>
        <w:t>In your methodology, you write:</w:t>
      </w:r>
    </w:p>
    <w:p w:rsidRPr="00902C17" w:rsidR="00902C17" w:rsidP="00902C17" w:rsidRDefault="00902C17" w14:paraId="0516CCCA" w14:textId="77777777">
      <w:pPr>
        <w:spacing w:after="0" w:line="240" w:lineRule="auto"/>
        <w:rPr>
          <w:rFonts w:ascii="Calibri" w:hAnsi="Calibri" w:eastAsia="Calibri" w:cs="Calibri"/>
        </w:rPr>
      </w:pPr>
      <w:r w:rsidRPr="00902C17">
        <w:rPr>
          <w:rFonts w:ascii="Calibri" w:hAnsi="Calibri" w:eastAsia="Calibri" w:cs="Calibri"/>
        </w:rPr>
        <w:t>“The FIM for purchases is defined as the actual contribution of real government purchases to GDP less the contribution that would have prevailed if real purchases were growing with potential GDP. To calculate the actual contribution of real purchases to GDP, we take the growth rate of real government purchases times their share of GDP; for the counterfactual we perform the same calculation but use the growth rate of real potential GDP.”</w:t>
      </w:r>
    </w:p>
    <w:p w:rsidRPr="00902C17" w:rsidR="00902C17" w:rsidP="00902C17" w:rsidRDefault="00902C17" w14:paraId="56BB1395" w14:textId="77777777">
      <w:pPr>
        <w:spacing w:after="0" w:line="240" w:lineRule="auto"/>
        <w:rPr>
          <w:rFonts w:ascii="Calibri" w:hAnsi="Calibri" w:eastAsia="Calibri" w:cs="Calibri"/>
        </w:rPr>
      </w:pPr>
      <w:r w:rsidRPr="00902C17">
        <w:rPr>
          <w:rFonts w:ascii="Calibri" w:hAnsi="Calibri" w:eastAsia="Calibri" w:cs="Calibri"/>
        </w:rPr>
        <w:t> </w:t>
      </w:r>
    </w:p>
    <w:p w:rsidRPr="00902C17" w:rsidR="00902C17" w:rsidP="00902C17" w:rsidRDefault="00902C17" w14:paraId="61EB2FCA" w14:textId="77777777">
      <w:pPr>
        <w:spacing w:after="0" w:line="240" w:lineRule="auto"/>
        <w:rPr>
          <w:rFonts w:ascii="Calibri" w:hAnsi="Calibri" w:eastAsia="Calibri" w:cs="Calibri"/>
        </w:rPr>
      </w:pPr>
      <w:r w:rsidRPr="00902C17">
        <w:rPr>
          <w:rFonts w:ascii="Calibri" w:hAnsi="Calibri" w:eastAsia="Calibri" w:cs="Calibri"/>
        </w:rPr>
        <w:t>To back out your implied real potential GDP growth rates I used the following relationship:</w:t>
      </w:r>
    </w:p>
    <w:p w:rsidRPr="00902C17" w:rsidR="00902C17" w:rsidP="00902C17" w:rsidRDefault="00902C17" w14:paraId="16955178" w14:textId="77777777">
      <w:pPr>
        <w:spacing w:after="0" w:line="240" w:lineRule="auto"/>
        <w:ind w:firstLine="720"/>
        <w:rPr>
          <w:rFonts w:ascii="Calibri" w:hAnsi="Calibri" w:eastAsia="Calibri" w:cs="Calibri"/>
        </w:rPr>
      </w:pPr>
      <w:r w:rsidRPr="00902C17">
        <w:rPr>
          <w:rFonts w:ascii="Calibri" w:hAnsi="Calibri" w:eastAsia="Calibri" w:cs="Calibri"/>
        </w:rPr>
        <w:t xml:space="preserve">FIM = </w:t>
      </w:r>
      <w:proofErr w:type="spellStart"/>
      <w:r w:rsidRPr="00902C17">
        <w:rPr>
          <w:rFonts w:ascii="Calibri" w:hAnsi="Calibri" w:eastAsia="Calibri" w:cs="Calibri"/>
        </w:rPr>
        <w:t>contrib</w:t>
      </w:r>
      <w:proofErr w:type="spellEnd"/>
      <w:r w:rsidRPr="00902C17">
        <w:rPr>
          <w:rFonts w:ascii="Calibri" w:hAnsi="Calibri" w:eastAsia="Calibri" w:cs="Calibri"/>
        </w:rPr>
        <w:t xml:space="preserve"> – (real potential GDP </w:t>
      </w:r>
      <w:proofErr w:type="gramStart"/>
      <w:r w:rsidRPr="00902C17">
        <w:rPr>
          <w:rFonts w:ascii="Calibri" w:hAnsi="Calibri" w:eastAsia="Calibri" w:cs="Calibri"/>
        </w:rPr>
        <w:t>growth)*</w:t>
      </w:r>
      <w:proofErr w:type="gramEnd"/>
      <w:r w:rsidRPr="00902C17">
        <w:rPr>
          <w:rFonts w:ascii="Calibri" w:hAnsi="Calibri" w:eastAsia="Calibri" w:cs="Calibri"/>
        </w:rPr>
        <w:t>G(-1)/Y(-1)</w:t>
      </w:r>
    </w:p>
    <w:p w:rsidRPr="00902C17" w:rsidR="00902C17" w:rsidP="00902C17" w:rsidRDefault="00902C17" w14:paraId="79633072" w14:textId="77777777">
      <w:pPr>
        <w:spacing w:after="0" w:line="240" w:lineRule="auto"/>
        <w:ind w:firstLine="720"/>
        <w:rPr>
          <w:rFonts w:ascii="Calibri" w:hAnsi="Calibri" w:eastAsia="Calibri" w:cs="Calibri"/>
        </w:rPr>
      </w:pPr>
      <w:proofErr w:type="spellStart"/>
      <w:r w:rsidRPr="00902C17">
        <w:rPr>
          <w:rFonts w:ascii="Calibri" w:hAnsi="Calibri" w:eastAsia="Calibri" w:cs="Calibri"/>
        </w:rPr>
        <w:t>contrib</w:t>
      </w:r>
      <w:proofErr w:type="spellEnd"/>
      <w:r w:rsidRPr="00902C17">
        <w:rPr>
          <w:rFonts w:ascii="Calibri" w:hAnsi="Calibri" w:eastAsia="Calibri" w:cs="Calibri"/>
        </w:rPr>
        <w:t xml:space="preserve"> – FIM = (real potential GDP </w:t>
      </w:r>
      <w:proofErr w:type="gramStart"/>
      <w:r w:rsidRPr="00902C17">
        <w:rPr>
          <w:rFonts w:ascii="Calibri" w:hAnsi="Calibri" w:eastAsia="Calibri" w:cs="Calibri"/>
        </w:rPr>
        <w:t>growth)*</w:t>
      </w:r>
      <w:proofErr w:type="gramEnd"/>
      <w:r w:rsidRPr="00902C17">
        <w:rPr>
          <w:rFonts w:ascii="Calibri" w:hAnsi="Calibri" w:eastAsia="Calibri" w:cs="Calibri"/>
        </w:rPr>
        <w:t>G(-1)/Y(-1)</w:t>
      </w:r>
    </w:p>
    <w:p w:rsidRPr="00902C17" w:rsidR="00902C17" w:rsidP="00902C17" w:rsidRDefault="00902C17" w14:paraId="6D468D08" w14:textId="77777777">
      <w:pPr>
        <w:spacing w:after="0" w:line="240" w:lineRule="auto"/>
        <w:ind w:firstLine="720"/>
        <w:rPr>
          <w:rFonts w:ascii="Calibri" w:hAnsi="Calibri" w:eastAsia="Calibri" w:cs="Calibri"/>
        </w:rPr>
      </w:pPr>
      <w:r w:rsidRPr="00902C17">
        <w:rPr>
          <w:rFonts w:ascii="Calibri" w:hAnsi="Calibri" w:eastAsia="Calibri" w:cs="Calibri"/>
        </w:rPr>
        <w:t>real potential GDP growth = (</w:t>
      </w:r>
      <w:proofErr w:type="spellStart"/>
      <w:r w:rsidRPr="00902C17">
        <w:rPr>
          <w:rFonts w:ascii="Calibri" w:hAnsi="Calibri" w:eastAsia="Calibri" w:cs="Calibri"/>
        </w:rPr>
        <w:t>contrib</w:t>
      </w:r>
      <w:proofErr w:type="spellEnd"/>
      <w:r w:rsidRPr="00902C17">
        <w:rPr>
          <w:rFonts w:ascii="Calibri" w:hAnsi="Calibri" w:eastAsia="Calibri" w:cs="Calibri"/>
        </w:rPr>
        <w:t xml:space="preserve"> – </w:t>
      </w:r>
      <w:proofErr w:type="gramStart"/>
      <w:r w:rsidRPr="00902C17">
        <w:rPr>
          <w:rFonts w:ascii="Calibri" w:hAnsi="Calibri" w:eastAsia="Calibri" w:cs="Calibri"/>
        </w:rPr>
        <w:t>FIM)*</w:t>
      </w:r>
      <w:proofErr w:type="gramEnd"/>
      <w:r w:rsidRPr="00902C17">
        <w:rPr>
          <w:rFonts w:ascii="Calibri" w:hAnsi="Calibri" w:eastAsia="Calibri" w:cs="Calibri"/>
        </w:rPr>
        <w:t>Y(-1)/G(-1)</w:t>
      </w:r>
    </w:p>
    <w:p w:rsidRPr="00902C17" w:rsidR="00902C17" w:rsidP="00902C17" w:rsidRDefault="00902C17" w14:paraId="469D636B" w14:textId="77777777">
      <w:pPr>
        <w:spacing w:after="0" w:line="240" w:lineRule="auto"/>
        <w:rPr>
          <w:rFonts w:ascii="Calibri" w:hAnsi="Calibri" w:eastAsia="Calibri" w:cs="Calibri"/>
        </w:rPr>
      </w:pPr>
      <w:r w:rsidRPr="00902C17">
        <w:rPr>
          <w:rFonts w:ascii="Calibri" w:hAnsi="Calibri" w:eastAsia="Calibri" w:cs="Calibri"/>
        </w:rPr>
        <w:t> </w:t>
      </w:r>
    </w:p>
    <w:p w:rsidRPr="00902C17" w:rsidR="00902C17" w:rsidP="00902C17" w:rsidRDefault="00902C17" w14:paraId="1EFBCEEC" w14:textId="77777777">
      <w:pPr>
        <w:spacing w:after="0" w:line="240" w:lineRule="auto"/>
        <w:rPr>
          <w:rFonts w:ascii="Calibri" w:hAnsi="Calibri" w:eastAsia="Calibri" w:cs="Calibri"/>
        </w:rPr>
      </w:pPr>
      <w:r w:rsidRPr="00902C17">
        <w:rPr>
          <w:rFonts w:ascii="Calibri" w:hAnsi="Calibri" w:eastAsia="Calibri" w:cs="Calibri"/>
        </w:rPr>
        <w:t>When I do this calculation for both ‘federal’ and ‘</w:t>
      </w:r>
      <w:proofErr w:type="spellStart"/>
      <w:r w:rsidRPr="00902C17">
        <w:rPr>
          <w:rFonts w:ascii="Calibri" w:hAnsi="Calibri" w:eastAsia="Calibri" w:cs="Calibri"/>
        </w:rPr>
        <w:t>state_local</w:t>
      </w:r>
      <w:proofErr w:type="spellEnd"/>
      <w:r w:rsidRPr="00902C17">
        <w:rPr>
          <w:rFonts w:ascii="Calibri" w:hAnsi="Calibri" w:eastAsia="Calibri" w:cs="Calibri"/>
        </w:rPr>
        <w:t>’ FIMs in your raw data, I get different implied potential growth rates and the numbers look too volatile and large for real potential GDP growth. Am I doing something wrong? Any insights would be greatly appreciated. I have attached the simple calculation I did in a workbook. Thank you!</w:t>
      </w:r>
    </w:p>
    <w:p w:rsidRPr="00902C17" w:rsidR="00902C17" w:rsidP="00902C17" w:rsidRDefault="00902C17" w14:paraId="3D3DFF6A" w14:textId="77777777">
      <w:pPr>
        <w:spacing w:after="0" w:line="240" w:lineRule="auto"/>
        <w:rPr>
          <w:rFonts w:ascii="Calibri" w:hAnsi="Calibri" w:eastAsia="Calibri" w:cs="Calibri"/>
        </w:rPr>
      </w:pPr>
      <w:r w:rsidRPr="00902C17">
        <w:rPr>
          <w:rFonts w:ascii="Calibri" w:hAnsi="Calibri" w:eastAsia="Calibri" w:cs="Calibri"/>
        </w:rPr>
        <w:t> </w:t>
      </w:r>
    </w:p>
    <w:p w:rsidRPr="00902C17" w:rsidR="00902C17" w:rsidP="00902C17" w:rsidRDefault="00902C17" w14:paraId="0E7C4A85" w14:textId="77777777">
      <w:pPr>
        <w:spacing w:after="0" w:line="240" w:lineRule="auto"/>
        <w:rPr>
          <w:rFonts w:ascii="Calibri" w:hAnsi="Calibri" w:eastAsia="Calibri" w:cs="Calibri"/>
        </w:rPr>
      </w:pPr>
      <w:r w:rsidRPr="00902C17">
        <w:rPr>
          <w:rFonts w:ascii="Calibri" w:hAnsi="Calibri" w:eastAsia="Calibri" w:cs="Calibri"/>
          <w:b/>
          <w:bCs/>
          <w:color w:val="1F497D"/>
        </w:rPr>
        <w:t xml:space="preserve">John </w:t>
      </w:r>
      <w:proofErr w:type="spellStart"/>
      <w:r w:rsidRPr="00902C17">
        <w:rPr>
          <w:rFonts w:ascii="Calibri" w:hAnsi="Calibri" w:eastAsia="Calibri" w:cs="Calibri"/>
          <w:b/>
          <w:bCs/>
          <w:color w:val="1F497D"/>
        </w:rPr>
        <w:t>Seliski</w:t>
      </w:r>
      <w:proofErr w:type="spellEnd"/>
      <w:r w:rsidRPr="00902C17">
        <w:rPr>
          <w:rFonts w:ascii="Calibri" w:hAnsi="Calibri" w:eastAsia="Calibri" w:cs="Calibri"/>
          <w:color w:val="1F497D"/>
        </w:rPr>
        <w:br/>
      </w:r>
      <w:r w:rsidRPr="00902C17">
        <w:rPr>
          <w:rFonts w:ascii="Calibri" w:hAnsi="Calibri" w:eastAsia="Calibri" w:cs="Calibri"/>
          <w:color w:val="1F497D"/>
        </w:rPr>
        <w:t>Macroeconomic Analysis Division</w:t>
      </w:r>
    </w:p>
    <w:p w:rsidRPr="00902C17" w:rsidR="00902C17" w:rsidP="00902C17" w:rsidRDefault="00902C17" w14:paraId="51438EF5" w14:textId="77777777">
      <w:pPr>
        <w:keepNext/>
        <w:spacing w:after="0" w:line="240" w:lineRule="auto"/>
        <w:rPr>
          <w:rFonts w:ascii="Calibri" w:hAnsi="Calibri" w:eastAsia="Calibri" w:cs="Calibri"/>
        </w:rPr>
      </w:pPr>
      <w:r w:rsidRPr="00902C17">
        <w:rPr>
          <w:rFonts w:ascii="Calibri" w:hAnsi="Calibri" w:eastAsia="Calibri" w:cs="Calibri"/>
          <w:color w:val="1F497D"/>
        </w:rPr>
        <w:t>Congressional Budget Office</w:t>
      </w:r>
    </w:p>
    <w:p w:rsidRPr="00902C17" w:rsidR="00902C17" w:rsidP="00902C17" w:rsidRDefault="00902C17" w14:paraId="27D02126" w14:textId="77777777">
      <w:pPr>
        <w:keepNext/>
        <w:spacing w:after="0" w:line="240" w:lineRule="auto"/>
        <w:rPr>
          <w:rFonts w:ascii="Calibri" w:hAnsi="Calibri" w:eastAsia="Calibri" w:cs="Calibri"/>
        </w:rPr>
      </w:pPr>
      <w:r w:rsidRPr="00902C17">
        <w:rPr>
          <w:rFonts w:ascii="Calibri" w:hAnsi="Calibri" w:eastAsia="Calibri" w:cs="Calibri"/>
          <w:color w:val="1F497D"/>
        </w:rPr>
        <w:t xml:space="preserve">202-226-2766 | </w:t>
      </w:r>
      <w:hyperlink w:history="1" r:id="rId38">
        <w:r w:rsidRPr="00902C17">
          <w:rPr>
            <w:rFonts w:ascii="Calibri" w:hAnsi="Calibri" w:eastAsia="Calibri" w:cs="Calibri"/>
            <w:color w:val="0563C1"/>
            <w:u w:val="single"/>
          </w:rPr>
          <w:t>john.seliski@cbo.gov</w:t>
        </w:r>
      </w:hyperlink>
    </w:p>
    <w:p w:rsidR="00A17EEA" w:rsidP="00A17EEA" w:rsidRDefault="00A17EEA" w14:paraId="7C713A09" w14:textId="77777777">
      <w:pPr>
        <w:spacing w:after="0" w:line="240" w:lineRule="auto"/>
        <w:rPr>
          <w:rFonts w:ascii="Calibri" w:hAnsi="Calibri" w:eastAsia="Calibri" w:cs="Calibri"/>
        </w:rPr>
      </w:pPr>
    </w:p>
    <w:p w:rsidRPr="00A17EEA" w:rsidR="00A17EEA" w:rsidP="00A17EEA" w:rsidRDefault="00A17EEA" w14:paraId="59B04ECE" w14:textId="51A9DC32">
      <w:pPr>
        <w:spacing w:after="0" w:line="240" w:lineRule="auto"/>
        <w:rPr>
          <w:rFonts w:ascii="Calibri" w:hAnsi="Calibri" w:eastAsia="Calibri" w:cs="Calibri"/>
        </w:rPr>
      </w:pPr>
      <w:r w:rsidRPr="00A17EEA">
        <w:rPr>
          <w:rFonts w:ascii="Calibri" w:hAnsi="Calibri" w:eastAsia="Calibri" w:cs="Calibri"/>
        </w:rPr>
        <w:t xml:space="preserve">Here’s a draft of what I would reply to John, for us to discuss. </w:t>
      </w:r>
    </w:p>
    <w:p w:rsidRPr="00A17EEA" w:rsidR="00A17EEA" w:rsidP="00A17EEA" w:rsidRDefault="00A17EEA" w14:paraId="5BCC24B4" w14:textId="302B2B0D">
      <w:pPr>
        <w:spacing w:after="0" w:line="240" w:lineRule="auto"/>
        <w:rPr>
          <w:rFonts w:ascii="Calibri" w:hAnsi="Calibri" w:eastAsia="Calibri" w:cs="Calibri"/>
        </w:rPr>
      </w:pPr>
      <w:r>
        <w:rPr>
          <w:rFonts w:ascii="Calibri" w:hAnsi="Calibri" w:eastAsia="Calibri" w:cs="Calibri"/>
        </w:rPr>
        <w:t>…</w:t>
      </w:r>
    </w:p>
    <w:p w:rsidRPr="00A17EEA" w:rsidR="00A17EEA" w:rsidP="00A17EEA" w:rsidRDefault="00A17EEA" w14:paraId="41A8EE7F" w14:textId="77777777">
      <w:pPr>
        <w:spacing w:after="0" w:line="240" w:lineRule="auto"/>
        <w:rPr>
          <w:rFonts w:ascii="Calibri" w:hAnsi="Calibri" w:eastAsia="Calibri" w:cs="Calibri"/>
        </w:rPr>
      </w:pPr>
      <w:r w:rsidRPr="00A17EEA">
        <w:rPr>
          <w:rFonts w:ascii="Calibri" w:hAnsi="Calibri" w:eastAsia="Calibri" w:cs="Calibri"/>
        </w:rPr>
        <w:t>Hi John,</w:t>
      </w:r>
    </w:p>
    <w:p w:rsidRPr="00A17EEA" w:rsidR="00A17EEA" w:rsidP="00A17EEA" w:rsidRDefault="00A17EEA" w14:paraId="08D26791" w14:textId="77777777">
      <w:pPr>
        <w:spacing w:after="0" w:line="240" w:lineRule="auto"/>
        <w:rPr>
          <w:rFonts w:ascii="Calibri" w:hAnsi="Calibri" w:eastAsia="Calibri" w:cs="Calibri"/>
        </w:rPr>
      </w:pPr>
    </w:p>
    <w:p w:rsidRPr="00A17EEA" w:rsidR="00A17EEA" w:rsidP="00A17EEA" w:rsidRDefault="00A17EEA" w14:paraId="0ADBC899" w14:textId="77777777">
      <w:pPr>
        <w:spacing w:after="0" w:line="240" w:lineRule="auto"/>
        <w:rPr>
          <w:rFonts w:ascii="Calibri" w:hAnsi="Calibri" w:eastAsia="Calibri" w:cs="Calibri"/>
        </w:rPr>
      </w:pPr>
      <w:r w:rsidRPr="00A17EEA">
        <w:rPr>
          <w:rFonts w:ascii="Calibri" w:hAnsi="Calibri" w:eastAsia="Calibri" w:cs="Calibri"/>
        </w:rPr>
        <w:t xml:space="preserve">Thanks for your interest and question. We do use the CBO estimates of real potential growth, and your approach to backing out the potential growth rate we use is correct. However, the calculations produce the wrong implied growth rate because we adjust the government purchases data in our construction of the FIM to reattribute some grants-in-aid to states to the federal government. This means that backing out the implied growth rate from the BEA line items for government purchases and their contributions to percent change in GDP does not quite work. I have modified the spreadsheet you sent to include our adjustments to the purchases numbers and to take your approach to backing out the potential rate. </w:t>
      </w:r>
    </w:p>
    <w:p w:rsidRPr="00A17EEA" w:rsidR="00A17EEA" w:rsidP="00A17EEA" w:rsidRDefault="00A17EEA" w14:paraId="2CAB3B6C" w14:textId="77777777">
      <w:pPr>
        <w:spacing w:after="0" w:line="240" w:lineRule="auto"/>
        <w:rPr>
          <w:rFonts w:ascii="Calibri" w:hAnsi="Calibri" w:eastAsia="Calibri" w:cs="Calibri"/>
        </w:rPr>
      </w:pPr>
    </w:p>
    <w:p w:rsidRPr="00A17EEA" w:rsidR="00A17EEA" w:rsidP="00A17EEA" w:rsidRDefault="00A17EEA" w14:paraId="40136DA9" w14:textId="77777777">
      <w:pPr>
        <w:spacing w:after="0" w:line="240" w:lineRule="auto"/>
        <w:rPr>
          <w:rFonts w:ascii="Calibri" w:hAnsi="Calibri" w:eastAsia="Calibri" w:cs="Calibri"/>
        </w:rPr>
      </w:pPr>
      <w:r w:rsidRPr="00A17EEA">
        <w:rPr>
          <w:rFonts w:ascii="Calibri" w:hAnsi="Calibri" w:eastAsia="Calibri" w:cs="Calibri"/>
        </w:rPr>
        <w:t xml:space="preserve">More specifically, we add back </w:t>
      </w:r>
      <w:r w:rsidRPr="00A17EEA">
        <w:rPr>
          <w:rFonts w:ascii="Calibri" w:hAnsi="Calibri" w:eastAsia="Calibri" w:cs="Calibri"/>
          <w:b/>
          <w:bCs/>
        </w:rPr>
        <w:t>non-Medicaid</w:t>
      </w:r>
      <w:r w:rsidRPr="00A17EEA">
        <w:rPr>
          <w:rFonts w:ascii="Calibri" w:hAnsi="Calibri" w:eastAsia="Calibri" w:cs="Calibri"/>
        </w:rPr>
        <w:t xml:space="preserve"> </w:t>
      </w:r>
      <w:r w:rsidRPr="00A17EEA">
        <w:rPr>
          <w:rFonts w:ascii="Calibri" w:hAnsi="Calibri" w:eastAsia="Calibri" w:cs="Calibri"/>
          <w:b/>
          <w:bCs/>
        </w:rPr>
        <w:t>grants-in-aid</w:t>
      </w:r>
      <w:r w:rsidRPr="00A17EEA">
        <w:rPr>
          <w:rFonts w:ascii="Calibri" w:hAnsi="Calibri" w:eastAsia="Calibri" w:cs="Calibri"/>
        </w:rPr>
        <w:t xml:space="preserve"> to state and local governments</w:t>
      </w:r>
      <w:r w:rsidRPr="00A17EEA">
        <w:rPr>
          <w:rFonts w:ascii="Calibri" w:hAnsi="Calibri" w:eastAsia="Calibri" w:cs="Calibri"/>
          <w:b/>
          <w:bCs/>
        </w:rPr>
        <w:t xml:space="preserve"> to federal purchases </w:t>
      </w:r>
      <w:r w:rsidRPr="00A17EEA">
        <w:rPr>
          <w:rFonts w:ascii="Calibri" w:hAnsi="Calibri" w:eastAsia="Calibri" w:cs="Calibri"/>
        </w:rPr>
        <w:t xml:space="preserve">by (a) calculating the portion of grants-in-aid to state and local governments (Table 3.2.31) that is not Medicaid-related using the Federal Medical Assistance Percentage (FMAP) for Medicaid, (b) adding this dollar amount back to federal purchases, and (c) subtracting this dollar amount from state and local purchases. Once you are equipped with these adjusted purchases </w:t>
      </w:r>
      <w:proofErr w:type="gramStart"/>
      <w:r w:rsidRPr="00A17EEA">
        <w:rPr>
          <w:rFonts w:ascii="Calibri" w:hAnsi="Calibri" w:eastAsia="Calibri" w:cs="Calibri"/>
        </w:rPr>
        <w:t>series, and</w:t>
      </w:r>
      <w:proofErr w:type="gramEnd"/>
      <w:r w:rsidRPr="00A17EEA">
        <w:rPr>
          <w:rFonts w:ascii="Calibri" w:hAnsi="Calibri" w:eastAsia="Calibri" w:cs="Calibri"/>
        </w:rPr>
        <w:t xml:space="preserve"> have calculated new contributions to GDP growth based on them, you will see in the attached sheet that you can back out the appropriate real potential GDP growth estimate. There is some small residual between the backed-out series and the CBO series that I think is due to the flip-flopping between annualized and quarterly rates in the </w:t>
      </w:r>
      <w:proofErr w:type="gramStart"/>
      <w:r w:rsidRPr="00A17EEA">
        <w:rPr>
          <w:rFonts w:ascii="Calibri" w:hAnsi="Calibri" w:eastAsia="Calibri" w:cs="Calibri"/>
        </w:rPr>
        <w:t>process.*</w:t>
      </w:r>
      <w:proofErr w:type="gramEnd"/>
    </w:p>
    <w:p w:rsidRPr="00A17EEA" w:rsidR="00A17EEA" w:rsidP="00A17EEA" w:rsidRDefault="00A17EEA" w14:paraId="4462B48D" w14:textId="77777777">
      <w:pPr>
        <w:spacing w:after="0" w:line="240" w:lineRule="auto"/>
        <w:rPr>
          <w:rFonts w:ascii="Calibri" w:hAnsi="Calibri" w:eastAsia="Calibri" w:cs="Calibri"/>
        </w:rPr>
      </w:pPr>
    </w:p>
    <w:p w:rsidRPr="00A17EEA" w:rsidR="00A17EEA" w:rsidP="00A17EEA" w:rsidRDefault="00A17EEA" w14:paraId="19B55BFE" w14:textId="77777777">
      <w:pPr>
        <w:spacing w:after="0" w:line="240" w:lineRule="auto"/>
        <w:rPr>
          <w:rFonts w:ascii="Calibri" w:hAnsi="Calibri" w:eastAsia="Calibri" w:cs="Calibri"/>
        </w:rPr>
      </w:pPr>
      <w:r w:rsidRPr="00A17EEA">
        <w:rPr>
          <w:rFonts w:ascii="Calibri" w:hAnsi="Calibri" w:eastAsia="Calibri" w:cs="Calibri"/>
        </w:rPr>
        <w:t xml:space="preserve">I hope this is helpful, and we’re happy to answer any more questions you have. </w:t>
      </w:r>
    </w:p>
    <w:p w:rsidRPr="00A17EEA" w:rsidR="00A17EEA" w:rsidP="00A17EEA" w:rsidRDefault="00A17EEA" w14:paraId="1BF3BE9A" w14:textId="73302F7D">
      <w:pPr>
        <w:spacing w:after="0" w:line="240" w:lineRule="auto"/>
        <w:rPr>
          <w:rFonts w:ascii="Calibri" w:hAnsi="Calibri" w:eastAsia="Calibri" w:cs="Calibri"/>
        </w:rPr>
      </w:pPr>
      <w:r>
        <w:rPr>
          <w:rFonts w:ascii="Calibri" w:hAnsi="Calibri" w:eastAsia="Calibri" w:cs="Calibri"/>
        </w:rPr>
        <w:t>…</w:t>
      </w:r>
    </w:p>
    <w:p w:rsidRPr="00A17EEA" w:rsidR="00A17EEA" w:rsidP="00A17EEA" w:rsidRDefault="00A17EEA" w14:paraId="70E3DCA1" w14:textId="77777777">
      <w:pPr>
        <w:spacing w:after="0" w:line="240" w:lineRule="auto"/>
        <w:rPr>
          <w:rFonts w:ascii="Calibri" w:hAnsi="Calibri" w:eastAsia="Calibri" w:cs="Calibri"/>
        </w:rPr>
      </w:pPr>
      <w:r w:rsidRPr="00A17EEA">
        <w:rPr>
          <w:rFonts w:ascii="Calibri" w:hAnsi="Calibri" w:eastAsia="Calibri" w:cs="Calibri"/>
        </w:rPr>
        <w:t xml:space="preserve">*when I back out the implied growth rate using my non-annualized data and my approach, I get exactly CBO’s numbers for potential GDP. But I can’t figure out where the residual is coming from, for the life of me. </w:t>
      </w:r>
    </w:p>
    <w:p w:rsidRPr="00A17EEA" w:rsidR="00A17EEA" w:rsidP="00A17EEA" w:rsidRDefault="00A17EEA" w14:paraId="70940D4A" w14:textId="77777777">
      <w:pPr>
        <w:spacing w:after="0" w:line="240" w:lineRule="auto"/>
        <w:rPr>
          <w:rFonts w:ascii="Calibri" w:hAnsi="Calibri" w:eastAsia="Calibri" w:cs="Calibri"/>
        </w:rPr>
      </w:pPr>
    </w:p>
    <w:p w:rsidRPr="00A17EEA" w:rsidR="00A17EEA" w:rsidP="00A17EEA" w:rsidRDefault="00A17EEA" w14:paraId="7ACEB302" w14:textId="77777777">
      <w:pPr>
        <w:spacing w:after="0" w:line="240" w:lineRule="auto"/>
        <w:rPr>
          <w:rFonts w:ascii="Calibri" w:hAnsi="Calibri" w:eastAsia="Calibri" w:cs="Calibri"/>
        </w:rPr>
      </w:pPr>
      <w:r w:rsidRPr="00A17EEA">
        <w:rPr>
          <w:rFonts w:ascii="Calibri" w:hAnsi="Calibri" w:eastAsia="Calibri" w:cs="Calibri"/>
        </w:rPr>
        <w:t xml:space="preserve">Sage </w:t>
      </w:r>
    </w:p>
    <w:p w:rsidR="0074172E" w:rsidP="00E65CF0" w:rsidRDefault="0074172E" w14:paraId="5EA038EB" w14:textId="77777777"/>
    <w:p w:rsidR="0074172E" w:rsidP="00E65CF0" w:rsidRDefault="0074172E" w14:paraId="1C17AACE" w14:textId="77777777"/>
    <w:p w:rsidRPr="00071A17" w:rsidR="002E59BC" w:rsidP="00071A17" w:rsidRDefault="00C43878" w14:paraId="31DFE2F4" w14:textId="196CCE82">
      <w:pPr>
        <w:pStyle w:val="Heading2"/>
      </w:pPr>
      <w:r w:rsidRPr="00071A17">
        <w:t>10/17</w:t>
      </w:r>
      <w:r w:rsidRPr="00071A17" w:rsidR="00E65CF0">
        <w:t xml:space="preserve"> exchange</w:t>
      </w:r>
    </w:p>
    <w:p w:rsidR="002E59BC" w:rsidP="002E59BC" w:rsidRDefault="002E59BC" w14:paraId="48BF6F1B" w14:textId="77777777">
      <w:pPr>
        <w:spacing w:after="240"/>
        <w:outlineLvl w:val="0"/>
      </w:pPr>
      <w:r>
        <w:rPr>
          <w:b/>
          <w:bCs/>
        </w:rPr>
        <w:t>From:</w:t>
      </w:r>
      <w:r>
        <w:t xml:space="preserve"> "</w:t>
      </w:r>
      <w:proofErr w:type="spellStart"/>
      <w:r>
        <w:t>Nalewaik</w:t>
      </w:r>
      <w:proofErr w:type="spellEnd"/>
      <w:r>
        <w:t>, Jeremy" &lt;</w:t>
      </w:r>
      <w:hyperlink w:history="1" r:id="rId39">
        <w:r>
          <w:rPr>
            <w:rStyle w:val="Hyperlink"/>
          </w:rPr>
          <w:t>Jeremy.Nalewaik@morganstanley.com</w:t>
        </w:r>
      </w:hyperlink>
      <w:r>
        <w:t>&gt;</w:t>
      </w:r>
      <w:r>
        <w:br/>
      </w:r>
      <w:r>
        <w:rPr>
          <w:b/>
          <w:bCs/>
        </w:rPr>
        <w:t>Date:</w:t>
      </w:r>
      <w:r>
        <w:t xml:space="preserve"> October 17, 2019 at 12:51:50 PM EDT</w:t>
      </w:r>
      <w:r>
        <w:br/>
      </w:r>
      <w:r>
        <w:rPr>
          <w:b/>
          <w:bCs/>
        </w:rPr>
        <w:t>To:</w:t>
      </w:r>
      <w:r>
        <w:t xml:space="preserve"> Louise Sheiner &lt;</w:t>
      </w:r>
      <w:hyperlink w:history="1" r:id="rId40">
        <w:r>
          <w:rPr>
            <w:rStyle w:val="Hyperlink"/>
          </w:rPr>
          <w:t>LSheiner@brookings.edu</w:t>
        </w:r>
      </w:hyperlink>
      <w:r>
        <w:t>&gt;</w:t>
      </w:r>
      <w:r>
        <w:br/>
      </w:r>
      <w:r>
        <w:rPr>
          <w:b/>
          <w:bCs/>
        </w:rPr>
        <w:t>Subject:</w:t>
      </w:r>
      <w:r>
        <w:t xml:space="preserve"> </w:t>
      </w:r>
      <w:r>
        <w:rPr>
          <w:b/>
          <w:bCs/>
        </w:rPr>
        <w:t>FIM</w:t>
      </w:r>
    </w:p>
    <w:p w:rsidR="002E59BC" w:rsidP="002E59BC" w:rsidRDefault="002E59BC" w14:paraId="2D8E0E5D" w14:textId="4C213048">
      <w:r>
        <w:t>﻿Hey Louise.  How have you been?  Been meaning to visit Brookings one of these days – hopefully soon. </w:t>
      </w:r>
    </w:p>
    <w:p w:rsidR="002E59BC" w:rsidP="002E59BC" w:rsidRDefault="002E59BC" w14:paraId="02C6039F" w14:textId="7484D981">
      <w:r>
        <w:t>Some chatter here amongst some of my colleagues about the sharp projected drop off in Brookings FIM.  A couple questions if you have time: </w:t>
      </w:r>
    </w:p>
    <w:p w:rsidR="002E59BC" w:rsidP="002E59BC" w:rsidRDefault="002E59BC" w14:paraId="0185A91B" w14:textId="65B58866">
      <w:pPr>
        <w:pStyle w:val="ListParagraph"/>
        <w:numPr>
          <w:ilvl w:val="0"/>
          <w:numId w:val="3"/>
        </w:numPr>
        <w:rPr>
          <w:rFonts w:eastAsia="Times New Roman"/>
        </w:rPr>
      </w:pPr>
      <w:r>
        <w:rPr>
          <w:rFonts w:eastAsia="Times New Roman"/>
        </w:rPr>
        <w:t> Why the negative contribution projections for S&amp;L?  S&amp;L budgets seem healthy (on average, of course there are exceptions) and S&amp;L spending typically picks up late cycle.</w:t>
      </w:r>
    </w:p>
    <w:p w:rsidRPr="00D465E1" w:rsidR="00E65CF0" w:rsidP="00E65CF0" w:rsidRDefault="00E65CF0" w14:paraId="003E9217" w14:textId="6D374D96">
      <w:pPr>
        <w:pStyle w:val="ListParagraph"/>
        <w:rPr>
          <w:color w:val="1F3864" w:themeColor="accent1" w:themeShade="80"/>
        </w:rPr>
      </w:pPr>
      <w:r w:rsidRPr="00D465E1">
        <w:rPr>
          <w:color w:val="1F3864" w:themeColor="accent1" w:themeShade="80"/>
        </w:rPr>
        <w:t xml:space="preserve">First, it’s worth noting that we’ve updated our methodology recently so that the FIM now reflects contributions of fiscal policy beyond those that would occur if government purchases were growing with real potential GDP. </w:t>
      </w:r>
      <w:proofErr w:type="gramStart"/>
      <w:r w:rsidRPr="00D465E1">
        <w:rPr>
          <w:color w:val="1F3864" w:themeColor="accent1" w:themeShade="80"/>
        </w:rPr>
        <w:t>So</w:t>
      </w:r>
      <w:proofErr w:type="gramEnd"/>
      <w:r w:rsidRPr="00D465E1">
        <w:rPr>
          <w:color w:val="1F3864" w:themeColor="accent1" w:themeShade="80"/>
        </w:rPr>
        <w:t xml:space="preserve"> the negative projected contributions from state and local spending means we expect that sector to grow below potential, not to have a negative contribution to the headline GDP numbers in the way that BEA reports contributions. More generally, our forecast for state and local spending is consistent with CBO’s and has total spending in that sector moderate next year after the surge in investment spending this year. In addition, CBO assumes (and we follow) that the sector will experience almost zero productivity growth going forward, putting a lot of downward pressure on the forecasts for real growth. </w:t>
      </w:r>
    </w:p>
    <w:p w:rsidRPr="00E65CF0" w:rsidR="002E59BC" w:rsidP="002E59BC" w:rsidRDefault="002E59BC" w14:paraId="63F5E4E9" w14:textId="5B57A2EC">
      <w:pPr>
        <w:pStyle w:val="ListParagraph"/>
        <w:numPr>
          <w:ilvl w:val="0"/>
          <w:numId w:val="3"/>
        </w:numPr>
        <w:rPr>
          <w:rFonts w:eastAsia="Times New Roman"/>
        </w:rPr>
      </w:pPr>
      <w:r>
        <w:rPr>
          <w:rFonts w:eastAsia="Times New Roman"/>
        </w:rPr>
        <w:t>What’s driven the large contributions from taxes and transfers and why the projected drop off next year?</w:t>
      </w:r>
      <w:r>
        <w:t> </w:t>
      </w:r>
    </w:p>
    <w:p w:rsidRPr="00D465E1" w:rsidR="00E65CF0" w:rsidP="00E65CF0" w:rsidRDefault="00E65CF0" w14:paraId="70917406" w14:textId="7B409C8E">
      <w:pPr>
        <w:pStyle w:val="ListParagraph"/>
        <w:rPr>
          <w:color w:val="1F3864" w:themeColor="accent1" w:themeShade="80"/>
        </w:rPr>
      </w:pPr>
      <w:r w:rsidRPr="00D465E1">
        <w:rPr>
          <w:color w:val="1F3864" w:themeColor="accent1" w:themeShade="80"/>
        </w:rPr>
        <w:t xml:space="preserve">The increase in the contribution from taxes and transfers this year has been driven mostly by </w:t>
      </w:r>
      <w:r w:rsidRPr="00D465E1">
        <w:rPr>
          <w:b/>
          <w:color w:val="1F3864" w:themeColor="accent1" w:themeShade="80"/>
        </w:rPr>
        <w:t>unexpectedly large tax credit payments</w:t>
      </w:r>
      <w:r w:rsidRPr="00D465E1">
        <w:rPr>
          <w:color w:val="1F3864" w:themeColor="accent1" w:themeShade="80"/>
        </w:rPr>
        <w:t xml:space="preserve"> </w:t>
      </w:r>
      <w:r w:rsidRPr="00D465E1" w:rsidR="00EA7156">
        <w:rPr>
          <w:color w:val="1F3864" w:themeColor="accent1" w:themeShade="80"/>
        </w:rPr>
        <w:t>(</w:t>
      </w:r>
      <w:hyperlink w:history="1" w:anchor="reqid=19&amp;step=2&amp;isuri=1&amp;1921=underlying" r:id="rId41">
        <w:r w:rsidRPr="00D465E1" w:rsidR="00EA7156">
          <w:rPr>
            <w:rStyle w:val="Hyperlink"/>
            <w:color w:val="1F3864" w:themeColor="accent1" w:themeShade="80"/>
          </w:rPr>
          <w:t xml:space="preserve">see </w:t>
        </w:r>
        <w:r w:rsidRPr="00D465E1" w:rsidR="001F391B">
          <w:rPr>
            <w:rStyle w:val="Hyperlink"/>
            <w:color w:val="1F3864" w:themeColor="accent1" w:themeShade="80"/>
          </w:rPr>
          <w:t xml:space="preserve">Table 3.12U, </w:t>
        </w:r>
        <w:r w:rsidRPr="00D465E1" w:rsidR="00D465E1">
          <w:rPr>
            <w:rStyle w:val="Hyperlink"/>
            <w:color w:val="1F3864" w:themeColor="accent1" w:themeShade="80"/>
          </w:rPr>
          <w:t>20</w:t>
        </w:r>
      </w:hyperlink>
      <w:r w:rsidRPr="00D465E1" w:rsidR="00D465E1">
        <w:rPr>
          <w:color w:val="1F3864" w:themeColor="accent1" w:themeShade="80"/>
        </w:rPr>
        <w:t xml:space="preserve">) </w:t>
      </w:r>
      <w:r w:rsidRPr="00D465E1">
        <w:rPr>
          <w:color w:val="1F3864" w:themeColor="accent1" w:themeShade="80"/>
        </w:rPr>
        <w:t xml:space="preserve">and large Social Security transfer payments at the beginning of the year, associated mostly with the </w:t>
      </w:r>
      <w:r w:rsidRPr="00D465E1">
        <w:rPr>
          <w:b/>
          <w:color w:val="1F3864" w:themeColor="accent1" w:themeShade="80"/>
        </w:rPr>
        <w:t>COLA adjustments that went into place in January</w:t>
      </w:r>
      <w:r w:rsidRPr="00D465E1">
        <w:rPr>
          <w:color w:val="1F3864" w:themeColor="accent1" w:themeShade="80"/>
        </w:rPr>
        <w:t xml:space="preserve">. We assume these payments have a persistent effect on consumption—but our assumptions imply that effect will dissipate in 2020, explaining most of the drop off in that component’s contribution in 2020. We explain our assumptions about the consumption effects in our </w:t>
      </w:r>
      <w:hyperlink w:history="1" r:id="rId42">
        <w:r w:rsidRPr="00D465E1">
          <w:rPr>
            <w:rStyle w:val="Hyperlink"/>
            <w:color w:val="1F3864" w:themeColor="accent1" w:themeShade="80"/>
          </w:rPr>
          <w:t>methodology</w:t>
        </w:r>
      </w:hyperlink>
      <w:r w:rsidRPr="00D465E1">
        <w:rPr>
          <w:color w:val="1F3864" w:themeColor="accent1" w:themeShade="80"/>
        </w:rPr>
        <w:t xml:space="preserve">. After that point, with no expected legislative changes, continued moderate growth in health spending, and some amount of real bracket creep, we expect the net effect of taxes and transfers to be about consistent with keeping the economy at potential. </w:t>
      </w:r>
    </w:p>
    <w:p w:rsidRPr="002E59BC" w:rsidR="00E65CF0" w:rsidP="00E65CF0" w:rsidRDefault="00E65CF0" w14:paraId="4C122E92" w14:textId="77777777">
      <w:pPr>
        <w:pStyle w:val="ListParagraph"/>
        <w:rPr>
          <w:rFonts w:eastAsia="Times New Roman"/>
        </w:rPr>
      </w:pPr>
    </w:p>
    <w:p w:rsidR="002E59BC" w:rsidP="002E59BC" w:rsidRDefault="002E59BC" w14:paraId="362345A1" w14:textId="082E0B93">
      <w:r>
        <w:t>Thanks,</w:t>
      </w:r>
    </w:p>
    <w:p w:rsidR="00C43878" w:rsidP="002E59BC" w:rsidRDefault="002E59BC" w14:paraId="0E0C2DCE" w14:textId="02331107">
      <w:r>
        <w:rPr>
          <w:rFonts w:ascii="Arial" w:hAnsi="Arial" w:cs="Arial"/>
          <w:color w:val="000000"/>
          <w:sz w:val="20"/>
          <w:szCs w:val="20"/>
        </w:rPr>
        <w:t xml:space="preserve">Jeremy </w:t>
      </w:r>
      <w:proofErr w:type="spellStart"/>
      <w:r>
        <w:rPr>
          <w:rFonts w:ascii="Arial" w:hAnsi="Arial" w:cs="Arial"/>
          <w:color w:val="000000"/>
          <w:sz w:val="20"/>
          <w:szCs w:val="20"/>
        </w:rPr>
        <w:t>Nalewaik</w:t>
      </w:r>
      <w:proofErr w:type="spellEnd"/>
      <w:r>
        <w:rPr>
          <w:rFonts w:ascii="Arial" w:hAnsi="Arial" w:cs="Arial"/>
          <w:color w:val="000000"/>
          <w:sz w:val="20"/>
          <w:szCs w:val="20"/>
        </w:rPr>
        <w:t>, Executive Director   </w:t>
      </w:r>
      <w:r>
        <w:rPr>
          <w:rFonts w:ascii="Arial" w:hAnsi="Arial" w:cs="Arial"/>
          <w:color w:val="000000"/>
          <w:sz w:val="20"/>
          <w:szCs w:val="20"/>
        </w:rPr>
        <w:br/>
      </w:r>
      <w:r>
        <w:rPr>
          <w:rFonts w:ascii="Arial" w:hAnsi="Arial" w:cs="Arial"/>
          <w:b/>
          <w:bCs/>
          <w:color w:val="000000"/>
          <w:sz w:val="15"/>
          <w:szCs w:val="15"/>
        </w:rPr>
        <w:t>Morgan Stanley | Research   </w:t>
      </w:r>
      <w:r>
        <w:rPr>
          <w:rFonts w:ascii="Arial" w:hAnsi="Arial" w:cs="Arial"/>
          <w:b/>
          <w:bCs/>
          <w:color w:val="000000"/>
          <w:sz w:val="15"/>
          <w:szCs w:val="15"/>
        </w:rPr>
        <w:br/>
      </w:r>
      <w:r>
        <w:rPr>
          <w:rFonts w:ascii="Arial" w:hAnsi="Arial" w:cs="Arial"/>
          <w:color w:val="000000"/>
          <w:sz w:val="15"/>
          <w:szCs w:val="15"/>
        </w:rPr>
        <w:t>1585 Broadway, 38th Floor | New York, NY  10036   </w:t>
      </w:r>
      <w:r>
        <w:rPr>
          <w:rFonts w:ascii="Arial" w:hAnsi="Arial" w:cs="Arial"/>
          <w:color w:val="000000"/>
          <w:sz w:val="15"/>
          <w:szCs w:val="15"/>
        </w:rPr>
        <w:br/>
      </w:r>
      <w:r>
        <w:rPr>
          <w:rFonts w:ascii="Arial" w:hAnsi="Arial" w:cs="Arial"/>
          <w:color w:val="000000"/>
          <w:sz w:val="15"/>
          <w:szCs w:val="15"/>
        </w:rPr>
        <w:t>Phone: +1 212 761-3892   </w:t>
      </w:r>
      <w:r>
        <w:rPr>
          <w:rFonts w:ascii="Arial" w:hAnsi="Arial" w:cs="Arial"/>
          <w:color w:val="000000"/>
          <w:sz w:val="15"/>
          <w:szCs w:val="15"/>
        </w:rPr>
        <w:br/>
      </w:r>
      <w:hyperlink w:history="1" r:id="rId43">
        <w:r>
          <w:rPr>
            <w:rStyle w:val="Hyperlink"/>
            <w:rFonts w:ascii="Arial" w:hAnsi="Arial" w:cs="Arial"/>
            <w:sz w:val="15"/>
            <w:szCs w:val="15"/>
          </w:rPr>
          <w:t>Jeremy.Nalewaik@morganstanley.com</w:t>
        </w:r>
      </w:hyperlink>
      <w:r>
        <w:rPr>
          <w:rFonts w:ascii="Arial" w:hAnsi="Arial" w:cs="Arial"/>
          <w:color w:val="000000"/>
          <w:sz w:val="15"/>
          <w:szCs w:val="15"/>
        </w:rPr>
        <w:t>   </w:t>
      </w:r>
    </w:p>
    <w:p w:rsidR="00C43878" w:rsidRDefault="00C43878" w14:paraId="07FCBDC6" w14:textId="77777777"/>
    <w:p w:rsidR="00D5763A" w:rsidP="00071A17" w:rsidRDefault="00D5763A" w14:paraId="1713826A" w14:textId="57AEE760">
      <w:pPr>
        <w:pStyle w:val="Heading2"/>
      </w:pPr>
      <w:r>
        <w:t>9/20/2019</w:t>
      </w:r>
      <w:r w:rsidR="00071A17">
        <w:t xml:space="preserve"> </w:t>
      </w:r>
      <w:r>
        <w:t>From the August 2019 CBO outlook, regarding Use it or Lose it Budget Authority</w:t>
      </w:r>
    </w:p>
    <w:p w:rsidR="00D5763A" w:rsidRDefault="003F4D7E" w14:paraId="627ED800" w14:textId="77777777">
      <w:hyperlink w:history="1" r:id="rId44">
        <w:r w:rsidR="00D5763A">
          <w:rPr>
            <w:rStyle w:val="Hyperlink"/>
          </w:rPr>
          <w:t>https://www.nber.org/papers/w19481.pdf</w:t>
        </w:r>
      </w:hyperlink>
    </w:p>
    <w:p w:rsidR="00D5763A" w:rsidP="00D5763A" w:rsidRDefault="00D5763A" w14:paraId="37315A62" w14:textId="77777777">
      <w:pPr>
        <w:rPr>
          <w:sz w:val="20"/>
          <w:szCs w:val="20"/>
        </w:rPr>
      </w:pPr>
      <w:r>
        <w:rPr>
          <w:noProof/>
        </w:rPr>
        <w:drawing>
          <wp:inline distT="0" distB="0" distL="0" distR="0" wp14:anchorId="3BA8E1D1" wp14:editId="2C4CDCBC">
            <wp:extent cx="4581524" cy="2924175"/>
            <wp:effectExtent l="0" t="0" r="9525" b="9525"/>
            <wp:docPr id="4" name="Picture 4" descr="cid:image002.jpg@01D56FC2.6EA47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5">
                      <a:extLst>
                        <a:ext uri="{28A0092B-C50C-407E-A947-70E740481C1C}">
                          <a14:useLocalDpi xmlns:a14="http://schemas.microsoft.com/office/drawing/2010/main" val="0"/>
                        </a:ext>
                      </a:extLst>
                    </a:blip>
                    <a:stretch>
                      <a:fillRect/>
                    </a:stretch>
                  </pic:blipFill>
                  <pic:spPr>
                    <a:xfrm>
                      <a:off x="0" y="0"/>
                      <a:ext cx="4581524" cy="2924175"/>
                    </a:xfrm>
                    <a:prstGeom prst="rect">
                      <a:avLst/>
                    </a:prstGeom>
                  </pic:spPr>
                </pic:pic>
              </a:graphicData>
            </a:graphic>
          </wp:inline>
        </w:drawing>
      </w:r>
    </w:p>
    <w:p w:rsidR="00D5763A" w:rsidP="00D5763A" w:rsidRDefault="00D5763A" w14:paraId="7B652808" w14:textId="77777777">
      <w:r>
        <w:rPr>
          <w:noProof/>
        </w:rPr>
        <w:drawing>
          <wp:inline distT="0" distB="0" distL="0" distR="0" wp14:anchorId="698D6411" wp14:editId="0B9870EE">
            <wp:extent cx="3000375" cy="1611940"/>
            <wp:effectExtent l="0" t="0" r="0" b="7620"/>
            <wp:docPr id="3" name="Picture 3" descr="cid:image003.png@01D56FBB.7D2F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6">
                      <a:extLst>
                        <a:ext uri="{28A0092B-C50C-407E-A947-70E740481C1C}">
                          <a14:useLocalDpi xmlns:a14="http://schemas.microsoft.com/office/drawing/2010/main" val="0"/>
                        </a:ext>
                      </a:extLst>
                    </a:blip>
                    <a:stretch>
                      <a:fillRect/>
                    </a:stretch>
                  </pic:blipFill>
                  <pic:spPr>
                    <a:xfrm>
                      <a:off x="0" y="0"/>
                      <a:ext cx="3000375" cy="1611940"/>
                    </a:xfrm>
                    <a:prstGeom prst="rect">
                      <a:avLst/>
                    </a:prstGeom>
                  </pic:spPr>
                </pic:pic>
              </a:graphicData>
            </a:graphic>
          </wp:inline>
        </w:drawing>
      </w:r>
      <w:r>
        <w:rPr>
          <w:noProof/>
        </w:rPr>
        <w:drawing>
          <wp:inline distT="0" distB="0" distL="0" distR="0" wp14:anchorId="1C9D43B5" wp14:editId="2CBA126F">
            <wp:extent cx="2695575" cy="1094682"/>
            <wp:effectExtent l="0" t="0" r="0" b="0"/>
            <wp:docPr id="2" name="Picture 2" descr="cid:image004.png@01D56FBB.7D2F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7">
                      <a:extLst>
                        <a:ext uri="{28A0092B-C50C-407E-A947-70E740481C1C}">
                          <a14:useLocalDpi xmlns:a14="http://schemas.microsoft.com/office/drawing/2010/main" val="0"/>
                        </a:ext>
                      </a:extLst>
                    </a:blip>
                    <a:stretch>
                      <a:fillRect/>
                    </a:stretch>
                  </pic:blipFill>
                  <pic:spPr>
                    <a:xfrm>
                      <a:off x="0" y="0"/>
                      <a:ext cx="2695575" cy="1094682"/>
                    </a:xfrm>
                    <a:prstGeom prst="rect">
                      <a:avLst/>
                    </a:prstGeom>
                  </pic:spPr>
                </pic:pic>
              </a:graphicData>
            </a:graphic>
          </wp:inline>
        </w:drawing>
      </w:r>
    </w:p>
    <w:p w:rsidR="00D5763A" w:rsidP="00D5763A" w:rsidRDefault="00D5763A" w14:paraId="72BDB137" w14:textId="77777777">
      <w:r>
        <w:t xml:space="preserve">Use-it-or-lose it BA </w:t>
      </w:r>
    </w:p>
    <w:p w:rsidR="00D5763A" w:rsidP="00D5763A" w:rsidRDefault="00D5763A" w14:paraId="724483FD" w14:textId="77777777">
      <w:pPr>
        <w:rPr>
          <w:sz w:val="20"/>
          <w:szCs w:val="20"/>
        </w:rPr>
      </w:pPr>
      <w:r>
        <w:rPr>
          <w:noProof/>
        </w:rPr>
        <w:drawing>
          <wp:inline distT="0" distB="0" distL="0" distR="0" wp14:anchorId="7284D772" wp14:editId="12EC1EDD">
            <wp:extent cx="6467474" cy="730571"/>
            <wp:effectExtent l="0" t="0" r="0" b="0"/>
            <wp:docPr id="1" name="Picture 1" descr="cid:image006.png@01D56FBB.FD967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8">
                      <a:extLst>
                        <a:ext uri="{28A0092B-C50C-407E-A947-70E740481C1C}">
                          <a14:useLocalDpi xmlns:a14="http://schemas.microsoft.com/office/drawing/2010/main" val="0"/>
                        </a:ext>
                      </a:extLst>
                    </a:blip>
                    <a:stretch>
                      <a:fillRect/>
                    </a:stretch>
                  </pic:blipFill>
                  <pic:spPr>
                    <a:xfrm>
                      <a:off x="0" y="0"/>
                      <a:ext cx="6467474" cy="730571"/>
                    </a:xfrm>
                    <a:prstGeom prst="rect">
                      <a:avLst/>
                    </a:prstGeom>
                  </pic:spPr>
                </pic:pic>
              </a:graphicData>
            </a:graphic>
          </wp:inline>
        </w:drawing>
      </w:r>
    </w:p>
    <w:p w:rsidR="00D5763A" w:rsidRDefault="00D5763A" w14:paraId="4988683C" w14:textId="77777777"/>
    <w:p w:rsidR="00E256BF" w:rsidP="00071A17" w:rsidRDefault="00E256BF" w14:paraId="708DE463" w14:textId="5F604D48">
      <w:pPr>
        <w:pStyle w:val="Heading2"/>
      </w:pPr>
      <w:r>
        <w:t>8/29</w:t>
      </w:r>
      <w:r w:rsidR="00071A17">
        <w:t xml:space="preserve"> Revision to nominal potential GDP</w:t>
      </w:r>
    </w:p>
    <w:p w:rsidRPr="00527F4D" w:rsidR="00527F4D" w:rsidP="00527F4D" w:rsidRDefault="00E256BF" w14:paraId="7938F15D" w14:textId="4C7E2C13">
      <w:r>
        <w:t xml:space="preserve">We changed the code so that </w:t>
      </w:r>
      <w:r w:rsidR="00E95792">
        <w:t xml:space="preserve">instead of using CBO’s estimates of nominal potential GDP and deflating it with our own GDP deflators where necessary, we use their estimates of real potential GDP. This is because (a) we can’t figure out what deflator </w:t>
      </w:r>
      <w:r w:rsidR="00BA5F85">
        <w:t xml:space="preserve">is implicit in their nominals and (b) </w:t>
      </w:r>
      <w:r w:rsidR="00E95792">
        <w:t xml:space="preserve">they only publish the </w:t>
      </w:r>
      <w:r w:rsidR="00BA5F85">
        <w:t xml:space="preserve">potential estimates semi-annually; </w:t>
      </w:r>
      <w:proofErr w:type="gramStart"/>
      <w:r w:rsidR="00BA5F85">
        <w:t>so</w:t>
      </w:r>
      <w:proofErr w:type="gramEnd"/>
      <w:r w:rsidR="00BA5F85">
        <w:t xml:space="preserve"> their nominals </w:t>
      </w:r>
      <w:r w:rsidR="00527F4D">
        <w:t xml:space="preserve">for a few realized historical quarters </w:t>
      </w:r>
      <w:r w:rsidR="00BA5F85">
        <w:t xml:space="preserve">are </w:t>
      </w:r>
      <w:r w:rsidR="00527F4D">
        <w:t xml:space="preserve">actually </w:t>
      </w:r>
      <w:r w:rsidR="00BA5F85">
        <w:t xml:space="preserve">based on forecasts for inflation that might be really off. </w:t>
      </w:r>
      <w:r w:rsidR="00527F4D">
        <w:t>For example, t</w:t>
      </w:r>
      <w:r w:rsidRPr="00527F4D" w:rsidR="00527F4D">
        <w:t xml:space="preserve">he figure below shows CBO’s estimates for nominal potential GDP (as they publish it) in January 2019 (blue) and August 2019 (green). The revisions that affected our FIM significantly are outlined in red. </w:t>
      </w:r>
    </w:p>
    <w:p w:rsidRPr="00527F4D" w:rsidR="00527F4D" w:rsidP="00527F4D" w:rsidRDefault="00527F4D" w14:paraId="18906EC2" w14:textId="77777777"/>
    <w:p w:rsidRPr="00527F4D" w:rsidR="00527F4D" w:rsidP="00527F4D" w:rsidRDefault="00527F4D" w14:paraId="5EF9CA99" w14:textId="6EA9A796">
      <w:r>
        <w:rPr>
          <w:noProof/>
        </w:rPr>
        <w:drawing>
          <wp:inline distT="0" distB="0" distL="0" distR="0" wp14:anchorId="18475064" wp14:editId="5F2DE6D8">
            <wp:extent cx="4957406" cy="2952759"/>
            <wp:effectExtent l="0" t="0" r="0" b="0"/>
            <wp:docPr id="8" name="Picture 8" descr="cid:image002.png@01D55E78.08F3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49">
                      <a:extLst>
                        <a:ext uri="{28A0092B-C50C-407E-A947-70E740481C1C}">
                          <a14:useLocalDpi xmlns:a14="http://schemas.microsoft.com/office/drawing/2010/main" val="0"/>
                        </a:ext>
                      </a:extLst>
                    </a:blip>
                    <a:stretch>
                      <a:fillRect/>
                    </a:stretch>
                  </pic:blipFill>
                  <pic:spPr>
                    <a:xfrm>
                      <a:off x="0" y="0"/>
                      <a:ext cx="4957406" cy="2952759"/>
                    </a:xfrm>
                    <a:prstGeom prst="rect">
                      <a:avLst/>
                    </a:prstGeom>
                  </pic:spPr>
                </pic:pic>
              </a:graphicData>
            </a:graphic>
          </wp:inline>
        </w:drawing>
      </w:r>
    </w:p>
    <w:p w:rsidRPr="00527F4D" w:rsidR="00527F4D" w:rsidP="00527F4D" w:rsidRDefault="00527F4D" w14:paraId="7B68E910" w14:textId="14D3BE67">
      <w:r w:rsidRPr="00527F4D">
        <w:t xml:space="preserve">If, instead, we had just taken their estimates of real potential output growth, and created our own nominals using the realized GDP deflator, we would have gotten the following two series in January and August, again with the two quarters of interest outlined in red. This method results in smaller revisions. </w:t>
      </w:r>
    </w:p>
    <w:p w:rsidRPr="00527F4D" w:rsidR="00527F4D" w:rsidP="00527F4D" w:rsidRDefault="00527F4D" w14:paraId="02C20C4B" w14:textId="790A859F">
      <w:r>
        <w:rPr>
          <w:noProof/>
        </w:rPr>
        <w:drawing>
          <wp:inline distT="0" distB="0" distL="0" distR="0" wp14:anchorId="02E3D397" wp14:editId="29A68610">
            <wp:extent cx="5108561" cy="2899318"/>
            <wp:effectExtent l="0" t="0" r="0" b="0"/>
            <wp:docPr id="7" name="Picture 7" descr="cid:image006.png@01D55E78.08F3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0">
                      <a:extLst>
                        <a:ext uri="{28A0092B-C50C-407E-A947-70E740481C1C}">
                          <a14:useLocalDpi xmlns:a14="http://schemas.microsoft.com/office/drawing/2010/main" val="0"/>
                        </a:ext>
                      </a:extLst>
                    </a:blip>
                    <a:stretch>
                      <a:fillRect/>
                    </a:stretch>
                  </pic:blipFill>
                  <pic:spPr>
                    <a:xfrm>
                      <a:off x="0" y="0"/>
                      <a:ext cx="5108561" cy="2899318"/>
                    </a:xfrm>
                    <a:prstGeom prst="rect">
                      <a:avLst/>
                    </a:prstGeom>
                  </pic:spPr>
                </pic:pic>
              </a:graphicData>
            </a:graphic>
          </wp:inline>
        </w:drawing>
      </w:r>
    </w:p>
    <w:p w:rsidR="00527F4D" w:rsidP="00E256BF" w:rsidRDefault="00527F4D" w14:paraId="6269D159" w14:textId="77777777"/>
    <w:p w:rsidRPr="00D5763A" w:rsidR="00D5763A" w:rsidRDefault="00D5763A" w14:paraId="1113B239" w14:textId="77777777"/>
    <w:sectPr w:rsidRPr="00D5763A" w:rsidR="00D576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KY" w:author="Kadija Yilla" w:date="2020-09-23T15:03:00Z" w:id="0">
    <w:p w:rsidR="00FD2507" w:rsidRDefault="00FD2507" w14:paraId="3186038B" w14:textId="0E3923C3">
      <w:pPr>
        <w:pStyle w:val="CommentText"/>
      </w:pPr>
      <w:r>
        <w:rPr>
          <w:rStyle w:val="CommentReference"/>
        </w:rPr>
        <w:annotationRef/>
      </w:r>
      <w:r>
        <w:t>This methodology was revered</w:t>
      </w:r>
    </w:p>
  </w:comment>
  <w:comment w:initials="KY" w:author="Kadija Yilla" w:date="2020-09-23T15:05:00Z" w:id="3">
    <w:p w:rsidR="0015759F" w:rsidRDefault="0015759F" w14:paraId="267028F2" w14:textId="6A8397A3">
      <w:pPr>
        <w:pStyle w:val="CommentText"/>
      </w:pPr>
      <w:r>
        <w:rPr>
          <w:rStyle w:val="CommentReference"/>
        </w:rPr>
        <w:annotationRef/>
      </w:r>
      <w:r>
        <w:fldChar w:fldCharType="begin"/>
      </w:r>
      <w:r>
        <w:instrText xml:space="preserve"> HYPERLINK "mailto:MAlcalaKovalski@brookings.edu" </w:instrText>
      </w:r>
      <w:bookmarkStart w:name="_@_A1E9E82322F8456A81FF6738E7A4B0DDZ" w:id="4"/>
      <w:r w:rsidRPr="0015759F">
        <w:rPr>
          <w:rStyle w:val="Mention"/>
        </w:rPr>
        <w:fldChar w:fldCharType="separate"/>
      </w:r>
      <w:bookmarkEnd w:id="4"/>
      <w:r w:rsidRPr="0015759F">
        <w:rPr>
          <w:rStyle w:val="Mention"/>
          <w:noProof/>
        </w:rPr>
        <w:t>@Manuel Alcala Kovalski</w:t>
      </w:r>
      <w:r>
        <w:fldChar w:fldCharType="end"/>
      </w:r>
      <w:r>
        <w:t xml:space="preserve">do you remember what this was? It doesn’t ring a bell. Or is this something we </w:t>
      </w:r>
      <w:proofErr w:type="gramStart"/>
      <w:r>
        <w:t>have to</w:t>
      </w:r>
      <w:proofErr w:type="gramEnd"/>
      <w:r>
        <w:t xml:space="preserve">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86038B" w15:done="0"/>
  <w15:commentEx w15:paraId="267028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86038B" w16cid:durableId="2315E240"/>
  <w16cid:commentId w16cid:paraId="267028F2" w16cid:durableId="2315E2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35FBF"/>
    <w:multiLevelType w:val="hybridMultilevel"/>
    <w:tmpl w:val="9CD8B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22394F"/>
    <w:multiLevelType w:val="hybridMultilevel"/>
    <w:tmpl w:val="9CD8B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BD690E"/>
    <w:multiLevelType w:val="hybridMultilevel"/>
    <w:tmpl w:val="77B00518"/>
    <w:lvl w:ilvl="0" w:tplc="C458EF14">
      <w:numFmt w:val="bullet"/>
      <w:lvlText w:val=""/>
      <w:lvlJc w:val="left"/>
      <w:pPr>
        <w:ind w:left="1080" w:hanging="360"/>
      </w:pPr>
      <w:rPr>
        <w:rFonts w:hint="default" w:ascii="Symbol" w:hAnsi="Symbol" w:eastAsiaTheme="minorHAnsi" w:cstheme="minorBid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4BCE5676"/>
    <w:multiLevelType w:val="hybridMultilevel"/>
    <w:tmpl w:val="8B828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069DC"/>
    <w:multiLevelType w:val="hybridMultilevel"/>
    <w:tmpl w:val="01AEB74E"/>
    <w:lvl w:ilvl="0" w:tplc="A768DBC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7A33A0"/>
    <w:multiLevelType w:val="hybridMultilevel"/>
    <w:tmpl w:val="6186E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dija Yilla">
    <w15:presenceInfo w15:providerId="AD" w15:userId="S::KYilla@brookings.edu::1d0f8558-0594-40f7-8134-e540cb01b2c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3A"/>
    <w:rsid w:val="00016FBC"/>
    <w:rsid w:val="0002296A"/>
    <w:rsid w:val="0003295B"/>
    <w:rsid w:val="0003415A"/>
    <w:rsid w:val="00041806"/>
    <w:rsid w:val="000475F5"/>
    <w:rsid w:val="00056842"/>
    <w:rsid w:val="0006409F"/>
    <w:rsid w:val="00065B59"/>
    <w:rsid w:val="00070A60"/>
    <w:rsid w:val="00071A17"/>
    <w:rsid w:val="00072581"/>
    <w:rsid w:val="0007650C"/>
    <w:rsid w:val="00087B2F"/>
    <w:rsid w:val="000A3457"/>
    <w:rsid w:val="000A5DA6"/>
    <w:rsid w:val="000B0DDA"/>
    <w:rsid w:val="000C0B2B"/>
    <w:rsid w:val="000D01BA"/>
    <w:rsid w:val="000D748D"/>
    <w:rsid w:val="000E298A"/>
    <w:rsid w:val="001067A1"/>
    <w:rsid w:val="00120525"/>
    <w:rsid w:val="001216AD"/>
    <w:rsid w:val="0012576F"/>
    <w:rsid w:val="00144B9D"/>
    <w:rsid w:val="00147436"/>
    <w:rsid w:val="00155163"/>
    <w:rsid w:val="0015759F"/>
    <w:rsid w:val="001C5381"/>
    <w:rsid w:val="001D044D"/>
    <w:rsid w:val="001D4577"/>
    <w:rsid w:val="001D5DF0"/>
    <w:rsid w:val="001E1BD6"/>
    <w:rsid w:val="001E7D8B"/>
    <w:rsid w:val="001F247C"/>
    <w:rsid w:val="001F391B"/>
    <w:rsid w:val="001F664C"/>
    <w:rsid w:val="00204C85"/>
    <w:rsid w:val="002121F0"/>
    <w:rsid w:val="00235B19"/>
    <w:rsid w:val="00236241"/>
    <w:rsid w:val="002448FD"/>
    <w:rsid w:val="00266B1E"/>
    <w:rsid w:val="00271EC2"/>
    <w:rsid w:val="00283AE2"/>
    <w:rsid w:val="002904E4"/>
    <w:rsid w:val="00291933"/>
    <w:rsid w:val="002B0B22"/>
    <w:rsid w:val="002B0DE9"/>
    <w:rsid w:val="002B20C6"/>
    <w:rsid w:val="002B58EB"/>
    <w:rsid w:val="002C225B"/>
    <w:rsid w:val="002D268A"/>
    <w:rsid w:val="002D3D5D"/>
    <w:rsid w:val="002E1C7A"/>
    <w:rsid w:val="002E59BC"/>
    <w:rsid w:val="00302B7A"/>
    <w:rsid w:val="003031B9"/>
    <w:rsid w:val="0031612F"/>
    <w:rsid w:val="00327A82"/>
    <w:rsid w:val="00340F34"/>
    <w:rsid w:val="00347779"/>
    <w:rsid w:val="00353E09"/>
    <w:rsid w:val="00362C75"/>
    <w:rsid w:val="00367782"/>
    <w:rsid w:val="0037396B"/>
    <w:rsid w:val="00376A30"/>
    <w:rsid w:val="0039154B"/>
    <w:rsid w:val="003972B4"/>
    <w:rsid w:val="003B080D"/>
    <w:rsid w:val="003B7CEB"/>
    <w:rsid w:val="003C2F49"/>
    <w:rsid w:val="003D0B1E"/>
    <w:rsid w:val="003D6415"/>
    <w:rsid w:val="003E0CAF"/>
    <w:rsid w:val="003E2BF4"/>
    <w:rsid w:val="003F04C7"/>
    <w:rsid w:val="003F4D7E"/>
    <w:rsid w:val="00420802"/>
    <w:rsid w:val="00420C39"/>
    <w:rsid w:val="00421FD6"/>
    <w:rsid w:val="00422D1A"/>
    <w:rsid w:val="00425EB2"/>
    <w:rsid w:val="004263D6"/>
    <w:rsid w:val="00430B92"/>
    <w:rsid w:val="004418B0"/>
    <w:rsid w:val="004446BB"/>
    <w:rsid w:val="004565BC"/>
    <w:rsid w:val="004853C4"/>
    <w:rsid w:val="004905E7"/>
    <w:rsid w:val="00490736"/>
    <w:rsid w:val="00496C68"/>
    <w:rsid w:val="004A4F86"/>
    <w:rsid w:val="004C48D7"/>
    <w:rsid w:val="004F6C52"/>
    <w:rsid w:val="00506EDD"/>
    <w:rsid w:val="00520801"/>
    <w:rsid w:val="00521E87"/>
    <w:rsid w:val="00527F4D"/>
    <w:rsid w:val="00547684"/>
    <w:rsid w:val="0055549B"/>
    <w:rsid w:val="005731FA"/>
    <w:rsid w:val="005825B0"/>
    <w:rsid w:val="005A4C98"/>
    <w:rsid w:val="005A508E"/>
    <w:rsid w:val="005C609C"/>
    <w:rsid w:val="005D1EA0"/>
    <w:rsid w:val="005D5F04"/>
    <w:rsid w:val="005D6C29"/>
    <w:rsid w:val="005E0866"/>
    <w:rsid w:val="005E32E3"/>
    <w:rsid w:val="005F584C"/>
    <w:rsid w:val="00600F9A"/>
    <w:rsid w:val="00607B03"/>
    <w:rsid w:val="006105AD"/>
    <w:rsid w:val="00614BD8"/>
    <w:rsid w:val="00621530"/>
    <w:rsid w:val="00624A05"/>
    <w:rsid w:val="00624C22"/>
    <w:rsid w:val="00625F28"/>
    <w:rsid w:val="0063242D"/>
    <w:rsid w:val="00651578"/>
    <w:rsid w:val="00655336"/>
    <w:rsid w:val="006662E1"/>
    <w:rsid w:val="006719B5"/>
    <w:rsid w:val="0068662C"/>
    <w:rsid w:val="006906AB"/>
    <w:rsid w:val="006945C8"/>
    <w:rsid w:val="0069467A"/>
    <w:rsid w:val="0069554B"/>
    <w:rsid w:val="006955E3"/>
    <w:rsid w:val="00695E6D"/>
    <w:rsid w:val="006A6E2F"/>
    <w:rsid w:val="006D290D"/>
    <w:rsid w:val="006E0EBA"/>
    <w:rsid w:val="006E7EDC"/>
    <w:rsid w:val="0071343A"/>
    <w:rsid w:val="00734E6D"/>
    <w:rsid w:val="0074172E"/>
    <w:rsid w:val="00744FC5"/>
    <w:rsid w:val="00752D17"/>
    <w:rsid w:val="00777052"/>
    <w:rsid w:val="00794733"/>
    <w:rsid w:val="007A0372"/>
    <w:rsid w:val="007A6695"/>
    <w:rsid w:val="007A7A14"/>
    <w:rsid w:val="007B39B2"/>
    <w:rsid w:val="007E3D27"/>
    <w:rsid w:val="007E5B3F"/>
    <w:rsid w:val="008022CB"/>
    <w:rsid w:val="008426B6"/>
    <w:rsid w:val="00866B51"/>
    <w:rsid w:val="008702AA"/>
    <w:rsid w:val="00886747"/>
    <w:rsid w:val="0088772D"/>
    <w:rsid w:val="008961CB"/>
    <w:rsid w:val="00897BE3"/>
    <w:rsid w:val="008A24E7"/>
    <w:rsid w:val="008D0E4C"/>
    <w:rsid w:val="008E00C6"/>
    <w:rsid w:val="008E52BE"/>
    <w:rsid w:val="00902C17"/>
    <w:rsid w:val="00920E31"/>
    <w:rsid w:val="00923D01"/>
    <w:rsid w:val="00931158"/>
    <w:rsid w:val="009334B1"/>
    <w:rsid w:val="0094019E"/>
    <w:rsid w:val="00950D9F"/>
    <w:rsid w:val="0096412F"/>
    <w:rsid w:val="00964826"/>
    <w:rsid w:val="0097488A"/>
    <w:rsid w:val="00980245"/>
    <w:rsid w:val="00985673"/>
    <w:rsid w:val="0098787E"/>
    <w:rsid w:val="009A15DA"/>
    <w:rsid w:val="009B54C0"/>
    <w:rsid w:val="009C2428"/>
    <w:rsid w:val="009D2120"/>
    <w:rsid w:val="009E1753"/>
    <w:rsid w:val="009E3A6D"/>
    <w:rsid w:val="009E556B"/>
    <w:rsid w:val="00A062F5"/>
    <w:rsid w:val="00A17EEA"/>
    <w:rsid w:val="00A21688"/>
    <w:rsid w:val="00A27F91"/>
    <w:rsid w:val="00A4192D"/>
    <w:rsid w:val="00A51B9B"/>
    <w:rsid w:val="00A60320"/>
    <w:rsid w:val="00A65158"/>
    <w:rsid w:val="00A729CE"/>
    <w:rsid w:val="00A74E4A"/>
    <w:rsid w:val="00A8299B"/>
    <w:rsid w:val="00A9146F"/>
    <w:rsid w:val="00AA2299"/>
    <w:rsid w:val="00AA463A"/>
    <w:rsid w:val="00AB77FE"/>
    <w:rsid w:val="00AF21B7"/>
    <w:rsid w:val="00B027F6"/>
    <w:rsid w:val="00B13E86"/>
    <w:rsid w:val="00B15BF3"/>
    <w:rsid w:val="00B20B54"/>
    <w:rsid w:val="00B20D10"/>
    <w:rsid w:val="00B2270A"/>
    <w:rsid w:val="00B4607E"/>
    <w:rsid w:val="00B55A1E"/>
    <w:rsid w:val="00B63A2E"/>
    <w:rsid w:val="00B66E68"/>
    <w:rsid w:val="00B73B1C"/>
    <w:rsid w:val="00B85656"/>
    <w:rsid w:val="00BA074A"/>
    <w:rsid w:val="00BA5178"/>
    <w:rsid w:val="00BA5E13"/>
    <w:rsid w:val="00BA5F85"/>
    <w:rsid w:val="00BB2E8B"/>
    <w:rsid w:val="00BD35C7"/>
    <w:rsid w:val="00BE0BBC"/>
    <w:rsid w:val="00BE4B53"/>
    <w:rsid w:val="00BF0E97"/>
    <w:rsid w:val="00C140A0"/>
    <w:rsid w:val="00C337FD"/>
    <w:rsid w:val="00C34298"/>
    <w:rsid w:val="00C43878"/>
    <w:rsid w:val="00C446E3"/>
    <w:rsid w:val="00C46AA8"/>
    <w:rsid w:val="00C60BE9"/>
    <w:rsid w:val="00C60EA8"/>
    <w:rsid w:val="00C6232E"/>
    <w:rsid w:val="00C62A89"/>
    <w:rsid w:val="00C64486"/>
    <w:rsid w:val="00C778A4"/>
    <w:rsid w:val="00CB536E"/>
    <w:rsid w:val="00CC2A31"/>
    <w:rsid w:val="00CC3491"/>
    <w:rsid w:val="00CD3EF4"/>
    <w:rsid w:val="00CF4DCE"/>
    <w:rsid w:val="00D03742"/>
    <w:rsid w:val="00D10D8F"/>
    <w:rsid w:val="00D23D7A"/>
    <w:rsid w:val="00D27EDD"/>
    <w:rsid w:val="00D33519"/>
    <w:rsid w:val="00D465E1"/>
    <w:rsid w:val="00D517EE"/>
    <w:rsid w:val="00D52111"/>
    <w:rsid w:val="00D5763A"/>
    <w:rsid w:val="00D5780E"/>
    <w:rsid w:val="00D60A82"/>
    <w:rsid w:val="00D64528"/>
    <w:rsid w:val="00D6492E"/>
    <w:rsid w:val="00D83484"/>
    <w:rsid w:val="00D87DCA"/>
    <w:rsid w:val="00D90198"/>
    <w:rsid w:val="00D914AE"/>
    <w:rsid w:val="00D94804"/>
    <w:rsid w:val="00DA74FC"/>
    <w:rsid w:val="00DD0BFC"/>
    <w:rsid w:val="00DD21D2"/>
    <w:rsid w:val="00DD78F6"/>
    <w:rsid w:val="00DE2508"/>
    <w:rsid w:val="00DF71B1"/>
    <w:rsid w:val="00E01482"/>
    <w:rsid w:val="00E23D6B"/>
    <w:rsid w:val="00E256BF"/>
    <w:rsid w:val="00E34E32"/>
    <w:rsid w:val="00E36C12"/>
    <w:rsid w:val="00E44B38"/>
    <w:rsid w:val="00E46A38"/>
    <w:rsid w:val="00E61F1E"/>
    <w:rsid w:val="00E65CF0"/>
    <w:rsid w:val="00E706F5"/>
    <w:rsid w:val="00E70E2A"/>
    <w:rsid w:val="00E810A7"/>
    <w:rsid w:val="00E863A7"/>
    <w:rsid w:val="00E95792"/>
    <w:rsid w:val="00E9598E"/>
    <w:rsid w:val="00EA7156"/>
    <w:rsid w:val="00EB3773"/>
    <w:rsid w:val="00ED7075"/>
    <w:rsid w:val="00EF31A7"/>
    <w:rsid w:val="00F021A6"/>
    <w:rsid w:val="00F31933"/>
    <w:rsid w:val="00F353F2"/>
    <w:rsid w:val="00F708E6"/>
    <w:rsid w:val="00F847F1"/>
    <w:rsid w:val="00F84EBA"/>
    <w:rsid w:val="00F85695"/>
    <w:rsid w:val="00F85B07"/>
    <w:rsid w:val="00F8756B"/>
    <w:rsid w:val="00F97948"/>
    <w:rsid w:val="00FA5C33"/>
    <w:rsid w:val="00FB29D6"/>
    <w:rsid w:val="00FD2507"/>
    <w:rsid w:val="00FE5F41"/>
    <w:rsid w:val="00FF413C"/>
    <w:rsid w:val="00FF75E0"/>
    <w:rsid w:val="20DBAFF1"/>
    <w:rsid w:val="27CB9636"/>
    <w:rsid w:val="2C6DE2CA"/>
    <w:rsid w:val="33C7EA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0FF1"/>
  <w15:chartTrackingRefBased/>
  <w15:docId w15:val="{2CE626AF-6D7B-40AE-9B06-1C9773E1A2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71A1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A1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D5763A"/>
    <w:rPr>
      <w:color w:val="0563C1"/>
      <w:u w:val="single"/>
    </w:rPr>
  </w:style>
  <w:style w:type="paragraph" w:styleId="ListParagraph">
    <w:name w:val="List Paragraph"/>
    <w:basedOn w:val="Normal"/>
    <w:uiPriority w:val="34"/>
    <w:qFormat/>
    <w:rsid w:val="002E59BC"/>
    <w:pPr>
      <w:spacing w:after="0" w:line="240" w:lineRule="auto"/>
      <w:ind w:left="720"/>
    </w:pPr>
    <w:rPr>
      <w:rFonts w:ascii="Calibri" w:hAnsi="Calibri" w:cs="Calibri"/>
    </w:rPr>
  </w:style>
  <w:style w:type="character" w:styleId="UnresolvedMention">
    <w:name w:val="Unresolved Mention"/>
    <w:basedOn w:val="DefaultParagraphFont"/>
    <w:uiPriority w:val="99"/>
    <w:unhideWhenUsed/>
    <w:rsid w:val="00D465E1"/>
    <w:rPr>
      <w:color w:val="605E5C"/>
      <w:shd w:val="clear" w:color="auto" w:fill="E1DFDD"/>
    </w:rPr>
  </w:style>
  <w:style w:type="character" w:styleId="Heading2Char" w:customStyle="1">
    <w:name w:val="Heading 2 Char"/>
    <w:basedOn w:val="DefaultParagraphFont"/>
    <w:link w:val="Heading2"/>
    <w:uiPriority w:val="9"/>
    <w:rsid w:val="00071A17"/>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071A17"/>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4A4F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semiHidden/>
    <w:unhideWhenUsed/>
    <w:rsid w:val="00C140A0"/>
    <w:pPr>
      <w:spacing w:after="0" w:line="240" w:lineRule="auto"/>
    </w:pPr>
    <w:rPr>
      <w:rFonts w:eastAsia="Times New Roman" w:cs="Times New Roman"/>
      <w:sz w:val="20"/>
      <w:szCs w:val="20"/>
    </w:rPr>
  </w:style>
  <w:style w:type="character" w:styleId="CommentTextChar" w:customStyle="1">
    <w:name w:val="Comment Text Char"/>
    <w:basedOn w:val="DefaultParagraphFont"/>
    <w:link w:val="CommentText"/>
    <w:uiPriority w:val="99"/>
    <w:semiHidden/>
    <w:rsid w:val="00C140A0"/>
    <w:rPr>
      <w:rFonts w:eastAsia="Times New Roman" w:cs="Times New Roman"/>
      <w:sz w:val="20"/>
      <w:szCs w:val="20"/>
    </w:rPr>
  </w:style>
  <w:style w:type="character" w:styleId="CommentReference">
    <w:name w:val="annotation reference"/>
    <w:basedOn w:val="DefaultParagraphFont"/>
    <w:uiPriority w:val="99"/>
    <w:semiHidden/>
    <w:unhideWhenUsed/>
    <w:rsid w:val="00C140A0"/>
    <w:rPr>
      <w:rFonts w:cs="Times New Roman"/>
      <w:sz w:val="16"/>
      <w:szCs w:val="16"/>
    </w:rPr>
  </w:style>
  <w:style w:type="paragraph" w:styleId="BalloonText">
    <w:name w:val="Balloon Text"/>
    <w:basedOn w:val="Normal"/>
    <w:link w:val="BalloonTextChar"/>
    <w:uiPriority w:val="99"/>
    <w:semiHidden/>
    <w:unhideWhenUsed/>
    <w:rsid w:val="00C140A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140A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2270A"/>
    <w:pPr>
      <w:spacing w:after="160"/>
    </w:pPr>
    <w:rPr>
      <w:rFonts w:eastAsiaTheme="minorHAnsi" w:cstheme="minorBidi"/>
      <w:b/>
      <w:bCs/>
    </w:rPr>
  </w:style>
  <w:style w:type="character" w:styleId="CommentSubjectChar" w:customStyle="1">
    <w:name w:val="Comment Subject Char"/>
    <w:basedOn w:val="CommentTextChar"/>
    <w:link w:val="CommentSubject"/>
    <w:uiPriority w:val="99"/>
    <w:semiHidden/>
    <w:rsid w:val="00B2270A"/>
    <w:rPr>
      <w:rFonts w:eastAsia="Times New Roman" w:cs="Times New Roman"/>
      <w:b/>
      <w:bCs/>
      <w:sz w:val="20"/>
      <w:szCs w:val="20"/>
    </w:rPr>
  </w:style>
  <w:style w:type="character" w:styleId="FollowedHyperlink">
    <w:name w:val="FollowedHyperlink"/>
    <w:basedOn w:val="DefaultParagraphFont"/>
    <w:uiPriority w:val="99"/>
    <w:semiHidden/>
    <w:unhideWhenUsed/>
    <w:rsid w:val="00B73B1C"/>
    <w:rPr>
      <w:color w:val="954F72" w:themeColor="followedHyperlink"/>
      <w:u w:val="single"/>
    </w:rPr>
  </w:style>
  <w:style w:type="character" w:styleId="Mention">
    <w:name w:val="Mention"/>
    <w:basedOn w:val="DefaultParagraphFont"/>
    <w:uiPriority w:val="99"/>
    <w:unhideWhenUsed/>
    <w:rsid w:val="0015759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4879">
      <w:bodyDiv w:val="1"/>
      <w:marLeft w:val="0"/>
      <w:marRight w:val="0"/>
      <w:marTop w:val="0"/>
      <w:marBottom w:val="0"/>
      <w:divBdr>
        <w:top w:val="none" w:sz="0" w:space="0" w:color="auto"/>
        <w:left w:val="none" w:sz="0" w:space="0" w:color="auto"/>
        <w:bottom w:val="none" w:sz="0" w:space="0" w:color="auto"/>
        <w:right w:val="none" w:sz="0" w:space="0" w:color="auto"/>
      </w:divBdr>
    </w:div>
    <w:div w:id="216015883">
      <w:bodyDiv w:val="1"/>
      <w:marLeft w:val="0"/>
      <w:marRight w:val="0"/>
      <w:marTop w:val="0"/>
      <w:marBottom w:val="0"/>
      <w:divBdr>
        <w:top w:val="none" w:sz="0" w:space="0" w:color="auto"/>
        <w:left w:val="none" w:sz="0" w:space="0" w:color="auto"/>
        <w:bottom w:val="none" w:sz="0" w:space="0" w:color="auto"/>
        <w:right w:val="none" w:sz="0" w:space="0" w:color="auto"/>
      </w:divBdr>
    </w:div>
    <w:div w:id="376664054">
      <w:bodyDiv w:val="1"/>
      <w:marLeft w:val="0"/>
      <w:marRight w:val="0"/>
      <w:marTop w:val="0"/>
      <w:marBottom w:val="0"/>
      <w:divBdr>
        <w:top w:val="none" w:sz="0" w:space="0" w:color="auto"/>
        <w:left w:val="none" w:sz="0" w:space="0" w:color="auto"/>
        <w:bottom w:val="none" w:sz="0" w:space="0" w:color="auto"/>
        <w:right w:val="none" w:sz="0" w:space="0" w:color="auto"/>
      </w:divBdr>
    </w:div>
    <w:div w:id="389614861">
      <w:bodyDiv w:val="1"/>
      <w:marLeft w:val="0"/>
      <w:marRight w:val="0"/>
      <w:marTop w:val="0"/>
      <w:marBottom w:val="0"/>
      <w:divBdr>
        <w:top w:val="none" w:sz="0" w:space="0" w:color="auto"/>
        <w:left w:val="none" w:sz="0" w:space="0" w:color="auto"/>
        <w:bottom w:val="none" w:sz="0" w:space="0" w:color="auto"/>
        <w:right w:val="none" w:sz="0" w:space="0" w:color="auto"/>
      </w:divBdr>
    </w:div>
    <w:div w:id="409692713">
      <w:bodyDiv w:val="1"/>
      <w:marLeft w:val="0"/>
      <w:marRight w:val="0"/>
      <w:marTop w:val="0"/>
      <w:marBottom w:val="0"/>
      <w:divBdr>
        <w:top w:val="none" w:sz="0" w:space="0" w:color="auto"/>
        <w:left w:val="none" w:sz="0" w:space="0" w:color="auto"/>
        <w:bottom w:val="none" w:sz="0" w:space="0" w:color="auto"/>
        <w:right w:val="none" w:sz="0" w:space="0" w:color="auto"/>
      </w:divBdr>
    </w:div>
    <w:div w:id="536702851">
      <w:bodyDiv w:val="1"/>
      <w:marLeft w:val="0"/>
      <w:marRight w:val="0"/>
      <w:marTop w:val="0"/>
      <w:marBottom w:val="0"/>
      <w:divBdr>
        <w:top w:val="none" w:sz="0" w:space="0" w:color="auto"/>
        <w:left w:val="none" w:sz="0" w:space="0" w:color="auto"/>
        <w:bottom w:val="none" w:sz="0" w:space="0" w:color="auto"/>
        <w:right w:val="none" w:sz="0" w:space="0" w:color="auto"/>
      </w:divBdr>
    </w:div>
    <w:div w:id="550699212">
      <w:bodyDiv w:val="1"/>
      <w:marLeft w:val="0"/>
      <w:marRight w:val="0"/>
      <w:marTop w:val="0"/>
      <w:marBottom w:val="0"/>
      <w:divBdr>
        <w:top w:val="none" w:sz="0" w:space="0" w:color="auto"/>
        <w:left w:val="none" w:sz="0" w:space="0" w:color="auto"/>
        <w:bottom w:val="none" w:sz="0" w:space="0" w:color="auto"/>
        <w:right w:val="none" w:sz="0" w:space="0" w:color="auto"/>
      </w:divBdr>
    </w:div>
    <w:div w:id="621230048">
      <w:bodyDiv w:val="1"/>
      <w:marLeft w:val="0"/>
      <w:marRight w:val="0"/>
      <w:marTop w:val="0"/>
      <w:marBottom w:val="0"/>
      <w:divBdr>
        <w:top w:val="none" w:sz="0" w:space="0" w:color="auto"/>
        <w:left w:val="none" w:sz="0" w:space="0" w:color="auto"/>
        <w:bottom w:val="none" w:sz="0" w:space="0" w:color="auto"/>
        <w:right w:val="none" w:sz="0" w:space="0" w:color="auto"/>
      </w:divBdr>
    </w:div>
    <w:div w:id="698235948">
      <w:bodyDiv w:val="1"/>
      <w:marLeft w:val="0"/>
      <w:marRight w:val="0"/>
      <w:marTop w:val="0"/>
      <w:marBottom w:val="0"/>
      <w:divBdr>
        <w:top w:val="none" w:sz="0" w:space="0" w:color="auto"/>
        <w:left w:val="none" w:sz="0" w:space="0" w:color="auto"/>
        <w:bottom w:val="none" w:sz="0" w:space="0" w:color="auto"/>
        <w:right w:val="none" w:sz="0" w:space="0" w:color="auto"/>
      </w:divBdr>
    </w:div>
    <w:div w:id="724719563">
      <w:bodyDiv w:val="1"/>
      <w:marLeft w:val="0"/>
      <w:marRight w:val="0"/>
      <w:marTop w:val="0"/>
      <w:marBottom w:val="0"/>
      <w:divBdr>
        <w:top w:val="none" w:sz="0" w:space="0" w:color="auto"/>
        <w:left w:val="none" w:sz="0" w:space="0" w:color="auto"/>
        <w:bottom w:val="none" w:sz="0" w:space="0" w:color="auto"/>
        <w:right w:val="none" w:sz="0" w:space="0" w:color="auto"/>
      </w:divBdr>
    </w:div>
    <w:div w:id="779372627">
      <w:bodyDiv w:val="1"/>
      <w:marLeft w:val="0"/>
      <w:marRight w:val="0"/>
      <w:marTop w:val="0"/>
      <w:marBottom w:val="0"/>
      <w:divBdr>
        <w:top w:val="none" w:sz="0" w:space="0" w:color="auto"/>
        <w:left w:val="none" w:sz="0" w:space="0" w:color="auto"/>
        <w:bottom w:val="none" w:sz="0" w:space="0" w:color="auto"/>
        <w:right w:val="none" w:sz="0" w:space="0" w:color="auto"/>
      </w:divBdr>
    </w:div>
    <w:div w:id="893005330">
      <w:bodyDiv w:val="1"/>
      <w:marLeft w:val="0"/>
      <w:marRight w:val="0"/>
      <w:marTop w:val="0"/>
      <w:marBottom w:val="0"/>
      <w:divBdr>
        <w:top w:val="none" w:sz="0" w:space="0" w:color="auto"/>
        <w:left w:val="none" w:sz="0" w:space="0" w:color="auto"/>
        <w:bottom w:val="none" w:sz="0" w:space="0" w:color="auto"/>
        <w:right w:val="none" w:sz="0" w:space="0" w:color="auto"/>
      </w:divBdr>
    </w:div>
    <w:div w:id="1010108004">
      <w:bodyDiv w:val="1"/>
      <w:marLeft w:val="0"/>
      <w:marRight w:val="0"/>
      <w:marTop w:val="0"/>
      <w:marBottom w:val="0"/>
      <w:divBdr>
        <w:top w:val="none" w:sz="0" w:space="0" w:color="auto"/>
        <w:left w:val="none" w:sz="0" w:space="0" w:color="auto"/>
        <w:bottom w:val="none" w:sz="0" w:space="0" w:color="auto"/>
        <w:right w:val="none" w:sz="0" w:space="0" w:color="auto"/>
      </w:divBdr>
    </w:div>
    <w:div w:id="1216239938">
      <w:bodyDiv w:val="1"/>
      <w:marLeft w:val="0"/>
      <w:marRight w:val="0"/>
      <w:marTop w:val="0"/>
      <w:marBottom w:val="0"/>
      <w:divBdr>
        <w:top w:val="none" w:sz="0" w:space="0" w:color="auto"/>
        <w:left w:val="none" w:sz="0" w:space="0" w:color="auto"/>
        <w:bottom w:val="none" w:sz="0" w:space="0" w:color="auto"/>
        <w:right w:val="none" w:sz="0" w:space="0" w:color="auto"/>
      </w:divBdr>
    </w:div>
    <w:div w:id="1314942218">
      <w:bodyDiv w:val="1"/>
      <w:marLeft w:val="0"/>
      <w:marRight w:val="0"/>
      <w:marTop w:val="0"/>
      <w:marBottom w:val="0"/>
      <w:divBdr>
        <w:top w:val="none" w:sz="0" w:space="0" w:color="auto"/>
        <w:left w:val="none" w:sz="0" w:space="0" w:color="auto"/>
        <w:bottom w:val="none" w:sz="0" w:space="0" w:color="auto"/>
        <w:right w:val="none" w:sz="0" w:space="0" w:color="auto"/>
      </w:divBdr>
    </w:div>
    <w:div w:id="1409882719">
      <w:bodyDiv w:val="1"/>
      <w:marLeft w:val="0"/>
      <w:marRight w:val="0"/>
      <w:marTop w:val="0"/>
      <w:marBottom w:val="0"/>
      <w:divBdr>
        <w:top w:val="none" w:sz="0" w:space="0" w:color="auto"/>
        <w:left w:val="none" w:sz="0" w:space="0" w:color="auto"/>
        <w:bottom w:val="none" w:sz="0" w:space="0" w:color="auto"/>
        <w:right w:val="none" w:sz="0" w:space="0" w:color="auto"/>
      </w:divBdr>
    </w:div>
    <w:div w:id="1462571322">
      <w:bodyDiv w:val="1"/>
      <w:marLeft w:val="0"/>
      <w:marRight w:val="0"/>
      <w:marTop w:val="0"/>
      <w:marBottom w:val="0"/>
      <w:divBdr>
        <w:top w:val="none" w:sz="0" w:space="0" w:color="auto"/>
        <w:left w:val="none" w:sz="0" w:space="0" w:color="auto"/>
        <w:bottom w:val="none" w:sz="0" w:space="0" w:color="auto"/>
        <w:right w:val="none" w:sz="0" w:space="0" w:color="auto"/>
      </w:divBdr>
    </w:div>
    <w:div w:id="1583416250">
      <w:bodyDiv w:val="1"/>
      <w:marLeft w:val="0"/>
      <w:marRight w:val="0"/>
      <w:marTop w:val="0"/>
      <w:marBottom w:val="0"/>
      <w:divBdr>
        <w:top w:val="none" w:sz="0" w:space="0" w:color="auto"/>
        <w:left w:val="none" w:sz="0" w:space="0" w:color="auto"/>
        <w:bottom w:val="none" w:sz="0" w:space="0" w:color="auto"/>
        <w:right w:val="none" w:sz="0" w:space="0" w:color="auto"/>
      </w:divBdr>
    </w:div>
    <w:div w:id="1909806022">
      <w:bodyDiv w:val="1"/>
      <w:marLeft w:val="0"/>
      <w:marRight w:val="0"/>
      <w:marTop w:val="0"/>
      <w:marBottom w:val="0"/>
      <w:divBdr>
        <w:top w:val="none" w:sz="0" w:space="0" w:color="auto"/>
        <w:left w:val="none" w:sz="0" w:space="0" w:color="auto"/>
        <w:bottom w:val="none" w:sz="0" w:space="0" w:color="auto"/>
        <w:right w:val="none" w:sz="0" w:space="0" w:color="auto"/>
      </w:divBdr>
    </w:div>
    <w:div w:id="2103643431">
      <w:bodyDiv w:val="1"/>
      <w:marLeft w:val="0"/>
      <w:marRight w:val="0"/>
      <w:marTop w:val="0"/>
      <w:marBottom w:val="0"/>
      <w:divBdr>
        <w:top w:val="none" w:sz="0" w:space="0" w:color="auto"/>
        <w:left w:val="none" w:sz="0" w:space="0" w:color="auto"/>
        <w:bottom w:val="none" w:sz="0" w:space="0" w:color="auto"/>
        <w:right w:val="none" w:sz="0" w:space="0" w:color="auto"/>
      </w:divBdr>
    </w:div>
    <w:div w:id="213929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brookingsinstitution.sharepoint.com/sites/hutchinscenterteam/Shared%20Documents/Projects/Fiscal%20Impact/COVID-19%20Changes/September/LSFIM_KY_v2.xlsx?web=1" TargetMode="External"/><Relationship Id="rId26" Type="http://schemas.openxmlformats.org/officeDocument/2006/relationships/hyperlink" Target="https://www.cbo.gov/publication/56351" TargetMode="External"/><Relationship Id="rId39" Type="http://schemas.openxmlformats.org/officeDocument/2006/relationships/hyperlink" Target="mailto:Jeremy.Nalewaik@morganstanley.com" TargetMode="External"/><Relationship Id="rId21" Type="http://schemas.openxmlformats.org/officeDocument/2006/relationships/hyperlink" Target="https://www.cbo.gov/system/files/2020-03/hr6074.pdf" TargetMode="External"/><Relationship Id="rId34" Type="http://schemas.openxmlformats.org/officeDocument/2006/relationships/chart" Target="charts/chart2.xml"/><Relationship Id="rId42" Type="http://schemas.openxmlformats.org/officeDocument/2006/relationships/hyperlink" Target="https://www.brookings.edu/research/the-hutchins-centers-fiscal-impact-measure/" TargetMode="External"/><Relationship Id="rId47" Type="http://schemas.openxmlformats.org/officeDocument/2006/relationships/image" Target="media/image4.png"/><Relationship Id="rId50" Type="http://schemas.openxmlformats.org/officeDocument/2006/relationships/image" Target="media/image7.gif"/><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rookingsinstitution.sharepoint.com/sites/hutchinscenterteam/Shared%20Documents/Projects/Fiscal%20Impact/COVID-19%20Changes/September/LSFIM_KY_v2.xlsx?web=1" TargetMode="External"/><Relationship Id="rId29" Type="http://schemas.openxmlformats.org/officeDocument/2006/relationships/hyperlink" Target="https://www.cbo.gov/system/files/2019-12/hr1865_0.pdf" TargetMode="External"/><Relationship Id="rId11" Type="http://schemas.openxmlformats.org/officeDocument/2006/relationships/comments" Target="comments.xml"/><Relationship Id="rId24" Type="http://schemas.openxmlformats.org/officeDocument/2006/relationships/hyperlink" Target="https://www.bea.gov/system/files/2020-05/Impact-of-COVID-19-on-BEAs-Economic-Accounts_0.pdf" TargetMode="External"/><Relationship Id="rId32" Type="http://schemas.openxmlformats.org/officeDocument/2006/relationships/hyperlink" Target="https://www.irs.gov/credits-deductions/individuals/earned-income-tax-credit/eitc-income-limits-maximum-credit-amounts-next-year" TargetMode="External"/><Relationship Id="rId37" Type="http://schemas.openxmlformats.org/officeDocument/2006/relationships/hyperlink" Target="mailto:John.Kitchen@cbo.gov" TargetMode="External"/><Relationship Id="rId40" Type="http://schemas.openxmlformats.org/officeDocument/2006/relationships/hyperlink" Target="mailto:LSheiner@brookings.edu" TargetMode="External"/><Relationship Id="rId45" Type="http://schemas.openxmlformats.org/officeDocument/2006/relationships/image" Target="media/image2.jp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hyperlink" Target="https://brookingsinstitution.sharepoint.com/sites/hutchinscenterteam/Shared%20Documents/Projects/Fiscal%20Impact/09-2020/Data/NIPAS%20translation%20workbook.xlsx?web=1" TargetMode="External"/><Relationship Id="rId19" Type="http://schemas.openxmlformats.org/officeDocument/2006/relationships/hyperlink" Target="https://tcf.org/content/report/unemployment-insurance-data-dashboard/?agreed=1" TargetMode="External"/><Relationship Id="rId31" Type="http://schemas.openxmlformats.org/officeDocument/2006/relationships/chart" Target="charts/chart1.xml"/><Relationship Id="rId44" Type="http://schemas.openxmlformats.org/officeDocument/2006/relationships/hyperlink" Target="https://www.nber.org/papers/w19481.pdf"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hyperlink" Target="https://www.cbo.gov/publication/56542" TargetMode="External"/><Relationship Id="rId14" Type="http://schemas.openxmlformats.org/officeDocument/2006/relationships/hyperlink" Target="https://brookingsinstitution.sharepoint.com/sites/hutchinscenterteam/Shared%20Documents/Projects/Fiscal%20Impact/COVID-19%20Changes/September/LSFIM_KY_v2.xlsx?web=1" TargetMode="External"/><Relationship Id="rId22" Type="http://schemas.openxmlformats.org/officeDocument/2006/relationships/hyperlink" Target="https://www.cbo.gov/system/files/2020-04/HR6201.pdf" TargetMode="External"/><Relationship Id="rId27" Type="http://schemas.openxmlformats.org/officeDocument/2006/relationships/hyperlink" Target="https://www.cbo.gov/system/files/2019-12/hr1865.pdf" TargetMode="External"/><Relationship Id="rId30" Type="http://schemas.openxmlformats.org/officeDocument/2006/relationships/hyperlink" Target="https://www.jct.gov/publications.html?func=startdown&amp;id=5237" TargetMode="External"/><Relationship Id="rId35" Type="http://schemas.openxmlformats.org/officeDocument/2006/relationships/hyperlink" Target="mailto:John.Seliski@cbo.gov" TargetMode="External"/><Relationship Id="rId43" Type="http://schemas.openxmlformats.org/officeDocument/2006/relationships/hyperlink" Target="mailto:Jeremy.Nalewaik@morganstanley.com" TargetMode="External"/><Relationship Id="rId48" Type="http://schemas.openxmlformats.org/officeDocument/2006/relationships/image" Target="media/image5.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brookingsinstitution.sharepoint.com/sites/hutchinscenterteam/Shared%20Documents/Projects/Fiscal%20Impact/COVID-19%20Changes/September/LSFIM_KY_v2.xlsx?web=1" TargetMode="External"/><Relationship Id="rId25" Type="http://schemas.openxmlformats.org/officeDocument/2006/relationships/hyperlink" Target="https://www.bea.gov/system/files/2020-05/COVID-19%20Pandemic-Federal%20Recovery%20Legislation%20and%20the%20NIPAs.pdf" TargetMode="External"/><Relationship Id="rId33" Type="http://schemas.openxmlformats.org/officeDocument/2006/relationships/image" Target="media/image1.gif"/><Relationship Id="rId38" Type="http://schemas.openxmlformats.org/officeDocument/2006/relationships/hyperlink" Target="mailto:john.seliski@cbo.gov" TargetMode="External"/><Relationship Id="rId46" Type="http://schemas.openxmlformats.org/officeDocument/2006/relationships/image" Target="media/image3.png"/><Relationship Id="rId20" Type="http://schemas.openxmlformats.org/officeDocument/2006/relationships/hyperlink" Target="https://docs.google.com/spreadsheets/d/1Wz98hOMQpYBUH8gt6udNv4xKExc66ioD_H1SP9-9J6k/edit" TargetMode="External"/><Relationship Id="rId41" Type="http://schemas.openxmlformats.org/officeDocument/2006/relationships/hyperlink" Target="https://apps.bea.gov/iTable/iTable.cfm?reqid=19&amp;step=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bo.gov/system/files/2020-09/56517-Budget-Outlook.pdf" TargetMode="External"/><Relationship Id="rId23" Type="http://schemas.openxmlformats.org/officeDocument/2006/relationships/hyperlink" Target="https://www.cbo.gov/system/files/2020-04/hr748.pdf" TargetMode="External"/><Relationship Id="rId28" Type="http://schemas.openxmlformats.org/officeDocument/2006/relationships/hyperlink" Target="https://www.cbo.gov/system/files/2019-12/Supplemental%20Table%201%20-%20Division%20N.pdf" TargetMode="External"/><Relationship Id="rId36" Type="http://schemas.openxmlformats.org/officeDocument/2006/relationships/hyperlink" Target="mailto:LSheiner@brookings.edu" TargetMode="External"/><Relationship Id="rId49" Type="http://schemas.openxmlformats.org/officeDocument/2006/relationships/image" Target="media/image6.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sbelz\Downloads\download%20(1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belz\Downloads\download%20(13).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in benefits to persons and contributions from major pieces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102934248603542E-2"/>
          <c:y val="0.19090909090909092"/>
          <c:w val="0.919392792247123"/>
          <c:h val="0.53424780676199835"/>
        </c:manualLayout>
      </c:layout>
      <c:barChart>
        <c:barDir val="col"/>
        <c:grouping val="stacked"/>
        <c:varyColors val="0"/>
        <c:ser>
          <c:idx val="0"/>
          <c:order val="0"/>
          <c:tx>
            <c:strRef>
              <c:f>'[download (14).xls]Sheet0'!$A$14:$B$14</c:f>
              <c:strCache>
                <c:ptCount val="2"/>
                <c:pt idx="0">
                  <c:v>5</c:v>
                </c:pt>
                <c:pt idx="1">
                  <c:v>            Social security contribution to nominal growth in benefits to persons</c:v>
                </c:pt>
              </c:strCache>
            </c:strRef>
          </c:tx>
          <c:spPr>
            <a:solidFill>
              <a:schemeClr val="accent1"/>
            </a:solidFill>
            <a:ln>
              <a:noFill/>
            </a:ln>
            <a:effectLst/>
          </c:spPr>
          <c:invertIfNegative val="0"/>
          <c:cat>
            <c:multiLvlStrRef>
              <c:f>'[download (14).xls]Sheet0'!$C$6:$AO$7</c:f>
              <c:multiLvlStrCache>
                <c:ptCount val="39"/>
                <c:lvl>
                  <c:pt idx="0">
                    <c:v>Q1</c:v>
                  </c:pt>
                  <c:pt idx="1">
                    <c:v>Q2</c:v>
                  </c:pt>
                  <c:pt idx="2">
                    <c:v>Q3</c:v>
                  </c:pt>
                  <c:pt idx="3">
                    <c:v>Q4</c:v>
                  </c:pt>
                  <c:pt idx="4">
                    <c:v>Q1</c:v>
                  </c:pt>
                  <c:pt idx="5">
                    <c:v>Q2</c:v>
                  </c:pt>
                  <c:pt idx="6">
                    <c:v>Q3</c:v>
                  </c:pt>
                  <c:pt idx="7">
                    <c:v>Q4</c:v>
                  </c:pt>
                  <c:pt idx="8">
                    <c:v>Q1</c:v>
                  </c:pt>
                  <c:pt idx="9">
                    <c:v>Q2</c:v>
                  </c:pt>
                  <c:pt idx="10">
                    <c:v>Q3</c:v>
                  </c:pt>
                  <c:pt idx="11">
                    <c:v>Q4</c:v>
                  </c:pt>
                  <c:pt idx="12">
                    <c:v>Q1</c:v>
                  </c:pt>
                  <c:pt idx="13">
                    <c:v>Q2</c:v>
                  </c:pt>
                  <c:pt idx="14">
                    <c:v>Q3</c:v>
                  </c:pt>
                  <c:pt idx="15">
                    <c:v>Q4</c:v>
                  </c:pt>
                  <c:pt idx="16">
                    <c:v>Q1</c:v>
                  </c:pt>
                  <c:pt idx="17">
                    <c:v>Q2</c:v>
                  </c:pt>
                  <c:pt idx="18">
                    <c:v>Q3</c:v>
                  </c:pt>
                  <c:pt idx="19">
                    <c:v>Q4</c:v>
                  </c:pt>
                  <c:pt idx="20">
                    <c:v>Q1</c:v>
                  </c:pt>
                  <c:pt idx="21">
                    <c:v>Q2</c:v>
                  </c:pt>
                  <c:pt idx="22">
                    <c:v>Q3</c:v>
                  </c:pt>
                  <c:pt idx="23">
                    <c:v>Q4</c:v>
                  </c:pt>
                  <c:pt idx="24">
                    <c:v>Q1</c:v>
                  </c:pt>
                  <c:pt idx="25">
                    <c:v>Q2</c:v>
                  </c:pt>
                  <c:pt idx="26">
                    <c:v>Q3</c:v>
                  </c:pt>
                  <c:pt idx="27">
                    <c:v>Q4</c:v>
                  </c:pt>
                  <c:pt idx="28">
                    <c:v>Q1</c:v>
                  </c:pt>
                  <c:pt idx="29">
                    <c:v>Q2</c:v>
                  </c:pt>
                  <c:pt idx="30">
                    <c:v>Q3</c:v>
                  </c:pt>
                  <c:pt idx="31">
                    <c:v>Q4</c:v>
                  </c:pt>
                  <c:pt idx="32">
                    <c:v>Q1</c:v>
                  </c:pt>
                  <c:pt idx="33">
                    <c:v>Q2</c:v>
                  </c:pt>
                  <c:pt idx="34">
                    <c:v>Q3</c:v>
                  </c:pt>
                  <c:pt idx="35">
                    <c:v>Q4</c:v>
                  </c:pt>
                  <c:pt idx="36">
                    <c:v>Q1</c:v>
                  </c:pt>
                  <c:pt idx="37">
                    <c:v>Q2</c:v>
                  </c:pt>
                  <c:pt idx="38">
                    <c:v>Q3</c:v>
                  </c:pt>
                </c:lvl>
                <c:lvl>
                  <c:pt idx="0">
                    <c:v>2010</c:v>
                  </c:pt>
                  <c:pt idx="4">
                    <c:v>2011</c:v>
                  </c:pt>
                  <c:pt idx="8">
                    <c:v>2012</c:v>
                  </c:pt>
                  <c:pt idx="12">
                    <c:v>2013</c:v>
                  </c:pt>
                  <c:pt idx="16">
                    <c:v>2014</c:v>
                  </c:pt>
                  <c:pt idx="20">
                    <c:v>2015</c:v>
                  </c:pt>
                  <c:pt idx="24">
                    <c:v>2016</c:v>
                  </c:pt>
                  <c:pt idx="28">
                    <c:v>2017</c:v>
                  </c:pt>
                  <c:pt idx="32">
                    <c:v>2018</c:v>
                  </c:pt>
                  <c:pt idx="36">
                    <c:v>2019</c:v>
                  </c:pt>
                </c:lvl>
              </c:multiLvlStrCache>
            </c:multiLvlStrRef>
          </c:cat>
          <c:val>
            <c:numRef>
              <c:f>'[download (14).xls]Sheet0'!$C$14:$AO$14</c:f>
              <c:numCache>
                <c:formatCode>General</c:formatCode>
                <c:ptCount val="39"/>
                <c:pt idx="1">
                  <c:v>1.8612135226935429</c:v>
                </c:pt>
                <c:pt idx="2">
                  <c:v>0.76270117241267177</c:v>
                </c:pt>
                <c:pt idx="3">
                  <c:v>0.94567735517540463</c:v>
                </c:pt>
                <c:pt idx="4">
                  <c:v>0.72140398375308501</c:v>
                </c:pt>
                <c:pt idx="5">
                  <c:v>1.558495161611418</c:v>
                </c:pt>
                <c:pt idx="6">
                  <c:v>0.69544062786784011</c:v>
                </c:pt>
                <c:pt idx="7">
                  <c:v>1.0148241905166495</c:v>
                </c:pt>
                <c:pt idx="8">
                  <c:v>5.7009591615639978</c:v>
                </c:pt>
                <c:pt idx="9">
                  <c:v>1.0765584333978087</c:v>
                </c:pt>
                <c:pt idx="10">
                  <c:v>0.99020435083787361</c:v>
                </c:pt>
                <c:pt idx="11">
                  <c:v>0.97682435927412636</c:v>
                </c:pt>
                <c:pt idx="12">
                  <c:v>3.3239159082872325</c:v>
                </c:pt>
                <c:pt idx="13">
                  <c:v>0.88851975402927241</c:v>
                </c:pt>
                <c:pt idx="14">
                  <c:v>1.1952012546916522</c:v>
                </c:pt>
                <c:pt idx="15">
                  <c:v>1.0518998618611026</c:v>
                </c:pt>
                <c:pt idx="16">
                  <c:v>2.7193776339318858</c:v>
                </c:pt>
                <c:pt idx="17">
                  <c:v>1.1101772907788305</c:v>
                </c:pt>
                <c:pt idx="18">
                  <c:v>0.76714970055283482</c:v>
                </c:pt>
                <c:pt idx="19">
                  <c:v>1.4440252174020887</c:v>
                </c:pt>
                <c:pt idx="20">
                  <c:v>2.532460138802386</c:v>
                </c:pt>
                <c:pt idx="21">
                  <c:v>0.94730839796461574</c:v>
                </c:pt>
                <c:pt idx="22">
                  <c:v>0.89217342241962194</c:v>
                </c:pt>
                <c:pt idx="23">
                  <c:v>1.5218895709670022</c:v>
                </c:pt>
                <c:pt idx="24">
                  <c:v>0.29781469738434574</c:v>
                </c:pt>
                <c:pt idx="25">
                  <c:v>1.0565307717943606</c:v>
                </c:pt>
                <c:pt idx="26">
                  <c:v>0.92149796464794531</c:v>
                </c:pt>
                <c:pt idx="27">
                  <c:v>1.3382354840295414</c:v>
                </c:pt>
                <c:pt idx="28">
                  <c:v>1.166734806136474</c:v>
                </c:pt>
                <c:pt idx="29">
                  <c:v>0.79273421171019032</c:v>
                </c:pt>
                <c:pt idx="30">
                  <c:v>1.0117899587141708</c:v>
                </c:pt>
                <c:pt idx="31">
                  <c:v>1.2735128448632609</c:v>
                </c:pt>
                <c:pt idx="32">
                  <c:v>3.2487654158682364</c:v>
                </c:pt>
                <c:pt idx="33">
                  <c:v>1.0336499341955345</c:v>
                </c:pt>
                <c:pt idx="34">
                  <c:v>1.097091797645608</c:v>
                </c:pt>
                <c:pt idx="35">
                  <c:v>1.2524727761041163</c:v>
                </c:pt>
                <c:pt idx="36">
                  <c:v>5.127868478080603</c:v>
                </c:pt>
                <c:pt idx="37">
                  <c:v>0.98726376149158224</c:v>
                </c:pt>
                <c:pt idx="38">
                  <c:v>0.89964055246147012</c:v>
                </c:pt>
              </c:numCache>
            </c:numRef>
          </c:val>
          <c:extLst>
            <c:ext xmlns:c16="http://schemas.microsoft.com/office/drawing/2014/chart" uri="{C3380CC4-5D6E-409C-BE32-E72D297353CC}">
              <c16:uniqueId val="{00000000-66CE-49D3-99ED-3DDCF5448D71}"/>
            </c:ext>
          </c:extLst>
        </c:ser>
        <c:ser>
          <c:idx val="1"/>
          <c:order val="1"/>
          <c:tx>
            <c:strRef>
              <c:f>'[download (14).xls]Sheet0'!$A$16:$B$16</c:f>
              <c:strCache>
                <c:ptCount val="2"/>
                <c:pt idx="0">
                  <c:v>6</c:v>
                </c:pt>
                <c:pt idx="1">
                  <c:v>          Medicare contribution to nominal growth in benefits to persons</c:v>
                </c:pt>
              </c:strCache>
            </c:strRef>
          </c:tx>
          <c:spPr>
            <a:solidFill>
              <a:schemeClr val="accent2"/>
            </a:solidFill>
            <a:ln>
              <a:noFill/>
            </a:ln>
            <a:effectLst/>
          </c:spPr>
          <c:invertIfNegative val="0"/>
          <c:cat>
            <c:multiLvlStrRef>
              <c:f>'[download (14).xls]Sheet0'!$C$6:$AO$7</c:f>
              <c:multiLvlStrCache>
                <c:ptCount val="39"/>
                <c:lvl>
                  <c:pt idx="0">
                    <c:v>Q1</c:v>
                  </c:pt>
                  <c:pt idx="1">
                    <c:v>Q2</c:v>
                  </c:pt>
                  <c:pt idx="2">
                    <c:v>Q3</c:v>
                  </c:pt>
                  <c:pt idx="3">
                    <c:v>Q4</c:v>
                  </c:pt>
                  <c:pt idx="4">
                    <c:v>Q1</c:v>
                  </c:pt>
                  <c:pt idx="5">
                    <c:v>Q2</c:v>
                  </c:pt>
                  <c:pt idx="6">
                    <c:v>Q3</c:v>
                  </c:pt>
                  <c:pt idx="7">
                    <c:v>Q4</c:v>
                  </c:pt>
                  <c:pt idx="8">
                    <c:v>Q1</c:v>
                  </c:pt>
                  <c:pt idx="9">
                    <c:v>Q2</c:v>
                  </c:pt>
                  <c:pt idx="10">
                    <c:v>Q3</c:v>
                  </c:pt>
                  <c:pt idx="11">
                    <c:v>Q4</c:v>
                  </c:pt>
                  <c:pt idx="12">
                    <c:v>Q1</c:v>
                  </c:pt>
                  <c:pt idx="13">
                    <c:v>Q2</c:v>
                  </c:pt>
                  <c:pt idx="14">
                    <c:v>Q3</c:v>
                  </c:pt>
                  <c:pt idx="15">
                    <c:v>Q4</c:v>
                  </c:pt>
                  <c:pt idx="16">
                    <c:v>Q1</c:v>
                  </c:pt>
                  <c:pt idx="17">
                    <c:v>Q2</c:v>
                  </c:pt>
                  <c:pt idx="18">
                    <c:v>Q3</c:v>
                  </c:pt>
                  <c:pt idx="19">
                    <c:v>Q4</c:v>
                  </c:pt>
                  <c:pt idx="20">
                    <c:v>Q1</c:v>
                  </c:pt>
                  <c:pt idx="21">
                    <c:v>Q2</c:v>
                  </c:pt>
                  <c:pt idx="22">
                    <c:v>Q3</c:v>
                  </c:pt>
                  <c:pt idx="23">
                    <c:v>Q4</c:v>
                  </c:pt>
                  <c:pt idx="24">
                    <c:v>Q1</c:v>
                  </c:pt>
                  <c:pt idx="25">
                    <c:v>Q2</c:v>
                  </c:pt>
                  <c:pt idx="26">
                    <c:v>Q3</c:v>
                  </c:pt>
                  <c:pt idx="27">
                    <c:v>Q4</c:v>
                  </c:pt>
                  <c:pt idx="28">
                    <c:v>Q1</c:v>
                  </c:pt>
                  <c:pt idx="29">
                    <c:v>Q2</c:v>
                  </c:pt>
                  <c:pt idx="30">
                    <c:v>Q3</c:v>
                  </c:pt>
                  <c:pt idx="31">
                    <c:v>Q4</c:v>
                  </c:pt>
                  <c:pt idx="32">
                    <c:v>Q1</c:v>
                  </c:pt>
                  <c:pt idx="33">
                    <c:v>Q2</c:v>
                  </c:pt>
                  <c:pt idx="34">
                    <c:v>Q3</c:v>
                  </c:pt>
                  <c:pt idx="35">
                    <c:v>Q4</c:v>
                  </c:pt>
                  <c:pt idx="36">
                    <c:v>Q1</c:v>
                  </c:pt>
                  <c:pt idx="37">
                    <c:v>Q2</c:v>
                  </c:pt>
                  <c:pt idx="38">
                    <c:v>Q3</c:v>
                  </c:pt>
                </c:lvl>
                <c:lvl>
                  <c:pt idx="0">
                    <c:v>2010</c:v>
                  </c:pt>
                  <c:pt idx="4">
                    <c:v>2011</c:v>
                  </c:pt>
                  <c:pt idx="8">
                    <c:v>2012</c:v>
                  </c:pt>
                  <c:pt idx="12">
                    <c:v>2013</c:v>
                  </c:pt>
                  <c:pt idx="16">
                    <c:v>2014</c:v>
                  </c:pt>
                  <c:pt idx="20">
                    <c:v>2015</c:v>
                  </c:pt>
                  <c:pt idx="24">
                    <c:v>2016</c:v>
                  </c:pt>
                  <c:pt idx="28">
                    <c:v>2017</c:v>
                  </c:pt>
                  <c:pt idx="32">
                    <c:v>2018</c:v>
                  </c:pt>
                  <c:pt idx="36">
                    <c:v>2019</c:v>
                  </c:pt>
                </c:lvl>
              </c:multiLvlStrCache>
            </c:multiLvlStrRef>
          </c:cat>
          <c:val>
            <c:numRef>
              <c:f>'[download (14).xls]Sheet0'!$C$16:$AO$16</c:f>
              <c:numCache>
                <c:formatCode>General</c:formatCode>
                <c:ptCount val="39"/>
                <c:pt idx="1">
                  <c:v>0.8076487338717353</c:v>
                </c:pt>
                <c:pt idx="2">
                  <c:v>0.90889531658194933</c:v>
                </c:pt>
                <c:pt idx="3">
                  <c:v>1.014218966944318</c:v>
                </c:pt>
                <c:pt idx="4">
                  <c:v>1.0854584691853935</c:v>
                </c:pt>
                <c:pt idx="5">
                  <c:v>1.0047168971965879</c:v>
                </c:pt>
                <c:pt idx="6">
                  <c:v>0.89403365016725422</c:v>
                </c:pt>
                <c:pt idx="7">
                  <c:v>0.77670592753087686</c:v>
                </c:pt>
                <c:pt idx="8">
                  <c:v>0.70633664104279292</c:v>
                </c:pt>
                <c:pt idx="9">
                  <c:v>0.80562025878410015</c:v>
                </c:pt>
                <c:pt idx="10">
                  <c:v>0.94964514584971571</c:v>
                </c:pt>
                <c:pt idx="11">
                  <c:v>1.0857567868693512</c:v>
                </c:pt>
                <c:pt idx="12">
                  <c:v>1.1887688190459258</c:v>
                </c:pt>
                <c:pt idx="13">
                  <c:v>-0.53501880305872007</c:v>
                </c:pt>
                <c:pt idx="14">
                  <c:v>1.1211417491038007</c:v>
                </c:pt>
                <c:pt idx="15">
                  <c:v>1.0888320920522181</c:v>
                </c:pt>
                <c:pt idx="16">
                  <c:v>1.2198639232544712</c:v>
                </c:pt>
                <c:pt idx="17">
                  <c:v>1.3179057025508907</c:v>
                </c:pt>
                <c:pt idx="18">
                  <c:v>1.3539094797869335</c:v>
                </c:pt>
                <c:pt idx="19">
                  <c:v>1.3956308910878712</c:v>
                </c:pt>
                <c:pt idx="20">
                  <c:v>1.4000346827284078</c:v>
                </c:pt>
                <c:pt idx="21">
                  <c:v>1.2833549183124542</c:v>
                </c:pt>
                <c:pt idx="22">
                  <c:v>1.1521925067940177</c:v>
                </c:pt>
                <c:pt idx="23">
                  <c:v>1.0228131713324291</c:v>
                </c:pt>
                <c:pt idx="24">
                  <c:v>0.91762244114863667</c:v>
                </c:pt>
                <c:pt idx="25">
                  <c:v>0.93638468919932205</c:v>
                </c:pt>
                <c:pt idx="26">
                  <c:v>0.98040276926249004</c:v>
                </c:pt>
                <c:pt idx="27">
                  <c:v>1.0223134758284782</c:v>
                </c:pt>
                <c:pt idx="28">
                  <c:v>1.061746389830333</c:v>
                </c:pt>
                <c:pt idx="29">
                  <c:v>1.1048044203750729</c:v>
                </c:pt>
                <c:pt idx="30">
                  <c:v>1.1359517264473884</c:v>
                </c:pt>
                <c:pt idx="31">
                  <c:v>1.1741312135453674</c:v>
                </c:pt>
                <c:pt idx="32">
                  <c:v>1.2558401568665842</c:v>
                </c:pt>
                <c:pt idx="33">
                  <c:v>1.6291680354404394</c:v>
                </c:pt>
                <c:pt idx="34">
                  <c:v>2.0621679790914311</c:v>
                </c:pt>
                <c:pt idx="35">
                  <c:v>2.4922280205840632</c:v>
                </c:pt>
                <c:pt idx="36">
                  <c:v>2.7200644848591926</c:v>
                </c:pt>
                <c:pt idx="37">
                  <c:v>2.466342039023937</c:v>
                </c:pt>
                <c:pt idx="38">
                  <c:v>2.1195735526539936</c:v>
                </c:pt>
              </c:numCache>
            </c:numRef>
          </c:val>
          <c:extLst>
            <c:ext xmlns:c16="http://schemas.microsoft.com/office/drawing/2014/chart" uri="{C3380CC4-5D6E-409C-BE32-E72D297353CC}">
              <c16:uniqueId val="{00000001-66CE-49D3-99ED-3DDCF5448D71}"/>
            </c:ext>
          </c:extLst>
        </c:ser>
        <c:ser>
          <c:idx val="2"/>
          <c:order val="2"/>
          <c:tx>
            <c:strRef>
              <c:f>'[download (14).xls]Sheet0'!$A$36:$B$36</c:f>
              <c:strCache>
                <c:ptCount val="2"/>
                <c:pt idx="0">
                  <c:v>25</c:v>
                </c:pt>
                <c:pt idx="1">
                  <c:v>          RTC contribution to nominal growth in benefits to persons</c:v>
                </c:pt>
              </c:strCache>
            </c:strRef>
          </c:tx>
          <c:spPr>
            <a:solidFill>
              <a:schemeClr val="accent3"/>
            </a:solidFill>
            <a:ln>
              <a:noFill/>
            </a:ln>
            <a:effectLst/>
          </c:spPr>
          <c:invertIfNegative val="0"/>
          <c:cat>
            <c:multiLvlStrRef>
              <c:f>'[download (14).xls]Sheet0'!$C$6:$AO$7</c:f>
              <c:multiLvlStrCache>
                <c:ptCount val="39"/>
                <c:lvl>
                  <c:pt idx="0">
                    <c:v>Q1</c:v>
                  </c:pt>
                  <c:pt idx="1">
                    <c:v>Q2</c:v>
                  </c:pt>
                  <c:pt idx="2">
                    <c:v>Q3</c:v>
                  </c:pt>
                  <c:pt idx="3">
                    <c:v>Q4</c:v>
                  </c:pt>
                  <c:pt idx="4">
                    <c:v>Q1</c:v>
                  </c:pt>
                  <c:pt idx="5">
                    <c:v>Q2</c:v>
                  </c:pt>
                  <c:pt idx="6">
                    <c:v>Q3</c:v>
                  </c:pt>
                  <c:pt idx="7">
                    <c:v>Q4</c:v>
                  </c:pt>
                  <c:pt idx="8">
                    <c:v>Q1</c:v>
                  </c:pt>
                  <c:pt idx="9">
                    <c:v>Q2</c:v>
                  </c:pt>
                  <c:pt idx="10">
                    <c:v>Q3</c:v>
                  </c:pt>
                  <c:pt idx="11">
                    <c:v>Q4</c:v>
                  </c:pt>
                  <c:pt idx="12">
                    <c:v>Q1</c:v>
                  </c:pt>
                  <c:pt idx="13">
                    <c:v>Q2</c:v>
                  </c:pt>
                  <c:pt idx="14">
                    <c:v>Q3</c:v>
                  </c:pt>
                  <c:pt idx="15">
                    <c:v>Q4</c:v>
                  </c:pt>
                  <c:pt idx="16">
                    <c:v>Q1</c:v>
                  </c:pt>
                  <c:pt idx="17">
                    <c:v>Q2</c:v>
                  </c:pt>
                  <c:pt idx="18">
                    <c:v>Q3</c:v>
                  </c:pt>
                  <c:pt idx="19">
                    <c:v>Q4</c:v>
                  </c:pt>
                  <c:pt idx="20">
                    <c:v>Q1</c:v>
                  </c:pt>
                  <c:pt idx="21">
                    <c:v>Q2</c:v>
                  </c:pt>
                  <c:pt idx="22">
                    <c:v>Q3</c:v>
                  </c:pt>
                  <c:pt idx="23">
                    <c:v>Q4</c:v>
                  </c:pt>
                  <c:pt idx="24">
                    <c:v>Q1</c:v>
                  </c:pt>
                  <c:pt idx="25">
                    <c:v>Q2</c:v>
                  </c:pt>
                  <c:pt idx="26">
                    <c:v>Q3</c:v>
                  </c:pt>
                  <c:pt idx="27">
                    <c:v>Q4</c:v>
                  </c:pt>
                  <c:pt idx="28">
                    <c:v>Q1</c:v>
                  </c:pt>
                  <c:pt idx="29">
                    <c:v>Q2</c:v>
                  </c:pt>
                  <c:pt idx="30">
                    <c:v>Q3</c:v>
                  </c:pt>
                  <c:pt idx="31">
                    <c:v>Q4</c:v>
                  </c:pt>
                  <c:pt idx="32">
                    <c:v>Q1</c:v>
                  </c:pt>
                  <c:pt idx="33">
                    <c:v>Q2</c:v>
                  </c:pt>
                  <c:pt idx="34">
                    <c:v>Q3</c:v>
                  </c:pt>
                  <c:pt idx="35">
                    <c:v>Q4</c:v>
                  </c:pt>
                  <c:pt idx="36">
                    <c:v>Q1</c:v>
                  </c:pt>
                  <c:pt idx="37">
                    <c:v>Q2</c:v>
                  </c:pt>
                  <c:pt idx="38">
                    <c:v>Q3</c:v>
                  </c:pt>
                </c:lvl>
                <c:lvl>
                  <c:pt idx="0">
                    <c:v>2010</c:v>
                  </c:pt>
                  <c:pt idx="4">
                    <c:v>2011</c:v>
                  </c:pt>
                  <c:pt idx="8">
                    <c:v>2012</c:v>
                  </c:pt>
                  <c:pt idx="12">
                    <c:v>2013</c:v>
                  </c:pt>
                  <c:pt idx="16">
                    <c:v>2014</c:v>
                  </c:pt>
                  <c:pt idx="20">
                    <c:v>2015</c:v>
                  </c:pt>
                  <c:pt idx="24">
                    <c:v>2016</c:v>
                  </c:pt>
                  <c:pt idx="28">
                    <c:v>2017</c:v>
                  </c:pt>
                  <c:pt idx="32">
                    <c:v>2018</c:v>
                  </c:pt>
                  <c:pt idx="36">
                    <c:v>2019</c:v>
                  </c:pt>
                </c:lvl>
              </c:multiLvlStrCache>
            </c:multiLvlStrRef>
          </c:cat>
          <c:val>
            <c:numRef>
              <c:f>'[download (14).xls]Sheet0'!$C$36:$AO$36</c:f>
              <c:numCache>
                <c:formatCode>General</c:formatCode>
                <c:ptCount val="39"/>
                <c:pt idx="1">
                  <c:v>-5.6997771334150391E-2</c:v>
                </c:pt>
                <c:pt idx="2">
                  <c:v>-2.7919553970754923E-3</c:v>
                </c:pt>
                <c:pt idx="3">
                  <c:v>1.3897385958411472E-3</c:v>
                </c:pt>
                <c:pt idx="4">
                  <c:v>1.145891547012905</c:v>
                </c:pt>
                <c:pt idx="5">
                  <c:v>0.18818177517815213</c:v>
                </c:pt>
                <c:pt idx="6">
                  <c:v>1.3894717336923731E-3</c:v>
                </c:pt>
                <c:pt idx="7">
                  <c:v>6.9198823757868127E-4</c:v>
                </c:pt>
                <c:pt idx="8">
                  <c:v>-6.0063674326094034</c:v>
                </c:pt>
                <c:pt idx="9">
                  <c:v>0</c:v>
                </c:pt>
                <c:pt idx="10">
                  <c:v>1.3761135661399058E-3</c:v>
                </c:pt>
                <c:pt idx="11">
                  <c:v>2.0462148269663671E-3</c:v>
                </c:pt>
                <c:pt idx="12">
                  <c:v>-0.17895907012139456</c:v>
                </c:pt>
                <c:pt idx="13">
                  <c:v>0</c:v>
                </c:pt>
                <c:pt idx="14">
                  <c:v>0</c:v>
                </c:pt>
                <c:pt idx="15">
                  <c:v>0</c:v>
                </c:pt>
                <c:pt idx="16">
                  <c:v>1.7305754937464328</c:v>
                </c:pt>
                <c:pt idx="17">
                  <c:v>1.7957034667795473</c:v>
                </c:pt>
                <c:pt idx="18">
                  <c:v>0.15495755635650263</c:v>
                </c:pt>
                <c:pt idx="19">
                  <c:v>-0.21116667325084534</c:v>
                </c:pt>
                <c:pt idx="20">
                  <c:v>1.3210807342930069</c:v>
                </c:pt>
                <c:pt idx="21">
                  <c:v>0.54352619008461645</c:v>
                </c:pt>
                <c:pt idx="22">
                  <c:v>-0.37463586695451861</c:v>
                </c:pt>
                <c:pt idx="23">
                  <c:v>-0.37371382276719872</c:v>
                </c:pt>
                <c:pt idx="24">
                  <c:v>1.3939601595387803</c:v>
                </c:pt>
                <c:pt idx="25">
                  <c:v>2.725476829927629E-2</c:v>
                </c:pt>
                <c:pt idx="26">
                  <c:v>-0.29645693799993772</c:v>
                </c:pt>
                <c:pt idx="27">
                  <c:v>-0.28524447148336424</c:v>
                </c:pt>
                <c:pt idx="28">
                  <c:v>1.9722449236863893</c:v>
                </c:pt>
                <c:pt idx="29">
                  <c:v>-0.28641225743821491</c:v>
                </c:pt>
                <c:pt idx="30">
                  <c:v>-0.45630084389520637</c:v>
                </c:pt>
                <c:pt idx="31">
                  <c:v>-0.41739023591560492</c:v>
                </c:pt>
                <c:pt idx="32">
                  <c:v>3.6592689394800013</c:v>
                </c:pt>
                <c:pt idx="33">
                  <c:v>-0.57231869987423134</c:v>
                </c:pt>
                <c:pt idx="34">
                  <c:v>-0.5905885003389052</c:v>
                </c:pt>
                <c:pt idx="35">
                  <c:v>-0.53964214604496563</c:v>
                </c:pt>
                <c:pt idx="36">
                  <c:v>5.0810196081717676</c:v>
                </c:pt>
                <c:pt idx="37">
                  <c:v>-0.53439432978996948</c:v>
                </c:pt>
                <c:pt idx="38">
                  <c:v>-0.5488285624172532</c:v>
                </c:pt>
              </c:numCache>
            </c:numRef>
          </c:val>
          <c:extLst>
            <c:ext xmlns:c16="http://schemas.microsoft.com/office/drawing/2014/chart" uri="{C3380CC4-5D6E-409C-BE32-E72D297353CC}">
              <c16:uniqueId val="{00000002-66CE-49D3-99ED-3DDCF5448D71}"/>
            </c:ext>
          </c:extLst>
        </c:ser>
        <c:dLbls>
          <c:showLegendKey val="0"/>
          <c:showVal val="0"/>
          <c:showCatName val="0"/>
          <c:showSerName val="0"/>
          <c:showPercent val="0"/>
          <c:showBubbleSize val="0"/>
        </c:dLbls>
        <c:gapWidth val="219"/>
        <c:overlap val="100"/>
        <c:axId val="591533720"/>
        <c:axId val="591543232"/>
      </c:barChart>
      <c:lineChart>
        <c:grouping val="standard"/>
        <c:varyColors val="0"/>
        <c:ser>
          <c:idx val="3"/>
          <c:order val="3"/>
          <c:tx>
            <c:strRef>
              <c:f>'[download (14).xls]Sheet0'!$B$10</c:f>
              <c:strCache>
                <c:ptCount val="1"/>
                <c:pt idx="0">
                  <c:v>Growth in benefits</c:v>
                </c:pt>
              </c:strCache>
            </c:strRef>
          </c:tx>
          <c:spPr>
            <a:ln w="28575" cap="rnd">
              <a:solidFill>
                <a:schemeClr val="accent4"/>
              </a:solidFill>
              <a:round/>
            </a:ln>
            <a:effectLst/>
          </c:spPr>
          <c:marker>
            <c:symbol val="none"/>
          </c:marker>
          <c:cat>
            <c:multiLvlStrRef>
              <c:f>'[download (14).xls]Sheet0'!$C$6:$AO$7</c:f>
              <c:multiLvlStrCache>
                <c:ptCount val="39"/>
                <c:lvl>
                  <c:pt idx="0">
                    <c:v>Q1</c:v>
                  </c:pt>
                  <c:pt idx="1">
                    <c:v>Q2</c:v>
                  </c:pt>
                  <c:pt idx="2">
                    <c:v>Q3</c:v>
                  </c:pt>
                  <c:pt idx="3">
                    <c:v>Q4</c:v>
                  </c:pt>
                  <c:pt idx="4">
                    <c:v>Q1</c:v>
                  </c:pt>
                  <c:pt idx="5">
                    <c:v>Q2</c:v>
                  </c:pt>
                  <c:pt idx="6">
                    <c:v>Q3</c:v>
                  </c:pt>
                  <c:pt idx="7">
                    <c:v>Q4</c:v>
                  </c:pt>
                  <c:pt idx="8">
                    <c:v>Q1</c:v>
                  </c:pt>
                  <c:pt idx="9">
                    <c:v>Q2</c:v>
                  </c:pt>
                  <c:pt idx="10">
                    <c:v>Q3</c:v>
                  </c:pt>
                  <c:pt idx="11">
                    <c:v>Q4</c:v>
                  </c:pt>
                  <c:pt idx="12">
                    <c:v>Q1</c:v>
                  </c:pt>
                  <c:pt idx="13">
                    <c:v>Q2</c:v>
                  </c:pt>
                  <c:pt idx="14">
                    <c:v>Q3</c:v>
                  </c:pt>
                  <c:pt idx="15">
                    <c:v>Q4</c:v>
                  </c:pt>
                  <c:pt idx="16">
                    <c:v>Q1</c:v>
                  </c:pt>
                  <c:pt idx="17">
                    <c:v>Q2</c:v>
                  </c:pt>
                  <c:pt idx="18">
                    <c:v>Q3</c:v>
                  </c:pt>
                  <c:pt idx="19">
                    <c:v>Q4</c:v>
                  </c:pt>
                  <c:pt idx="20">
                    <c:v>Q1</c:v>
                  </c:pt>
                  <c:pt idx="21">
                    <c:v>Q2</c:v>
                  </c:pt>
                  <c:pt idx="22">
                    <c:v>Q3</c:v>
                  </c:pt>
                  <c:pt idx="23">
                    <c:v>Q4</c:v>
                  </c:pt>
                  <c:pt idx="24">
                    <c:v>Q1</c:v>
                  </c:pt>
                  <c:pt idx="25">
                    <c:v>Q2</c:v>
                  </c:pt>
                  <c:pt idx="26">
                    <c:v>Q3</c:v>
                  </c:pt>
                  <c:pt idx="27">
                    <c:v>Q4</c:v>
                  </c:pt>
                  <c:pt idx="28">
                    <c:v>Q1</c:v>
                  </c:pt>
                  <c:pt idx="29">
                    <c:v>Q2</c:v>
                  </c:pt>
                  <c:pt idx="30">
                    <c:v>Q3</c:v>
                  </c:pt>
                  <c:pt idx="31">
                    <c:v>Q4</c:v>
                  </c:pt>
                  <c:pt idx="32">
                    <c:v>Q1</c:v>
                  </c:pt>
                  <c:pt idx="33">
                    <c:v>Q2</c:v>
                  </c:pt>
                  <c:pt idx="34">
                    <c:v>Q3</c:v>
                  </c:pt>
                  <c:pt idx="35">
                    <c:v>Q4</c:v>
                  </c:pt>
                  <c:pt idx="36">
                    <c:v>Q1</c:v>
                  </c:pt>
                  <c:pt idx="37">
                    <c:v>Q2</c:v>
                  </c:pt>
                  <c:pt idx="38">
                    <c:v>Q3</c:v>
                  </c:pt>
                </c:lvl>
                <c:lvl>
                  <c:pt idx="0">
                    <c:v>2010</c:v>
                  </c:pt>
                  <c:pt idx="4">
                    <c:v>2011</c:v>
                  </c:pt>
                  <c:pt idx="8">
                    <c:v>2012</c:v>
                  </c:pt>
                  <c:pt idx="12">
                    <c:v>2013</c:v>
                  </c:pt>
                  <c:pt idx="16">
                    <c:v>2014</c:v>
                  </c:pt>
                  <c:pt idx="20">
                    <c:v>2015</c:v>
                  </c:pt>
                  <c:pt idx="24">
                    <c:v>2016</c:v>
                  </c:pt>
                  <c:pt idx="28">
                    <c:v>2017</c:v>
                  </c:pt>
                  <c:pt idx="32">
                    <c:v>2018</c:v>
                  </c:pt>
                  <c:pt idx="36">
                    <c:v>2019</c:v>
                  </c:pt>
                </c:lvl>
              </c:multiLvlStrCache>
            </c:multiLvlStrRef>
          </c:cat>
          <c:val>
            <c:numRef>
              <c:f>'[download (14).xls]Sheet0'!$C$10:$AO$10</c:f>
              <c:numCache>
                <c:formatCode>General</c:formatCode>
                <c:ptCount val="39"/>
                <c:pt idx="1">
                  <c:v>1.1450789982503373</c:v>
                </c:pt>
                <c:pt idx="2">
                  <c:v>4.1201087152958671</c:v>
                </c:pt>
                <c:pt idx="3">
                  <c:v>1.8626153227291553</c:v>
                </c:pt>
                <c:pt idx="4">
                  <c:v>1.7940530303524049</c:v>
                </c:pt>
                <c:pt idx="5">
                  <c:v>-0.16117268693633946</c:v>
                </c:pt>
                <c:pt idx="6">
                  <c:v>-1.5500959078592391</c:v>
                </c:pt>
                <c:pt idx="7">
                  <c:v>1.5776619463301778</c:v>
                </c:pt>
                <c:pt idx="8">
                  <c:v>-2.6640844653169626</c:v>
                </c:pt>
                <c:pt idx="9">
                  <c:v>4.3546804978494613</c:v>
                </c:pt>
                <c:pt idx="10">
                  <c:v>0.64328180532369217</c:v>
                </c:pt>
                <c:pt idx="11">
                  <c:v>3.5263491484697873</c:v>
                </c:pt>
                <c:pt idx="12">
                  <c:v>3.341744527040813</c:v>
                </c:pt>
                <c:pt idx="13">
                  <c:v>2.1297893206181584</c:v>
                </c:pt>
                <c:pt idx="14">
                  <c:v>2.9845148334339378</c:v>
                </c:pt>
                <c:pt idx="15">
                  <c:v>1.2756148631418718</c:v>
                </c:pt>
                <c:pt idx="16">
                  <c:v>4.921989863799503</c:v>
                </c:pt>
                <c:pt idx="17">
                  <c:v>8.4336968131777823</c:v>
                </c:pt>
                <c:pt idx="18">
                  <c:v>6.4491564240008792</c:v>
                </c:pt>
                <c:pt idx="19">
                  <c:v>4.3598193773271454</c:v>
                </c:pt>
                <c:pt idx="20">
                  <c:v>6.9535996978195236</c:v>
                </c:pt>
                <c:pt idx="21">
                  <c:v>5.2840707988459634</c:v>
                </c:pt>
                <c:pt idx="22">
                  <c:v>2.1663512345944547</c:v>
                </c:pt>
                <c:pt idx="23">
                  <c:v>2.2237924621677507</c:v>
                </c:pt>
                <c:pt idx="24">
                  <c:v>3.6818691779935797</c:v>
                </c:pt>
                <c:pt idx="25">
                  <c:v>2.9782975898380748</c:v>
                </c:pt>
                <c:pt idx="26">
                  <c:v>2.8042263083702501</c:v>
                </c:pt>
                <c:pt idx="27">
                  <c:v>3.4449658154747986</c:v>
                </c:pt>
                <c:pt idx="28">
                  <c:v>3.7608474431254812</c:v>
                </c:pt>
                <c:pt idx="29">
                  <c:v>1.1819196021986222</c:v>
                </c:pt>
                <c:pt idx="30">
                  <c:v>5.0424525943931542</c:v>
                </c:pt>
                <c:pt idx="31">
                  <c:v>2.245280365268254</c:v>
                </c:pt>
                <c:pt idx="32">
                  <c:v>7.5277707241666825</c:v>
                </c:pt>
                <c:pt idx="33">
                  <c:v>3.5064074299009818</c:v>
                </c:pt>
                <c:pt idx="34">
                  <c:v>2.6604225886440958</c:v>
                </c:pt>
                <c:pt idx="35">
                  <c:v>2.6689251349840681</c:v>
                </c:pt>
                <c:pt idx="36">
                  <c:v>14.88590064649804</c:v>
                </c:pt>
                <c:pt idx="37">
                  <c:v>5.9426359478342405</c:v>
                </c:pt>
                <c:pt idx="38">
                  <c:v>4.6523494983492952</c:v>
                </c:pt>
              </c:numCache>
            </c:numRef>
          </c:val>
          <c:smooth val="0"/>
          <c:extLst>
            <c:ext xmlns:c16="http://schemas.microsoft.com/office/drawing/2014/chart" uri="{C3380CC4-5D6E-409C-BE32-E72D297353CC}">
              <c16:uniqueId val="{00000003-66CE-49D3-99ED-3DDCF5448D71}"/>
            </c:ext>
          </c:extLst>
        </c:ser>
        <c:dLbls>
          <c:showLegendKey val="0"/>
          <c:showVal val="0"/>
          <c:showCatName val="0"/>
          <c:showSerName val="0"/>
          <c:showPercent val="0"/>
          <c:showBubbleSize val="0"/>
        </c:dLbls>
        <c:marker val="1"/>
        <c:smooth val="0"/>
        <c:axId val="591533720"/>
        <c:axId val="591543232"/>
      </c:lineChart>
      <c:catAx>
        <c:axId val="591533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543232"/>
        <c:crosses val="autoZero"/>
        <c:auto val="1"/>
        <c:lblAlgn val="ctr"/>
        <c:lblOffset val="100"/>
        <c:noMultiLvlLbl val="0"/>
      </c:catAx>
      <c:valAx>
        <c:axId val="59154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533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Federal Grants to States,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'[download (13).xls]Sheet0'!$A$24:$B$24</c:f>
              <c:strCache>
                <c:ptCount val="2"/>
                <c:pt idx="0">
                  <c:v>14</c:v>
                </c:pt>
                <c:pt idx="1">
                  <c:v>Medicaid, Hutchins estimate using FMAP</c:v>
                </c:pt>
              </c:strCache>
            </c:strRef>
          </c:tx>
          <c:spPr>
            <a:ln w="28575" cap="rnd">
              <a:solidFill>
                <a:schemeClr val="accent1"/>
              </a:solidFill>
              <a:round/>
            </a:ln>
            <a:effectLst/>
          </c:spPr>
          <c:marker>
            <c:symbol val="none"/>
          </c:marker>
          <c:cat>
            <c:multiLvlStrRef>
              <c:f>'[download (13).xls]Sheet0'!$C$6:$DD$7</c:f>
              <c:multiLvlStrCache>
                <c:ptCount val="106"/>
                <c:lvl>
                  <c:pt idx="0">
                    <c:v>Q1</c:v>
                  </c:pt>
                  <c:pt idx="1">
                    <c:v>Q2</c:v>
                  </c:pt>
                  <c:pt idx="2">
                    <c:v>Q3</c:v>
                  </c:pt>
                  <c:pt idx="3">
                    <c:v>Q4</c:v>
                  </c:pt>
                  <c:pt idx="4">
                    <c:v>Q1</c:v>
                  </c:pt>
                  <c:pt idx="5">
                    <c:v>Q2</c:v>
                  </c:pt>
                  <c:pt idx="6">
                    <c:v>Q3</c:v>
                  </c:pt>
                  <c:pt idx="7">
                    <c:v>Q4</c:v>
                  </c:pt>
                  <c:pt idx="8">
                    <c:v>Q1</c:v>
                  </c:pt>
                  <c:pt idx="9">
                    <c:v>Q2</c:v>
                  </c:pt>
                  <c:pt idx="10">
                    <c:v>Q3</c:v>
                  </c:pt>
                  <c:pt idx="11">
                    <c:v>Q4</c:v>
                  </c:pt>
                  <c:pt idx="12">
                    <c:v>Q1</c:v>
                  </c:pt>
                  <c:pt idx="13">
                    <c:v>Q2</c:v>
                  </c:pt>
                  <c:pt idx="14">
                    <c:v>Q3</c:v>
                  </c:pt>
                  <c:pt idx="15">
                    <c:v>Q4</c:v>
                  </c:pt>
                  <c:pt idx="16">
                    <c:v>Q1</c:v>
                  </c:pt>
                  <c:pt idx="17">
                    <c:v>Q2</c:v>
                  </c:pt>
                  <c:pt idx="18">
                    <c:v>Q3</c:v>
                  </c:pt>
                  <c:pt idx="19">
                    <c:v>Q4</c:v>
                  </c:pt>
                  <c:pt idx="20">
                    <c:v>Q1</c:v>
                  </c:pt>
                  <c:pt idx="21">
                    <c:v>Q2</c:v>
                  </c:pt>
                  <c:pt idx="22">
                    <c:v>Q3</c:v>
                  </c:pt>
                  <c:pt idx="23">
                    <c:v>Q4</c:v>
                  </c:pt>
                  <c:pt idx="24">
                    <c:v>Q1</c:v>
                  </c:pt>
                  <c:pt idx="25">
                    <c:v>Q2</c:v>
                  </c:pt>
                  <c:pt idx="26">
                    <c:v>Q3</c:v>
                  </c:pt>
                  <c:pt idx="27">
                    <c:v>Q4</c:v>
                  </c:pt>
                  <c:pt idx="28">
                    <c:v>Q1</c:v>
                  </c:pt>
                  <c:pt idx="29">
                    <c:v>Q2</c:v>
                  </c:pt>
                  <c:pt idx="30">
                    <c:v>Q3</c:v>
                  </c:pt>
                  <c:pt idx="31">
                    <c:v>Q4</c:v>
                  </c:pt>
                  <c:pt idx="32">
                    <c:v>Q1</c:v>
                  </c:pt>
                  <c:pt idx="33">
                    <c:v>Q2</c:v>
                  </c:pt>
                  <c:pt idx="34">
                    <c:v>Q3</c:v>
                  </c:pt>
                  <c:pt idx="35">
                    <c:v>Q4</c:v>
                  </c:pt>
                  <c:pt idx="36">
                    <c:v>Q1</c:v>
                  </c:pt>
                  <c:pt idx="37">
                    <c:v>Q2</c:v>
                  </c:pt>
                  <c:pt idx="38">
                    <c:v>Q3</c:v>
                  </c:pt>
                  <c:pt idx="39">
                    <c:v>Q4</c:v>
                  </c:pt>
                  <c:pt idx="40">
                    <c:v>Q1</c:v>
                  </c:pt>
                  <c:pt idx="41">
                    <c:v>Q2</c:v>
                  </c:pt>
                  <c:pt idx="42">
                    <c:v>Q3</c:v>
                  </c:pt>
                  <c:pt idx="43">
                    <c:v>Q4</c:v>
                  </c:pt>
                  <c:pt idx="44">
                    <c:v>Q1</c:v>
                  </c:pt>
                  <c:pt idx="45">
                    <c:v>Q2</c:v>
                  </c:pt>
                  <c:pt idx="46">
                    <c:v>Q3</c:v>
                  </c:pt>
                  <c:pt idx="47">
                    <c:v>Q4</c:v>
                  </c:pt>
                  <c:pt idx="48">
                    <c:v>Q1</c:v>
                  </c:pt>
                  <c:pt idx="49">
                    <c:v>Q2</c:v>
                  </c:pt>
                  <c:pt idx="50">
                    <c:v>Q3</c:v>
                  </c:pt>
                  <c:pt idx="51">
                    <c:v>Q4</c:v>
                  </c:pt>
                  <c:pt idx="52">
                    <c:v>Q1</c:v>
                  </c:pt>
                  <c:pt idx="53">
                    <c:v>Q2</c:v>
                  </c:pt>
                  <c:pt idx="54">
                    <c:v>Q3</c:v>
                  </c:pt>
                  <c:pt idx="55">
                    <c:v>Q4</c:v>
                  </c:pt>
                  <c:pt idx="56">
                    <c:v>Q1</c:v>
                  </c:pt>
                  <c:pt idx="57">
                    <c:v>Q2</c:v>
                  </c:pt>
                  <c:pt idx="58">
                    <c:v>Q3</c:v>
                  </c:pt>
                  <c:pt idx="59">
                    <c:v>Q4</c:v>
                  </c:pt>
                  <c:pt idx="60">
                    <c:v>Q1</c:v>
                  </c:pt>
                  <c:pt idx="61">
                    <c:v>Q2</c:v>
                  </c:pt>
                  <c:pt idx="62">
                    <c:v>Q3</c:v>
                  </c:pt>
                  <c:pt idx="63">
                    <c:v>Q4</c:v>
                  </c:pt>
                  <c:pt idx="64">
                    <c:v>Q1</c:v>
                  </c:pt>
                  <c:pt idx="65">
                    <c:v>Q2</c:v>
                  </c:pt>
                  <c:pt idx="66">
                    <c:v>Q3</c:v>
                  </c:pt>
                  <c:pt idx="67">
                    <c:v>Q4</c:v>
                  </c:pt>
                  <c:pt idx="68">
                    <c:v>Q1</c:v>
                  </c:pt>
                  <c:pt idx="69">
                    <c:v>Q2</c:v>
                  </c:pt>
                  <c:pt idx="70">
                    <c:v>Q3</c:v>
                  </c:pt>
                  <c:pt idx="71">
                    <c:v>Q4</c:v>
                  </c:pt>
                  <c:pt idx="72">
                    <c:v>Q1</c:v>
                  </c:pt>
                  <c:pt idx="73">
                    <c:v>Q2</c:v>
                  </c:pt>
                  <c:pt idx="74">
                    <c:v>Q3</c:v>
                  </c:pt>
                  <c:pt idx="75">
                    <c:v>Q4</c:v>
                  </c:pt>
                  <c:pt idx="76">
                    <c:v>Q1</c:v>
                  </c:pt>
                  <c:pt idx="77">
                    <c:v>Q2</c:v>
                  </c:pt>
                  <c:pt idx="78">
                    <c:v>Q3</c:v>
                  </c:pt>
                  <c:pt idx="79">
                    <c:v>Q4</c:v>
                  </c:pt>
                  <c:pt idx="80">
                    <c:v>Q1</c:v>
                  </c:pt>
                  <c:pt idx="81">
                    <c:v>Q2</c:v>
                  </c:pt>
                  <c:pt idx="82">
                    <c:v>Q3</c:v>
                  </c:pt>
                  <c:pt idx="83">
                    <c:v>Q4</c:v>
                  </c:pt>
                  <c:pt idx="84">
                    <c:v>Q1</c:v>
                  </c:pt>
                  <c:pt idx="85">
                    <c:v>Q2</c:v>
                  </c:pt>
                  <c:pt idx="86">
                    <c:v>Q3</c:v>
                  </c:pt>
                  <c:pt idx="87">
                    <c:v>Q4</c:v>
                  </c:pt>
                  <c:pt idx="88">
                    <c:v>Q1</c:v>
                  </c:pt>
                  <c:pt idx="89">
                    <c:v>Q2</c:v>
                  </c:pt>
                  <c:pt idx="90">
                    <c:v>Q3</c:v>
                  </c:pt>
                  <c:pt idx="91">
                    <c:v>Q4</c:v>
                  </c:pt>
                  <c:pt idx="92">
                    <c:v>Q1</c:v>
                  </c:pt>
                  <c:pt idx="93">
                    <c:v>Q2</c:v>
                  </c:pt>
                  <c:pt idx="94">
                    <c:v>Q3</c:v>
                  </c:pt>
                  <c:pt idx="95">
                    <c:v>Q4</c:v>
                  </c:pt>
                  <c:pt idx="96">
                    <c:v>Q1</c:v>
                  </c:pt>
                  <c:pt idx="97">
                    <c:v>Q2</c:v>
                  </c:pt>
                  <c:pt idx="98">
                    <c:v>Q3</c:v>
                  </c:pt>
                  <c:pt idx="99">
                    <c:v>Q4</c:v>
                  </c:pt>
                  <c:pt idx="100">
                    <c:v>Q1</c:v>
                  </c:pt>
                  <c:pt idx="101">
                    <c:v>Q2</c:v>
                  </c:pt>
                  <c:pt idx="102">
                    <c:v>Q3</c:v>
                  </c:pt>
                  <c:pt idx="103">
                    <c:v>Q4</c:v>
                  </c:pt>
                  <c:pt idx="104">
                    <c:v>Q1</c:v>
                  </c:pt>
                  <c:pt idx="105">
                    <c:v>Q2</c:v>
                  </c:pt>
                </c:lvl>
                <c:lvl>
                  <c:pt idx="0">
                    <c:v>1993</c:v>
                  </c:pt>
                  <c:pt idx="4">
                    <c:v>1994</c:v>
                  </c:pt>
                  <c:pt idx="8">
                    <c:v>1995</c:v>
                  </c:pt>
                  <c:pt idx="12">
                    <c:v>1996</c:v>
                  </c:pt>
                  <c:pt idx="16">
                    <c:v>1997</c:v>
                  </c:pt>
                  <c:pt idx="20">
                    <c:v>1998</c:v>
                  </c:pt>
                  <c:pt idx="24">
                    <c:v>1999</c:v>
                  </c:pt>
                  <c:pt idx="28">
                    <c:v>2000</c:v>
                  </c:pt>
                  <c:pt idx="32">
                    <c:v>2001</c:v>
                  </c:pt>
                  <c:pt idx="36">
                    <c:v>2002</c:v>
                  </c:pt>
                  <c:pt idx="40">
                    <c:v>2003</c:v>
                  </c:pt>
                  <c:pt idx="44">
                    <c:v>2004</c:v>
                  </c:pt>
                  <c:pt idx="48">
                    <c:v>2005</c:v>
                  </c:pt>
                  <c:pt idx="52">
                    <c:v>2006</c:v>
                  </c:pt>
                  <c:pt idx="56">
                    <c:v>2007</c:v>
                  </c:pt>
                  <c:pt idx="60">
                    <c:v>2008</c:v>
                  </c:pt>
                  <c:pt idx="64">
                    <c:v>2009</c:v>
                  </c:pt>
                  <c:pt idx="68">
                    <c:v>2010</c:v>
                  </c:pt>
                  <c:pt idx="72">
                    <c:v>2011</c:v>
                  </c:pt>
                  <c:pt idx="76">
                    <c:v>2012</c:v>
                  </c:pt>
                  <c:pt idx="80">
                    <c:v>2013</c:v>
                  </c:pt>
                  <c:pt idx="84">
                    <c:v>2014</c:v>
                  </c:pt>
                  <c:pt idx="88">
                    <c:v>2015</c:v>
                  </c:pt>
                  <c:pt idx="92">
                    <c:v>2016</c:v>
                  </c:pt>
                  <c:pt idx="96">
                    <c:v>2017</c:v>
                  </c:pt>
                  <c:pt idx="100">
                    <c:v>2018</c:v>
                  </c:pt>
                  <c:pt idx="104">
                    <c:v>2019</c:v>
                  </c:pt>
                </c:lvl>
              </c:multiLvlStrCache>
            </c:multiLvlStrRef>
          </c:cat>
          <c:val>
            <c:numRef>
              <c:f>'[download (13).xls]Sheet0'!$C$24:$DD$24</c:f>
              <c:numCache>
                <c:formatCode>0</c:formatCode>
                <c:ptCount val="106"/>
                <c:pt idx="0">
                  <c:v>78235.790583599999</c:v>
                </c:pt>
                <c:pt idx="1">
                  <c:v>78487.352611199996</c:v>
                </c:pt>
                <c:pt idx="2">
                  <c:v>85027.965328799997</c:v>
                </c:pt>
                <c:pt idx="3">
                  <c:v>85531.089383999992</c:v>
                </c:pt>
                <c:pt idx="4">
                  <c:v>82370.163765799996</c:v>
                </c:pt>
                <c:pt idx="5">
                  <c:v>82671.665097299992</c:v>
                </c:pt>
                <c:pt idx="6">
                  <c:v>82128.962700599994</c:v>
                </c:pt>
                <c:pt idx="7">
                  <c:v>89123.793591399997</c:v>
                </c:pt>
                <c:pt idx="8">
                  <c:v>90476.539712500002</c:v>
                </c:pt>
                <c:pt idx="9">
                  <c:v>90476.539712500002</c:v>
                </c:pt>
                <c:pt idx="10">
                  <c:v>90595.197469499995</c:v>
                </c:pt>
                <c:pt idx="11">
                  <c:v>83475.732049500002</c:v>
                </c:pt>
                <c:pt idx="12">
                  <c:v>90578.160655800006</c:v>
                </c:pt>
                <c:pt idx="13">
                  <c:v>99258.817162799998</c:v>
                </c:pt>
                <c:pt idx="14">
                  <c:v>95068.155400799995</c:v>
                </c:pt>
                <c:pt idx="15">
                  <c:v>93930.690065400006</c:v>
                </c:pt>
                <c:pt idx="16">
                  <c:v>95279.271845399999</c:v>
                </c:pt>
                <c:pt idx="17">
                  <c:v>94098.611723399998</c:v>
                </c:pt>
                <c:pt idx="18">
                  <c:v>96637.030985699996</c:v>
                </c:pt>
                <c:pt idx="19">
                  <c:v>99175.450248000008</c:v>
                </c:pt>
                <c:pt idx="20">
                  <c:v>97633.343623200009</c:v>
                </c:pt>
                <c:pt idx="21">
                  <c:v>99268.351769999994</c:v>
                </c:pt>
                <c:pt idx="22">
                  <c:v>98158.881956099998</c:v>
                </c:pt>
                <c:pt idx="23">
                  <c:v>102421.5817674</c:v>
                </c:pt>
                <c:pt idx="24">
                  <c:v>105957.68918500001</c:v>
                </c:pt>
                <c:pt idx="25">
                  <c:v>104787.532485</c:v>
                </c:pt>
                <c:pt idx="26">
                  <c:v>109234.127945</c:v>
                </c:pt>
                <c:pt idx="27">
                  <c:v>111925.48835499999</c:v>
                </c:pt>
                <c:pt idx="28">
                  <c:v>111228.58968059999</c:v>
                </c:pt>
                <c:pt idx="29">
                  <c:v>115965.45390990001</c:v>
                </c:pt>
                <c:pt idx="30">
                  <c:v>119766.6412544</c:v>
                </c:pt>
                <c:pt idx="31">
                  <c:v>119766.6412544</c:v>
                </c:pt>
                <c:pt idx="32">
                  <c:v>127254.565285</c:v>
                </c:pt>
                <c:pt idx="33">
                  <c:v>136191.9789399</c:v>
                </c:pt>
                <c:pt idx="34">
                  <c:v>128675.0813626</c:v>
                </c:pt>
                <c:pt idx="35">
                  <c:v>145898.83880350002</c:v>
                </c:pt>
                <c:pt idx="36">
                  <c:v>143981.90432900001</c:v>
                </c:pt>
                <c:pt idx="37">
                  <c:v>143335.19099800001</c:v>
                </c:pt>
                <c:pt idx="38">
                  <c:v>147627.015831</c:v>
                </c:pt>
                <c:pt idx="39">
                  <c:v>153035.89096300001</c:v>
                </c:pt>
                <c:pt idx="40">
                  <c:v>156466.02945270002</c:v>
                </c:pt>
                <c:pt idx="41">
                  <c:v>156105.92351610001</c:v>
                </c:pt>
                <c:pt idx="42">
                  <c:v>163067.9716237</c:v>
                </c:pt>
                <c:pt idx="43">
                  <c:v>159466.91225769999</c:v>
                </c:pt>
                <c:pt idx="44">
                  <c:v>168663.47745519999</c:v>
                </c:pt>
                <c:pt idx="45">
                  <c:v>174376.848604</c:v>
                </c:pt>
                <c:pt idx="46">
                  <c:v>171579.67731240002</c:v>
                </c:pt>
                <c:pt idx="47">
                  <c:v>175269.56284600002</c:v>
                </c:pt>
                <c:pt idx="48">
                  <c:v>173760.62836240002</c:v>
                </c:pt>
                <c:pt idx="49">
                  <c:v>179239.30731839998</c:v>
                </c:pt>
                <c:pt idx="50">
                  <c:v>173068.58470480001</c:v>
                </c:pt>
                <c:pt idx="51">
                  <c:v>176125.11085919998</c:v>
                </c:pt>
                <c:pt idx="52">
                  <c:v>166156.37489970002</c:v>
                </c:pt>
                <c:pt idx="53">
                  <c:v>168209.80074810001</c:v>
                </c:pt>
                <c:pt idx="54">
                  <c:v>176081.2665003</c:v>
                </c:pt>
                <c:pt idx="55">
                  <c:v>171917.37519660001</c:v>
                </c:pt>
                <c:pt idx="56">
                  <c:v>190459.87362500001</c:v>
                </c:pt>
                <c:pt idx="57">
                  <c:v>180263.82625499999</c:v>
                </c:pt>
                <c:pt idx="58">
                  <c:v>183070.60334</c:v>
                </c:pt>
                <c:pt idx="59">
                  <c:v>188970.56333500001</c:v>
                </c:pt>
                <c:pt idx="60">
                  <c:v>196686.39056879998</c:v>
                </c:pt>
                <c:pt idx="61">
                  <c:v>201194.28130559999</c:v>
                </c:pt>
                <c:pt idx="62">
                  <c:v>202143.31093440001</c:v>
                </c:pt>
                <c:pt idx="63">
                  <c:v>202736.45445240001</c:v>
                </c:pt>
                <c:pt idx="64">
                  <c:v>237190.24645120002</c:v>
                </c:pt>
                <c:pt idx="65">
                  <c:v>244139.17945270002</c:v>
                </c:pt>
                <c:pt idx="66">
                  <c:v>250293.94868259999</c:v>
                </c:pt>
                <c:pt idx="67">
                  <c:v>246720.21171040001</c:v>
                </c:pt>
                <c:pt idx="68">
                  <c:v>256513.88163280001</c:v>
                </c:pt>
                <c:pt idx="69">
                  <c:v>258930.6572776</c:v>
                </c:pt>
                <c:pt idx="70">
                  <c:v>272290.05598080001</c:v>
                </c:pt>
                <c:pt idx="71">
                  <c:v>277996.33180879999</c:v>
                </c:pt>
                <c:pt idx="72">
                  <c:v>255557.95991520002</c:v>
                </c:pt>
                <c:pt idx="73">
                  <c:v>250005.00519880001</c:v>
                </c:pt>
                <c:pt idx="74">
                  <c:v>241889.14830560001</c:v>
                </c:pt>
                <c:pt idx="75">
                  <c:v>243658.77123720001</c:v>
                </c:pt>
                <c:pt idx="76">
                  <c:v>231954.10364040002</c:v>
                </c:pt>
                <c:pt idx="77">
                  <c:v>244171.35672780001</c:v>
                </c:pt>
                <c:pt idx="78">
                  <c:v>242608.01154599999</c:v>
                </c:pt>
                <c:pt idx="79">
                  <c:v>248340.27721259999</c:v>
                </c:pt>
                <c:pt idx="80">
                  <c:v>246531.63796560001</c:v>
                </c:pt>
                <c:pt idx="81">
                  <c:v>254424.36460479998</c:v>
                </c:pt>
                <c:pt idx="82">
                  <c:v>260111.77056539999</c:v>
                </c:pt>
                <c:pt idx="83">
                  <c:v>260343.90958419998</c:v>
                </c:pt>
                <c:pt idx="84">
                  <c:v>283178.25635550002</c:v>
                </c:pt>
                <c:pt idx="85">
                  <c:v>296736.30127349996</c:v>
                </c:pt>
                <c:pt idx="86">
                  <c:v>312574.5628368</c:v>
                </c:pt>
                <c:pt idx="87">
                  <c:v>317566.38846570003</c:v>
                </c:pt>
                <c:pt idx="88">
                  <c:v>332133.7465292</c:v>
                </c:pt>
                <c:pt idx="89">
                  <c:v>341204.6261613</c:v>
                </c:pt>
                <c:pt idx="90">
                  <c:v>342790.44427879999</c:v>
                </c:pt>
                <c:pt idx="91">
                  <c:v>343615.06969989999</c:v>
                </c:pt>
                <c:pt idx="92">
                  <c:v>352918.97192159999</c:v>
                </c:pt>
                <c:pt idx="93">
                  <c:v>358307.04782880004</c:v>
                </c:pt>
                <c:pt idx="94">
                  <c:v>363374.40493199998</c:v>
                </c:pt>
                <c:pt idx="95">
                  <c:v>369211.4871648</c:v>
                </c:pt>
                <c:pt idx="96">
                  <c:v>360927.30141359998</c:v>
                </c:pt>
                <c:pt idx="97">
                  <c:v>358282.68406200001</c:v>
                </c:pt>
                <c:pt idx="98">
                  <c:v>367538.84479260002</c:v>
                </c:pt>
                <c:pt idx="99">
                  <c:v>367727.74603200005</c:v>
                </c:pt>
                <c:pt idx="100">
                  <c:v>371379.83666039997</c:v>
                </c:pt>
                <c:pt idx="101">
                  <c:v>378054.34711919999</c:v>
                </c:pt>
                <c:pt idx="102">
                  <c:v>379628.52411419997</c:v>
                </c:pt>
                <c:pt idx="103">
                  <c:v>376291.26888479997</c:v>
                </c:pt>
                <c:pt idx="104">
                  <c:v>384288.08801940002</c:v>
                </c:pt>
                <c:pt idx="105">
                  <c:v>397574.14185720001</c:v>
                </c:pt>
              </c:numCache>
            </c:numRef>
          </c:val>
          <c:smooth val="0"/>
          <c:extLst>
            <c:ext xmlns:c16="http://schemas.microsoft.com/office/drawing/2014/chart" uri="{C3380CC4-5D6E-409C-BE32-E72D297353CC}">
              <c16:uniqueId val="{00000000-130B-4088-A71D-181217973F44}"/>
            </c:ext>
          </c:extLst>
        </c:ser>
        <c:ser>
          <c:idx val="1"/>
          <c:order val="1"/>
          <c:tx>
            <c:strRef>
              <c:f>'[download (13).xls]Sheet0'!$A$25:$B$25</c:f>
              <c:strCache>
                <c:ptCount val="2"/>
                <c:pt idx="0">
                  <c:v>15</c:v>
                </c:pt>
                <c:pt idx="1">
                  <c:v>    Medicaid, BEA 3.24U (15)</c:v>
                </c:pt>
              </c:strCache>
            </c:strRef>
          </c:tx>
          <c:spPr>
            <a:ln w="28575" cap="rnd">
              <a:solidFill>
                <a:schemeClr val="accent2"/>
              </a:solidFill>
              <a:round/>
            </a:ln>
            <a:effectLst/>
          </c:spPr>
          <c:marker>
            <c:symbol val="none"/>
          </c:marker>
          <c:cat>
            <c:multiLvlStrRef>
              <c:f>'[download (13).xls]Sheet0'!$C$6:$DD$7</c:f>
              <c:multiLvlStrCache>
                <c:ptCount val="106"/>
                <c:lvl>
                  <c:pt idx="0">
                    <c:v>Q1</c:v>
                  </c:pt>
                  <c:pt idx="1">
                    <c:v>Q2</c:v>
                  </c:pt>
                  <c:pt idx="2">
                    <c:v>Q3</c:v>
                  </c:pt>
                  <c:pt idx="3">
                    <c:v>Q4</c:v>
                  </c:pt>
                  <c:pt idx="4">
                    <c:v>Q1</c:v>
                  </c:pt>
                  <c:pt idx="5">
                    <c:v>Q2</c:v>
                  </c:pt>
                  <c:pt idx="6">
                    <c:v>Q3</c:v>
                  </c:pt>
                  <c:pt idx="7">
                    <c:v>Q4</c:v>
                  </c:pt>
                  <c:pt idx="8">
                    <c:v>Q1</c:v>
                  </c:pt>
                  <c:pt idx="9">
                    <c:v>Q2</c:v>
                  </c:pt>
                  <c:pt idx="10">
                    <c:v>Q3</c:v>
                  </c:pt>
                  <c:pt idx="11">
                    <c:v>Q4</c:v>
                  </c:pt>
                  <c:pt idx="12">
                    <c:v>Q1</c:v>
                  </c:pt>
                  <c:pt idx="13">
                    <c:v>Q2</c:v>
                  </c:pt>
                  <c:pt idx="14">
                    <c:v>Q3</c:v>
                  </c:pt>
                  <c:pt idx="15">
                    <c:v>Q4</c:v>
                  </c:pt>
                  <c:pt idx="16">
                    <c:v>Q1</c:v>
                  </c:pt>
                  <c:pt idx="17">
                    <c:v>Q2</c:v>
                  </c:pt>
                  <c:pt idx="18">
                    <c:v>Q3</c:v>
                  </c:pt>
                  <c:pt idx="19">
                    <c:v>Q4</c:v>
                  </c:pt>
                  <c:pt idx="20">
                    <c:v>Q1</c:v>
                  </c:pt>
                  <c:pt idx="21">
                    <c:v>Q2</c:v>
                  </c:pt>
                  <c:pt idx="22">
                    <c:v>Q3</c:v>
                  </c:pt>
                  <c:pt idx="23">
                    <c:v>Q4</c:v>
                  </c:pt>
                  <c:pt idx="24">
                    <c:v>Q1</c:v>
                  </c:pt>
                  <c:pt idx="25">
                    <c:v>Q2</c:v>
                  </c:pt>
                  <c:pt idx="26">
                    <c:v>Q3</c:v>
                  </c:pt>
                  <c:pt idx="27">
                    <c:v>Q4</c:v>
                  </c:pt>
                  <c:pt idx="28">
                    <c:v>Q1</c:v>
                  </c:pt>
                  <c:pt idx="29">
                    <c:v>Q2</c:v>
                  </c:pt>
                  <c:pt idx="30">
                    <c:v>Q3</c:v>
                  </c:pt>
                  <c:pt idx="31">
                    <c:v>Q4</c:v>
                  </c:pt>
                  <c:pt idx="32">
                    <c:v>Q1</c:v>
                  </c:pt>
                  <c:pt idx="33">
                    <c:v>Q2</c:v>
                  </c:pt>
                  <c:pt idx="34">
                    <c:v>Q3</c:v>
                  </c:pt>
                  <c:pt idx="35">
                    <c:v>Q4</c:v>
                  </c:pt>
                  <c:pt idx="36">
                    <c:v>Q1</c:v>
                  </c:pt>
                  <c:pt idx="37">
                    <c:v>Q2</c:v>
                  </c:pt>
                  <c:pt idx="38">
                    <c:v>Q3</c:v>
                  </c:pt>
                  <c:pt idx="39">
                    <c:v>Q4</c:v>
                  </c:pt>
                  <c:pt idx="40">
                    <c:v>Q1</c:v>
                  </c:pt>
                  <c:pt idx="41">
                    <c:v>Q2</c:v>
                  </c:pt>
                  <c:pt idx="42">
                    <c:v>Q3</c:v>
                  </c:pt>
                  <c:pt idx="43">
                    <c:v>Q4</c:v>
                  </c:pt>
                  <c:pt idx="44">
                    <c:v>Q1</c:v>
                  </c:pt>
                  <c:pt idx="45">
                    <c:v>Q2</c:v>
                  </c:pt>
                  <c:pt idx="46">
                    <c:v>Q3</c:v>
                  </c:pt>
                  <c:pt idx="47">
                    <c:v>Q4</c:v>
                  </c:pt>
                  <c:pt idx="48">
                    <c:v>Q1</c:v>
                  </c:pt>
                  <c:pt idx="49">
                    <c:v>Q2</c:v>
                  </c:pt>
                  <c:pt idx="50">
                    <c:v>Q3</c:v>
                  </c:pt>
                  <c:pt idx="51">
                    <c:v>Q4</c:v>
                  </c:pt>
                  <c:pt idx="52">
                    <c:v>Q1</c:v>
                  </c:pt>
                  <c:pt idx="53">
                    <c:v>Q2</c:v>
                  </c:pt>
                  <c:pt idx="54">
                    <c:v>Q3</c:v>
                  </c:pt>
                  <c:pt idx="55">
                    <c:v>Q4</c:v>
                  </c:pt>
                  <c:pt idx="56">
                    <c:v>Q1</c:v>
                  </c:pt>
                  <c:pt idx="57">
                    <c:v>Q2</c:v>
                  </c:pt>
                  <c:pt idx="58">
                    <c:v>Q3</c:v>
                  </c:pt>
                  <c:pt idx="59">
                    <c:v>Q4</c:v>
                  </c:pt>
                  <c:pt idx="60">
                    <c:v>Q1</c:v>
                  </c:pt>
                  <c:pt idx="61">
                    <c:v>Q2</c:v>
                  </c:pt>
                  <c:pt idx="62">
                    <c:v>Q3</c:v>
                  </c:pt>
                  <c:pt idx="63">
                    <c:v>Q4</c:v>
                  </c:pt>
                  <c:pt idx="64">
                    <c:v>Q1</c:v>
                  </c:pt>
                  <c:pt idx="65">
                    <c:v>Q2</c:v>
                  </c:pt>
                  <c:pt idx="66">
                    <c:v>Q3</c:v>
                  </c:pt>
                  <c:pt idx="67">
                    <c:v>Q4</c:v>
                  </c:pt>
                  <c:pt idx="68">
                    <c:v>Q1</c:v>
                  </c:pt>
                  <c:pt idx="69">
                    <c:v>Q2</c:v>
                  </c:pt>
                  <c:pt idx="70">
                    <c:v>Q3</c:v>
                  </c:pt>
                  <c:pt idx="71">
                    <c:v>Q4</c:v>
                  </c:pt>
                  <c:pt idx="72">
                    <c:v>Q1</c:v>
                  </c:pt>
                  <c:pt idx="73">
                    <c:v>Q2</c:v>
                  </c:pt>
                  <c:pt idx="74">
                    <c:v>Q3</c:v>
                  </c:pt>
                  <c:pt idx="75">
                    <c:v>Q4</c:v>
                  </c:pt>
                  <c:pt idx="76">
                    <c:v>Q1</c:v>
                  </c:pt>
                  <c:pt idx="77">
                    <c:v>Q2</c:v>
                  </c:pt>
                  <c:pt idx="78">
                    <c:v>Q3</c:v>
                  </c:pt>
                  <c:pt idx="79">
                    <c:v>Q4</c:v>
                  </c:pt>
                  <c:pt idx="80">
                    <c:v>Q1</c:v>
                  </c:pt>
                  <c:pt idx="81">
                    <c:v>Q2</c:v>
                  </c:pt>
                  <c:pt idx="82">
                    <c:v>Q3</c:v>
                  </c:pt>
                  <c:pt idx="83">
                    <c:v>Q4</c:v>
                  </c:pt>
                  <c:pt idx="84">
                    <c:v>Q1</c:v>
                  </c:pt>
                  <c:pt idx="85">
                    <c:v>Q2</c:v>
                  </c:pt>
                  <c:pt idx="86">
                    <c:v>Q3</c:v>
                  </c:pt>
                  <c:pt idx="87">
                    <c:v>Q4</c:v>
                  </c:pt>
                  <c:pt idx="88">
                    <c:v>Q1</c:v>
                  </c:pt>
                  <c:pt idx="89">
                    <c:v>Q2</c:v>
                  </c:pt>
                  <c:pt idx="90">
                    <c:v>Q3</c:v>
                  </c:pt>
                  <c:pt idx="91">
                    <c:v>Q4</c:v>
                  </c:pt>
                  <c:pt idx="92">
                    <c:v>Q1</c:v>
                  </c:pt>
                  <c:pt idx="93">
                    <c:v>Q2</c:v>
                  </c:pt>
                  <c:pt idx="94">
                    <c:v>Q3</c:v>
                  </c:pt>
                  <c:pt idx="95">
                    <c:v>Q4</c:v>
                  </c:pt>
                  <c:pt idx="96">
                    <c:v>Q1</c:v>
                  </c:pt>
                  <c:pt idx="97">
                    <c:v>Q2</c:v>
                  </c:pt>
                  <c:pt idx="98">
                    <c:v>Q3</c:v>
                  </c:pt>
                  <c:pt idx="99">
                    <c:v>Q4</c:v>
                  </c:pt>
                  <c:pt idx="100">
                    <c:v>Q1</c:v>
                  </c:pt>
                  <c:pt idx="101">
                    <c:v>Q2</c:v>
                  </c:pt>
                  <c:pt idx="102">
                    <c:v>Q3</c:v>
                  </c:pt>
                  <c:pt idx="103">
                    <c:v>Q4</c:v>
                  </c:pt>
                  <c:pt idx="104">
                    <c:v>Q1</c:v>
                  </c:pt>
                  <c:pt idx="105">
                    <c:v>Q2</c:v>
                  </c:pt>
                </c:lvl>
                <c:lvl>
                  <c:pt idx="0">
                    <c:v>1993</c:v>
                  </c:pt>
                  <c:pt idx="4">
                    <c:v>1994</c:v>
                  </c:pt>
                  <c:pt idx="8">
                    <c:v>1995</c:v>
                  </c:pt>
                  <c:pt idx="12">
                    <c:v>1996</c:v>
                  </c:pt>
                  <c:pt idx="16">
                    <c:v>1997</c:v>
                  </c:pt>
                  <c:pt idx="20">
                    <c:v>1998</c:v>
                  </c:pt>
                  <c:pt idx="24">
                    <c:v>1999</c:v>
                  </c:pt>
                  <c:pt idx="28">
                    <c:v>2000</c:v>
                  </c:pt>
                  <c:pt idx="32">
                    <c:v>2001</c:v>
                  </c:pt>
                  <c:pt idx="36">
                    <c:v>2002</c:v>
                  </c:pt>
                  <c:pt idx="40">
                    <c:v>2003</c:v>
                  </c:pt>
                  <c:pt idx="44">
                    <c:v>2004</c:v>
                  </c:pt>
                  <c:pt idx="48">
                    <c:v>2005</c:v>
                  </c:pt>
                  <c:pt idx="52">
                    <c:v>2006</c:v>
                  </c:pt>
                  <c:pt idx="56">
                    <c:v>2007</c:v>
                  </c:pt>
                  <c:pt idx="60">
                    <c:v>2008</c:v>
                  </c:pt>
                  <c:pt idx="64">
                    <c:v>2009</c:v>
                  </c:pt>
                  <c:pt idx="68">
                    <c:v>2010</c:v>
                  </c:pt>
                  <c:pt idx="72">
                    <c:v>2011</c:v>
                  </c:pt>
                  <c:pt idx="76">
                    <c:v>2012</c:v>
                  </c:pt>
                  <c:pt idx="80">
                    <c:v>2013</c:v>
                  </c:pt>
                  <c:pt idx="84">
                    <c:v>2014</c:v>
                  </c:pt>
                  <c:pt idx="88">
                    <c:v>2015</c:v>
                  </c:pt>
                  <c:pt idx="92">
                    <c:v>2016</c:v>
                  </c:pt>
                  <c:pt idx="96">
                    <c:v>2017</c:v>
                  </c:pt>
                  <c:pt idx="100">
                    <c:v>2018</c:v>
                  </c:pt>
                  <c:pt idx="104">
                    <c:v>2019</c:v>
                  </c:pt>
                </c:lvl>
              </c:multiLvlStrCache>
            </c:multiLvlStrRef>
          </c:cat>
          <c:val>
            <c:numRef>
              <c:f>'[download (13).xls]Sheet0'!$C$25:$DD$25</c:f>
              <c:numCache>
                <c:formatCode>General</c:formatCode>
                <c:ptCount val="106"/>
                <c:pt idx="0">
                  <c:v>73888</c:v>
                </c:pt>
                <c:pt idx="1">
                  <c:v>76036</c:v>
                </c:pt>
                <c:pt idx="2">
                  <c:v>80604</c:v>
                </c:pt>
                <c:pt idx="3">
                  <c:v>84100</c:v>
                </c:pt>
                <c:pt idx="4">
                  <c:v>78948</c:v>
                </c:pt>
                <c:pt idx="5">
                  <c:v>81772</c:v>
                </c:pt>
                <c:pt idx="6">
                  <c:v>82892</c:v>
                </c:pt>
                <c:pt idx="7">
                  <c:v>85540</c:v>
                </c:pt>
                <c:pt idx="8">
                  <c:v>90524</c:v>
                </c:pt>
                <c:pt idx="9">
                  <c:v>90540</c:v>
                </c:pt>
                <c:pt idx="10">
                  <c:v>89280</c:v>
                </c:pt>
                <c:pt idx="11">
                  <c:v>87568</c:v>
                </c:pt>
                <c:pt idx="12">
                  <c:v>88772</c:v>
                </c:pt>
                <c:pt idx="13">
                  <c:v>96376</c:v>
                </c:pt>
                <c:pt idx="14">
                  <c:v>94872</c:v>
                </c:pt>
                <c:pt idx="15">
                  <c:v>93892</c:v>
                </c:pt>
                <c:pt idx="16">
                  <c:v>95980</c:v>
                </c:pt>
                <c:pt idx="17">
                  <c:v>94924</c:v>
                </c:pt>
                <c:pt idx="18">
                  <c:v>97108</c:v>
                </c:pt>
                <c:pt idx="19">
                  <c:v>101384</c:v>
                </c:pt>
                <c:pt idx="20">
                  <c:v>99444</c:v>
                </c:pt>
                <c:pt idx="21">
                  <c:v>101608</c:v>
                </c:pt>
                <c:pt idx="22">
                  <c:v>102260</c:v>
                </c:pt>
                <c:pt idx="23">
                  <c:v>103952</c:v>
                </c:pt>
                <c:pt idx="24">
                  <c:v>107100</c:v>
                </c:pt>
                <c:pt idx="25">
                  <c:v>107208</c:v>
                </c:pt>
                <c:pt idx="26">
                  <c:v>113428</c:v>
                </c:pt>
                <c:pt idx="27">
                  <c:v>114620</c:v>
                </c:pt>
                <c:pt idx="28">
                  <c:v>114852</c:v>
                </c:pt>
                <c:pt idx="29">
                  <c:v>116168</c:v>
                </c:pt>
                <c:pt idx="30">
                  <c:v>125392</c:v>
                </c:pt>
                <c:pt idx="31">
                  <c:v>121748</c:v>
                </c:pt>
                <c:pt idx="32">
                  <c:v>129388</c:v>
                </c:pt>
                <c:pt idx="33">
                  <c:v>132128</c:v>
                </c:pt>
                <c:pt idx="34">
                  <c:v>133364</c:v>
                </c:pt>
                <c:pt idx="35">
                  <c:v>143652</c:v>
                </c:pt>
                <c:pt idx="36">
                  <c:v>145547</c:v>
                </c:pt>
                <c:pt idx="37">
                  <c:v>146352</c:v>
                </c:pt>
                <c:pt idx="38">
                  <c:v>152896</c:v>
                </c:pt>
                <c:pt idx="39">
                  <c:v>155307</c:v>
                </c:pt>
                <c:pt idx="40">
                  <c:v>154378</c:v>
                </c:pt>
                <c:pt idx="41">
                  <c:v>158020</c:v>
                </c:pt>
                <c:pt idx="42">
                  <c:v>174229</c:v>
                </c:pt>
                <c:pt idx="43">
                  <c:v>170506</c:v>
                </c:pt>
                <c:pt idx="44">
                  <c:v>177772</c:v>
                </c:pt>
                <c:pt idx="45">
                  <c:v>182692</c:v>
                </c:pt>
                <c:pt idx="46">
                  <c:v>173330</c:v>
                </c:pt>
                <c:pt idx="47">
                  <c:v>177282</c:v>
                </c:pt>
                <c:pt idx="48">
                  <c:v>183908</c:v>
                </c:pt>
                <c:pt idx="49">
                  <c:v>185818</c:v>
                </c:pt>
                <c:pt idx="50">
                  <c:v>179683</c:v>
                </c:pt>
                <c:pt idx="51">
                  <c:v>182944</c:v>
                </c:pt>
                <c:pt idx="52">
                  <c:v>175956</c:v>
                </c:pt>
                <c:pt idx="53">
                  <c:v>176530</c:v>
                </c:pt>
                <c:pt idx="54">
                  <c:v>186733</c:v>
                </c:pt>
                <c:pt idx="55">
                  <c:v>177659</c:v>
                </c:pt>
                <c:pt idx="56">
                  <c:v>200218</c:v>
                </c:pt>
                <c:pt idx="57">
                  <c:v>190602</c:v>
                </c:pt>
                <c:pt idx="58">
                  <c:v>194111</c:v>
                </c:pt>
                <c:pt idx="59">
                  <c:v>196028</c:v>
                </c:pt>
                <c:pt idx="60">
                  <c:v>200294</c:v>
                </c:pt>
                <c:pt idx="61">
                  <c:v>203794</c:v>
                </c:pt>
                <c:pt idx="62">
                  <c:v>205059</c:v>
                </c:pt>
                <c:pt idx="63">
                  <c:v>208505</c:v>
                </c:pt>
                <c:pt idx="64">
                  <c:v>256944</c:v>
                </c:pt>
                <c:pt idx="65">
                  <c:v>274664</c:v>
                </c:pt>
                <c:pt idx="66">
                  <c:v>263924</c:v>
                </c:pt>
                <c:pt idx="67">
                  <c:v>261944</c:v>
                </c:pt>
                <c:pt idx="68">
                  <c:v>271844</c:v>
                </c:pt>
                <c:pt idx="69">
                  <c:v>272456</c:v>
                </c:pt>
                <c:pt idx="70">
                  <c:v>283691</c:v>
                </c:pt>
                <c:pt idx="71">
                  <c:v>297609</c:v>
                </c:pt>
                <c:pt idx="72">
                  <c:v>282445</c:v>
                </c:pt>
                <c:pt idx="73">
                  <c:v>277196</c:v>
                </c:pt>
                <c:pt idx="74">
                  <c:v>237739</c:v>
                </c:pt>
                <c:pt idx="75">
                  <c:v>239291</c:v>
                </c:pt>
                <c:pt idx="76">
                  <c:v>246248</c:v>
                </c:pt>
                <c:pt idx="77">
                  <c:v>262324</c:v>
                </c:pt>
                <c:pt idx="78">
                  <c:v>250540</c:v>
                </c:pt>
                <c:pt idx="79">
                  <c:v>259562</c:v>
                </c:pt>
                <c:pt idx="80">
                  <c:v>258450</c:v>
                </c:pt>
                <c:pt idx="81">
                  <c:v>270887</c:v>
                </c:pt>
                <c:pt idx="82">
                  <c:v>269279</c:v>
                </c:pt>
                <c:pt idx="83">
                  <c:v>269982</c:v>
                </c:pt>
                <c:pt idx="84">
                  <c:v>291590</c:v>
                </c:pt>
                <c:pt idx="85">
                  <c:v>307775</c:v>
                </c:pt>
                <c:pt idx="86">
                  <c:v>332400</c:v>
                </c:pt>
                <c:pt idx="87">
                  <c:v>335611</c:v>
                </c:pt>
                <c:pt idx="88">
                  <c:v>352046</c:v>
                </c:pt>
                <c:pt idx="89">
                  <c:v>354096</c:v>
                </c:pt>
                <c:pt idx="90">
                  <c:v>353539</c:v>
                </c:pt>
                <c:pt idx="91">
                  <c:v>365132</c:v>
                </c:pt>
                <c:pt idx="92">
                  <c:v>358855</c:v>
                </c:pt>
                <c:pt idx="93">
                  <c:v>366355</c:v>
                </c:pt>
                <c:pt idx="94">
                  <c:v>379111</c:v>
                </c:pt>
                <c:pt idx="95">
                  <c:v>385886</c:v>
                </c:pt>
                <c:pt idx="96">
                  <c:v>374720</c:v>
                </c:pt>
                <c:pt idx="97">
                  <c:v>356294</c:v>
                </c:pt>
                <c:pt idx="98">
                  <c:v>378094</c:v>
                </c:pt>
                <c:pt idx="99">
                  <c:v>379977</c:v>
                </c:pt>
                <c:pt idx="100">
                  <c:v>387471</c:v>
                </c:pt>
                <c:pt idx="101">
                  <c:v>391047</c:v>
                </c:pt>
                <c:pt idx="102">
                  <c:v>394189</c:v>
                </c:pt>
                <c:pt idx="103">
                  <c:v>385484</c:v>
                </c:pt>
                <c:pt idx="104">
                  <c:v>410326</c:v>
                </c:pt>
                <c:pt idx="105">
                  <c:v>420935</c:v>
                </c:pt>
              </c:numCache>
            </c:numRef>
          </c:val>
          <c:smooth val="0"/>
          <c:extLst>
            <c:ext xmlns:c16="http://schemas.microsoft.com/office/drawing/2014/chart" uri="{C3380CC4-5D6E-409C-BE32-E72D297353CC}">
              <c16:uniqueId val="{00000001-130B-4088-A71D-181217973F44}"/>
            </c:ext>
          </c:extLst>
        </c:ser>
        <c:dLbls>
          <c:showLegendKey val="0"/>
          <c:showVal val="0"/>
          <c:showCatName val="0"/>
          <c:showSerName val="0"/>
          <c:showPercent val="0"/>
          <c:showBubbleSize val="0"/>
        </c:dLbls>
        <c:smooth val="0"/>
        <c:axId val="280094456"/>
        <c:axId val="280084944"/>
      </c:lineChart>
      <c:catAx>
        <c:axId val="28009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84944"/>
        <c:crosses val="autoZero"/>
        <c:auto val="1"/>
        <c:lblAlgn val="ctr"/>
        <c:lblOffset val="100"/>
        <c:noMultiLvlLbl val="0"/>
      </c:catAx>
      <c:valAx>
        <c:axId val="2800849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09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0F34-DC08-4448-B8B7-EF0A82730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389F45-4DB0-4785-ACE7-8B958933C12D}">
  <ds:schemaRefs>
    <ds:schemaRef ds:uri="cac5d118-ba7b-4807-b700-df6f95cfff50"/>
    <ds:schemaRef ds:uri="http://schemas.openxmlformats.org/package/2006/metadata/core-properties"/>
    <ds:schemaRef ds:uri="http://www.w3.org/XML/1998/namespace"/>
    <ds:schemaRef ds:uri="http://schemas.microsoft.com/office/2006/documentManagement/types"/>
    <ds:schemaRef ds:uri="http://purl.org/dc/dcmitype/"/>
    <ds:schemaRef ds:uri="66951ee6-cd93-49c7-9437-e871b2a117d6"/>
    <ds:schemaRef ds:uri="http://schemas.microsoft.com/office/infopath/2007/PartnerControls"/>
    <ds:schemaRef ds:uri="http://schemas.microsoft.com/office/2006/metadata/properties"/>
    <ds:schemaRef ds:uri="http://purl.org/dc/terms/"/>
    <ds:schemaRef ds:uri="http://purl.org/dc/elements/1.1/"/>
  </ds:schemaRefs>
</ds:datastoreItem>
</file>

<file path=customXml/itemProps3.xml><?xml version="1.0" encoding="utf-8"?>
<ds:datastoreItem xmlns:ds="http://schemas.openxmlformats.org/officeDocument/2006/customXml" ds:itemID="{7DF1738B-AE51-4959-81CC-666A30426345}">
  <ds:schemaRefs>
    <ds:schemaRef ds:uri="http://schemas.microsoft.com/sharepoint/v3/contenttype/forms"/>
  </ds:schemaRefs>
</ds:datastoreItem>
</file>

<file path=customXml/itemProps4.xml><?xml version="1.0" encoding="utf-8"?>
<ds:datastoreItem xmlns:ds="http://schemas.openxmlformats.org/officeDocument/2006/customXml" ds:itemID="{00C202DF-200E-4A6A-8D19-243ED4D78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3502</Words>
  <Characters>19963</Characters>
  <Application>Microsoft Office Word</Application>
  <DocSecurity>4</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23419</CharactersWithSpaces>
  <SharedDoc>false</SharedDoc>
  <HLinks>
    <vt:vector size="204" baseType="variant">
      <vt:variant>
        <vt:i4>3080307</vt:i4>
      </vt:variant>
      <vt:variant>
        <vt:i4>96</vt:i4>
      </vt:variant>
      <vt:variant>
        <vt:i4>0</vt:i4>
      </vt:variant>
      <vt:variant>
        <vt:i4>5</vt:i4>
      </vt:variant>
      <vt:variant>
        <vt:lpwstr>https://www.nber.org/papers/w19481.pdf</vt:lpwstr>
      </vt:variant>
      <vt:variant>
        <vt:lpwstr/>
      </vt:variant>
      <vt:variant>
        <vt:i4>4194359</vt:i4>
      </vt:variant>
      <vt:variant>
        <vt:i4>93</vt:i4>
      </vt:variant>
      <vt:variant>
        <vt:i4>0</vt:i4>
      </vt:variant>
      <vt:variant>
        <vt:i4>5</vt:i4>
      </vt:variant>
      <vt:variant>
        <vt:lpwstr>mailto:Jeremy.Nalewaik@morganstanley.com</vt:lpwstr>
      </vt:variant>
      <vt:variant>
        <vt:lpwstr/>
      </vt:variant>
      <vt:variant>
        <vt:i4>3539048</vt:i4>
      </vt:variant>
      <vt:variant>
        <vt:i4>90</vt:i4>
      </vt:variant>
      <vt:variant>
        <vt:i4>0</vt:i4>
      </vt:variant>
      <vt:variant>
        <vt:i4>5</vt:i4>
      </vt:variant>
      <vt:variant>
        <vt:lpwstr>https://www.brookings.edu/research/the-hutchins-centers-fiscal-impact-measure/</vt:lpwstr>
      </vt:variant>
      <vt:variant>
        <vt:lpwstr/>
      </vt:variant>
      <vt:variant>
        <vt:i4>1245189</vt:i4>
      </vt:variant>
      <vt:variant>
        <vt:i4>87</vt:i4>
      </vt:variant>
      <vt:variant>
        <vt:i4>0</vt:i4>
      </vt:variant>
      <vt:variant>
        <vt:i4>5</vt:i4>
      </vt:variant>
      <vt:variant>
        <vt:lpwstr>https://apps.bea.gov/iTable/iTable.cfm?reqid=19&amp;step=2</vt:lpwstr>
      </vt:variant>
      <vt:variant>
        <vt:lpwstr>reqid=19&amp;step=2&amp;isuri=1&amp;1921=underlying</vt:lpwstr>
      </vt:variant>
      <vt:variant>
        <vt:i4>7536734</vt:i4>
      </vt:variant>
      <vt:variant>
        <vt:i4>84</vt:i4>
      </vt:variant>
      <vt:variant>
        <vt:i4>0</vt:i4>
      </vt:variant>
      <vt:variant>
        <vt:i4>5</vt:i4>
      </vt:variant>
      <vt:variant>
        <vt:lpwstr>mailto:LSheiner@brookings.edu</vt:lpwstr>
      </vt:variant>
      <vt:variant>
        <vt:lpwstr/>
      </vt:variant>
      <vt:variant>
        <vt:i4>4194359</vt:i4>
      </vt:variant>
      <vt:variant>
        <vt:i4>81</vt:i4>
      </vt:variant>
      <vt:variant>
        <vt:i4>0</vt:i4>
      </vt:variant>
      <vt:variant>
        <vt:i4>5</vt:i4>
      </vt:variant>
      <vt:variant>
        <vt:lpwstr>mailto:Jeremy.Nalewaik@morganstanley.com</vt:lpwstr>
      </vt:variant>
      <vt:variant>
        <vt:lpwstr/>
      </vt:variant>
      <vt:variant>
        <vt:i4>4849701</vt:i4>
      </vt:variant>
      <vt:variant>
        <vt:i4>78</vt:i4>
      </vt:variant>
      <vt:variant>
        <vt:i4>0</vt:i4>
      </vt:variant>
      <vt:variant>
        <vt:i4>5</vt:i4>
      </vt:variant>
      <vt:variant>
        <vt:lpwstr>mailto:john.seliski@cbo.gov</vt:lpwstr>
      </vt:variant>
      <vt:variant>
        <vt:lpwstr/>
      </vt:variant>
      <vt:variant>
        <vt:i4>4325433</vt:i4>
      </vt:variant>
      <vt:variant>
        <vt:i4>75</vt:i4>
      </vt:variant>
      <vt:variant>
        <vt:i4>0</vt:i4>
      </vt:variant>
      <vt:variant>
        <vt:i4>5</vt:i4>
      </vt:variant>
      <vt:variant>
        <vt:lpwstr>mailto:John.Kitchen@cbo.gov</vt:lpwstr>
      </vt:variant>
      <vt:variant>
        <vt:lpwstr/>
      </vt:variant>
      <vt:variant>
        <vt:i4>7536734</vt:i4>
      </vt:variant>
      <vt:variant>
        <vt:i4>72</vt:i4>
      </vt:variant>
      <vt:variant>
        <vt:i4>0</vt:i4>
      </vt:variant>
      <vt:variant>
        <vt:i4>5</vt:i4>
      </vt:variant>
      <vt:variant>
        <vt:lpwstr>mailto:LSheiner@brookings.edu</vt:lpwstr>
      </vt:variant>
      <vt:variant>
        <vt:lpwstr/>
      </vt:variant>
      <vt:variant>
        <vt:i4>4849701</vt:i4>
      </vt:variant>
      <vt:variant>
        <vt:i4>69</vt:i4>
      </vt:variant>
      <vt:variant>
        <vt:i4>0</vt:i4>
      </vt:variant>
      <vt:variant>
        <vt:i4>5</vt:i4>
      </vt:variant>
      <vt:variant>
        <vt:lpwstr>mailto:John.Seliski@cbo.gov</vt:lpwstr>
      </vt:variant>
      <vt:variant>
        <vt:lpwstr/>
      </vt:variant>
      <vt:variant>
        <vt:i4>7667769</vt:i4>
      </vt:variant>
      <vt:variant>
        <vt:i4>66</vt:i4>
      </vt:variant>
      <vt:variant>
        <vt:i4>0</vt:i4>
      </vt:variant>
      <vt:variant>
        <vt:i4>5</vt:i4>
      </vt:variant>
      <vt:variant>
        <vt:lpwstr>http://www.cbo.gov/sites/default/files/cbofiles/ftpdocs/89xx/doc8917/appendixd.12.1.shtml</vt:lpwstr>
      </vt:variant>
      <vt:variant>
        <vt:lpwstr>60</vt:lpwstr>
      </vt:variant>
      <vt:variant>
        <vt:i4>4521999</vt:i4>
      </vt:variant>
      <vt:variant>
        <vt:i4>63</vt:i4>
      </vt:variant>
      <vt:variant>
        <vt:i4>0</vt:i4>
      </vt:variant>
      <vt:variant>
        <vt:i4>5</vt:i4>
      </vt:variant>
      <vt:variant>
        <vt:lpwstr>http://www.cbo.gov/sites/default/files/cbofiles/ftpdocs/89xx/doc8917/appendixd.12.1.shtml</vt:lpwstr>
      </vt:variant>
      <vt:variant>
        <vt:lpwstr/>
      </vt:variant>
      <vt:variant>
        <vt:i4>3473460</vt:i4>
      </vt:variant>
      <vt:variant>
        <vt:i4>60</vt:i4>
      </vt:variant>
      <vt:variant>
        <vt:i4>0</vt:i4>
      </vt:variant>
      <vt:variant>
        <vt:i4>5</vt:i4>
      </vt:variant>
      <vt:variant>
        <vt:lpwstr>https://www.irs.gov/credits-deductions/individuals/earned-income-tax-credit/eitc-income-limits-maximum-credit-amounts-next-year</vt:lpwstr>
      </vt:variant>
      <vt:variant>
        <vt:lpwstr/>
      </vt:variant>
      <vt:variant>
        <vt:i4>5046272</vt:i4>
      </vt:variant>
      <vt:variant>
        <vt:i4>57</vt:i4>
      </vt:variant>
      <vt:variant>
        <vt:i4>0</vt:i4>
      </vt:variant>
      <vt:variant>
        <vt:i4>5</vt:i4>
      </vt:variant>
      <vt:variant>
        <vt:lpwstr>https://www.jct.gov/publications.html?func=startdown&amp;id=5237</vt:lpwstr>
      </vt:variant>
      <vt:variant>
        <vt:lpwstr/>
      </vt:variant>
      <vt:variant>
        <vt:i4>3866652</vt:i4>
      </vt:variant>
      <vt:variant>
        <vt:i4>54</vt:i4>
      </vt:variant>
      <vt:variant>
        <vt:i4>0</vt:i4>
      </vt:variant>
      <vt:variant>
        <vt:i4>5</vt:i4>
      </vt:variant>
      <vt:variant>
        <vt:lpwstr>https://www.cbo.gov/system/files/2019-12/hr1865_0.pdf</vt:lpwstr>
      </vt:variant>
      <vt:variant>
        <vt:lpwstr/>
      </vt:variant>
      <vt:variant>
        <vt:i4>4063285</vt:i4>
      </vt:variant>
      <vt:variant>
        <vt:i4>51</vt:i4>
      </vt:variant>
      <vt:variant>
        <vt:i4>0</vt:i4>
      </vt:variant>
      <vt:variant>
        <vt:i4>5</vt:i4>
      </vt:variant>
      <vt:variant>
        <vt:lpwstr>https://www.cbo.gov/system/files/2019-12/Supplemental Table 1 - Division N.pdf</vt:lpwstr>
      </vt:variant>
      <vt:variant>
        <vt:lpwstr/>
      </vt:variant>
      <vt:variant>
        <vt:i4>6553644</vt:i4>
      </vt:variant>
      <vt:variant>
        <vt:i4>48</vt:i4>
      </vt:variant>
      <vt:variant>
        <vt:i4>0</vt:i4>
      </vt:variant>
      <vt:variant>
        <vt:i4>5</vt:i4>
      </vt:variant>
      <vt:variant>
        <vt:lpwstr>https://www.cbo.gov/system/files/2019-12/hr1865.pdf</vt:lpwstr>
      </vt:variant>
      <vt:variant>
        <vt:lpwstr/>
      </vt:variant>
      <vt:variant>
        <vt:i4>589894</vt:i4>
      </vt:variant>
      <vt:variant>
        <vt:i4>45</vt:i4>
      </vt:variant>
      <vt:variant>
        <vt:i4>0</vt:i4>
      </vt:variant>
      <vt:variant>
        <vt:i4>5</vt:i4>
      </vt:variant>
      <vt:variant>
        <vt:lpwstr>https://www.cbo.gov/publication/56351</vt:lpwstr>
      </vt:variant>
      <vt:variant>
        <vt:lpwstr/>
      </vt:variant>
      <vt:variant>
        <vt:i4>2031689</vt:i4>
      </vt:variant>
      <vt:variant>
        <vt:i4>42</vt:i4>
      </vt:variant>
      <vt:variant>
        <vt:i4>0</vt:i4>
      </vt:variant>
      <vt:variant>
        <vt:i4>5</vt:i4>
      </vt:variant>
      <vt:variant>
        <vt:lpwstr>https://www.bea.gov/system/files/2020-05/COVID-19 Pandemic-Federal Recovery Legislation and the NIPAs.pdf</vt:lpwstr>
      </vt:variant>
      <vt:variant>
        <vt:lpwstr/>
      </vt:variant>
      <vt:variant>
        <vt:i4>4915240</vt:i4>
      </vt:variant>
      <vt:variant>
        <vt:i4>39</vt:i4>
      </vt:variant>
      <vt:variant>
        <vt:i4>0</vt:i4>
      </vt:variant>
      <vt:variant>
        <vt:i4>5</vt:i4>
      </vt:variant>
      <vt:variant>
        <vt:lpwstr>https://www.bea.gov/system/files/2020-05/Impact-of-COVID-19-on-BEAs-Economic-Accounts_0.pdf</vt:lpwstr>
      </vt:variant>
      <vt:variant>
        <vt:lpwstr/>
      </vt:variant>
      <vt:variant>
        <vt:i4>3473447</vt:i4>
      </vt:variant>
      <vt:variant>
        <vt:i4>36</vt:i4>
      </vt:variant>
      <vt:variant>
        <vt:i4>0</vt:i4>
      </vt:variant>
      <vt:variant>
        <vt:i4>5</vt:i4>
      </vt:variant>
      <vt:variant>
        <vt:lpwstr>https://www.cbo.gov/system/files/2020-04/hr748.pdf</vt:lpwstr>
      </vt:variant>
      <vt:variant>
        <vt:lpwstr/>
      </vt:variant>
      <vt:variant>
        <vt:i4>6291498</vt:i4>
      </vt:variant>
      <vt:variant>
        <vt:i4>33</vt:i4>
      </vt:variant>
      <vt:variant>
        <vt:i4>0</vt:i4>
      </vt:variant>
      <vt:variant>
        <vt:i4>5</vt:i4>
      </vt:variant>
      <vt:variant>
        <vt:lpwstr>https://www.cbo.gov/system/files/2020-04/HR6201.pdf</vt:lpwstr>
      </vt:variant>
      <vt:variant>
        <vt:lpwstr/>
      </vt:variant>
      <vt:variant>
        <vt:i4>6291501</vt:i4>
      </vt:variant>
      <vt:variant>
        <vt:i4>30</vt:i4>
      </vt:variant>
      <vt:variant>
        <vt:i4>0</vt:i4>
      </vt:variant>
      <vt:variant>
        <vt:i4>5</vt:i4>
      </vt:variant>
      <vt:variant>
        <vt:lpwstr>https://www.cbo.gov/system/files/2020-03/hr6074.pdf</vt:lpwstr>
      </vt:variant>
      <vt:variant>
        <vt:lpwstr/>
      </vt:variant>
      <vt:variant>
        <vt:i4>5177428</vt:i4>
      </vt:variant>
      <vt:variant>
        <vt:i4>27</vt:i4>
      </vt:variant>
      <vt:variant>
        <vt:i4>0</vt:i4>
      </vt:variant>
      <vt:variant>
        <vt:i4>5</vt:i4>
      </vt:variant>
      <vt:variant>
        <vt:lpwstr>https://brookingsinstitution.sharepoint.com/:x:/s/hutchinscenterteam/Eamh8nVATpFNg0RsN1V7C0gBjFi38aEQkJpETlmaJ4dQsg?e=qYn4fx</vt:lpwstr>
      </vt:variant>
      <vt:variant>
        <vt:lpwstr/>
      </vt:variant>
      <vt:variant>
        <vt:i4>96</vt:i4>
      </vt:variant>
      <vt:variant>
        <vt:i4>24</vt:i4>
      </vt:variant>
      <vt:variant>
        <vt:i4>0</vt:i4>
      </vt:variant>
      <vt:variant>
        <vt:i4>5</vt:i4>
      </vt:variant>
      <vt:variant>
        <vt:lpwstr>https://docs.google.com/spreadsheets/d/1Wz98hOMQpYBUH8gt6udNv4xKExc66ioD_H1SP9-9J6k/edit</vt:lpwstr>
      </vt:variant>
      <vt:variant>
        <vt:lpwstr>gid=0</vt:lpwstr>
      </vt:variant>
      <vt:variant>
        <vt:i4>2621488</vt:i4>
      </vt:variant>
      <vt:variant>
        <vt:i4>21</vt:i4>
      </vt:variant>
      <vt:variant>
        <vt:i4>0</vt:i4>
      </vt:variant>
      <vt:variant>
        <vt:i4>5</vt:i4>
      </vt:variant>
      <vt:variant>
        <vt:lpwstr>https://tcf.org/content/report/unemployment-insurance-data-dashboard/?agreed=1</vt:lpwstr>
      </vt:variant>
      <vt:variant>
        <vt:lpwstr/>
      </vt:variant>
      <vt:variant>
        <vt:i4>4587585</vt:i4>
      </vt:variant>
      <vt:variant>
        <vt:i4>18</vt:i4>
      </vt:variant>
      <vt:variant>
        <vt:i4>0</vt:i4>
      </vt:variant>
      <vt:variant>
        <vt:i4>5</vt:i4>
      </vt:variant>
      <vt:variant>
        <vt:lpwstr>https://brookingsinstitution.sharepoint.com/sites/hutchinscenterteam/Shared Documents/Projects/Fiscal Impact/COVID-19 Changes/September/LSFIM_KY_v2.xlsx?web=1</vt:lpwstr>
      </vt:variant>
      <vt:variant>
        <vt:lpwstr/>
      </vt:variant>
      <vt:variant>
        <vt:i4>4587585</vt:i4>
      </vt:variant>
      <vt:variant>
        <vt:i4>15</vt:i4>
      </vt:variant>
      <vt:variant>
        <vt:i4>0</vt:i4>
      </vt:variant>
      <vt:variant>
        <vt:i4>5</vt:i4>
      </vt:variant>
      <vt:variant>
        <vt:lpwstr>https://brookingsinstitution.sharepoint.com/sites/hutchinscenterteam/Shared Documents/Projects/Fiscal Impact/COVID-19 Changes/September/LSFIM_KY_v2.xlsx?web=1</vt:lpwstr>
      </vt:variant>
      <vt:variant>
        <vt:lpwstr/>
      </vt:variant>
      <vt:variant>
        <vt:i4>4587585</vt:i4>
      </vt:variant>
      <vt:variant>
        <vt:i4>12</vt:i4>
      </vt:variant>
      <vt:variant>
        <vt:i4>0</vt:i4>
      </vt:variant>
      <vt:variant>
        <vt:i4>5</vt:i4>
      </vt:variant>
      <vt:variant>
        <vt:lpwstr>https://brookingsinstitution.sharepoint.com/sites/hutchinscenterteam/Shared Documents/Projects/Fiscal Impact/COVID-19 Changes/September/LSFIM_KY_v2.xlsx?web=1</vt:lpwstr>
      </vt:variant>
      <vt:variant>
        <vt:lpwstr/>
      </vt:variant>
      <vt:variant>
        <vt:i4>786440</vt:i4>
      </vt:variant>
      <vt:variant>
        <vt:i4>9</vt:i4>
      </vt:variant>
      <vt:variant>
        <vt:i4>0</vt:i4>
      </vt:variant>
      <vt:variant>
        <vt:i4>5</vt:i4>
      </vt:variant>
      <vt:variant>
        <vt:lpwstr>https://www.cbo.gov/system/files/2020-09/56517-Budget-Outlook.pdf</vt:lpwstr>
      </vt:variant>
      <vt:variant>
        <vt:lpwstr/>
      </vt:variant>
      <vt:variant>
        <vt:i4>4587585</vt:i4>
      </vt:variant>
      <vt:variant>
        <vt:i4>6</vt:i4>
      </vt:variant>
      <vt:variant>
        <vt:i4>0</vt:i4>
      </vt:variant>
      <vt:variant>
        <vt:i4>5</vt:i4>
      </vt:variant>
      <vt:variant>
        <vt:lpwstr>https://brookingsinstitution.sharepoint.com/sites/hutchinscenterteam/Shared Documents/Projects/Fiscal Impact/COVID-19 Changes/September/LSFIM_KY_v2.xlsx?web=1</vt:lpwstr>
      </vt:variant>
      <vt:variant>
        <vt:lpwstr/>
      </vt:variant>
      <vt:variant>
        <vt:i4>2424930</vt:i4>
      </vt:variant>
      <vt:variant>
        <vt:i4>3</vt:i4>
      </vt:variant>
      <vt:variant>
        <vt:i4>0</vt:i4>
      </vt:variant>
      <vt:variant>
        <vt:i4>5</vt:i4>
      </vt:variant>
      <vt:variant>
        <vt:lpwstr>https://brookingsinstitution.sharepoint.com/sites/hutchinscenterteam/Shared Documents/Projects/Fiscal Impact/09-2020/Data/NIPAS translation workbook.xlsx?web=1</vt:lpwstr>
      </vt:variant>
      <vt:variant>
        <vt:lpwstr/>
      </vt:variant>
      <vt:variant>
        <vt:i4>524352</vt:i4>
      </vt:variant>
      <vt:variant>
        <vt:i4>0</vt:i4>
      </vt:variant>
      <vt:variant>
        <vt:i4>0</vt:i4>
      </vt:variant>
      <vt:variant>
        <vt:i4>5</vt:i4>
      </vt:variant>
      <vt:variant>
        <vt:lpwstr>https://www.cbo.gov/publication/56542</vt:lpwstr>
      </vt:variant>
      <vt:variant>
        <vt:lpwstr/>
      </vt:variant>
      <vt:variant>
        <vt:i4>1835047</vt:i4>
      </vt:variant>
      <vt:variant>
        <vt:i4>0</vt:i4>
      </vt:variant>
      <vt:variant>
        <vt:i4>0</vt:i4>
      </vt:variant>
      <vt:variant>
        <vt:i4>5</vt:i4>
      </vt:variant>
      <vt:variant>
        <vt:lpwstr>mailto:MAlcalaKovalski@brookings.edu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Kadija Yilla</dc:creator>
  <cp:keywords/>
  <dc:description/>
  <cp:lastModifiedBy>Kadija Yilla</cp:lastModifiedBy>
  <cp:revision>206</cp:revision>
  <dcterms:created xsi:type="dcterms:W3CDTF">2019-09-27T01:12:00Z</dcterms:created>
  <dcterms:modified xsi:type="dcterms:W3CDTF">2020-09-23T22:06:00Z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