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737" w:rsidRDefault="005A7737" w:rsidP="00FC7BAA">
      <w:pPr>
        <w:spacing w:after="0" w:line="240" w:lineRule="auto"/>
        <w:jc w:val="center"/>
        <w:rPr>
          <w:sz w:val="28"/>
          <w:szCs w:val="28"/>
        </w:rPr>
      </w:pPr>
      <w:r w:rsidRPr="005A7737">
        <w:rPr>
          <w:sz w:val="28"/>
          <w:szCs w:val="28"/>
        </w:rPr>
        <w:t>MEASURING FISCAL STIMULUS</w:t>
      </w:r>
      <w:r w:rsidR="00FC7BAA">
        <w:rPr>
          <w:sz w:val="28"/>
          <w:szCs w:val="28"/>
        </w:rPr>
        <w:t xml:space="preserve"> IN MAUS</w:t>
      </w:r>
    </w:p>
    <w:p w:rsidR="00FC7BAA" w:rsidRDefault="00FC7BAA" w:rsidP="00FC7BAA">
      <w:pPr>
        <w:spacing w:after="0" w:line="240" w:lineRule="auto"/>
        <w:jc w:val="center"/>
        <w:rPr>
          <w:sz w:val="28"/>
          <w:szCs w:val="28"/>
        </w:rPr>
      </w:pPr>
    </w:p>
    <w:p w:rsidR="00FC7BAA" w:rsidRDefault="00FC7BAA" w:rsidP="00FC7BAA">
      <w:pPr>
        <w:spacing w:after="0" w:line="240" w:lineRule="auto"/>
        <w:jc w:val="center"/>
        <w:rPr>
          <w:sz w:val="28"/>
          <w:szCs w:val="28"/>
        </w:rPr>
      </w:pPr>
      <w:r>
        <w:rPr>
          <w:sz w:val="28"/>
          <w:szCs w:val="28"/>
        </w:rPr>
        <w:t>Joel Prakken, Sr. Managing Director</w:t>
      </w:r>
    </w:p>
    <w:p w:rsidR="00FC7BAA" w:rsidRDefault="00FC7BAA" w:rsidP="00FC7BAA">
      <w:pPr>
        <w:spacing w:after="0" w:line="240" w:lineRule="auto"/>
        <w:jc w:val="center"/>
        <w:rPr>
          <w:sz w:val="28"/>
          <w:szCs w:val="28"/>
        </w:rPr>
      </w:pPr>
      <w:r>
        <w:rPr>
          <w:sz w:val="28"/>
          <w:szCs w:val="28"/>
        </w:rPr>
        <w:t>Macroeconomic Advisers, LLC</w:t>
      </w:r>
    </w:p>
    <w:p w:rsidR="0034307A" w:rsidRDefault="005D7A7E" w:rsidP="00FC7BAA">
      <w:pPr>
        <w:spacing w:after="0" w:line="240" w:lineRule="auto"/>
        <w:jc w:val="center"/>
        <w:rPr>
          <w:sz w:val="28"/>
          <w:szCs w:val="28"/>
        </w:rPr>
      </w:pPr>
      <w:r>
        <w:rPr>
          <w:sz w:val="28"/>
          <w:szCs w:val="28"/>
        </w:rPr>
        <w:t xml:space="preserve">May 19, </w:t>
      </w:r>
      <w:r w:rsidR="0034307A">
        <w:rPr>
          <w:sz w:val="28"/>
          <w:szCs w:val="28"/>
        </w:rPr>
        <w:t>201</w:t>
      </w:r>
      <w:r>
        <w:rPr>
          <w:sz w:val="28"/>
          <w:szCs w:val="28"/>
        </w:rPr>
        <w:t>5</w:t>
      </w:r>
      <w:r w:rsidR="00646D92">
        <w:rPr>
          <w:rStyle w:val="FootnoteReference"/>
          <w:sz w:val="28"/>
          <w:szCs w:val="28"/>
        </w:rPr>
        <w:footnoteReference w:id="1"/>
      </w:r>
    </w:p>
    <w:p w:rsidR="00FC7BAA" w:rsidRDefault="00FC7BAA" w:rsidP="00FC7BAA">
      <w:pPr>
        <w:spacing w:after="0" w:line="240" w:lineRule="auto"/>
        <w:jc w:val="center"/>
        <w:rPr>
          <w:sz w:val="28"/>
          <w:szCs w:val="28"/>
        </w:rPr>
      </w:pPr>
    </w:p>
    <w:p w:rsidR="006512D7" w:rsidRDefault="006512D7">
      <w:r>
        <w:t xml:space="preserve">The approach is to compute the contribution to growth in </w:t>
      </w:r>
      <w:r w:rsidR="00CC000C">
        <w:t xml:space="preserve">real </w:t>
      </w:r>
      <w:r>
        <w:t xml:space="preserve">GDP </w:t>
      </w:r>
      <w:r w:rsidR="00BF525C">
        <w:t xml:space="preserve">from government spending </w:t>
      </w:r>
      <w:r>
        <w:t>that is either direct</w:t>
      </w:r>
      <w:r w:rsidR="005A7737">
        <w:t>,</w:t>
      </w:r>
      <w:r>
        <w:t xml:space="preserve"> through consumption and gross investment</w:t>
      </w:r>
      <w:r w:rsidR="005A7737">
        <w:t>,</w:t>
      </w:r>
      <w:r w:rsidR="00CC000C">
        <w:t xml:space="preserve"> </w:t>
      </w:r>
      <w:r>
        <w:t>or indirect</w:t>
      </w:r>
      <w:r w:rsidR="005A7737">
        <w:t>,</w:t>
      </w:r>
      <w:r>
        <w:t xml:space="preserve"> through income and consumption</w:t>
      </w:r>
      <w:r w:rsidR="00623742">
        <w:t xml:space="preserve">, using </w:t>
      </w:r>
      <w:r w:rsidR="00CC000C">
        <w:t>the s</w:t>
      </w:r>
      <w:r w:rsidR="00623742">
        <w:t xml:space="preserve">tructure </w:t>
      </w:r>
      <w:r w:rsidR="00CC000C">
        <w:t xml:space="preserve">of </w:t>
      </w:r>
      <w:r w:rsidR="00623742">
        <w:t>MAUS</w:t>
      </w:r>
      <w:r>
        <w:t>.</w:t>
      </w:r>
      <w:r w:rsidR="005D7A7E">
        <w:rPr>
          <w:rStyle w:val="FootnoteReference"/>
        </w:rPr>
        <w:footnoteReference w:id="2"/>
      </w:r>
      <w:r w:rsidR="00623742">
        <w:t xml:space="preserve">  </w:t>
      </w:r>
      <w:r>
        <w:t xml:space="preserve">The computations are static; that is, </w:t>
      </w:r>
      <w:r w:rsidR="00DA6D0F">
        <w:t xml:space="preserve">induced or </w:t>
      </w:r>
      <w:r>
        <w:t xml:space="preserve">multiplier effects </w:t>
      </w:r>
      <w:r w:rsidR="00623742">
        <w:t xml:space="preserve">are not </w:t>
      </w:r>
      <w:r>
        <w:t xml:space="preserve">included.  There are, however, lagged </w:t>
      </w:r>
      <w:r w:rsidR="00623742">
        <w:t xml:space="preserve">static </w:t>
      </w:r>
      <w:r>
        <w:t>effects via the gradual response of consumption to changes in incomes and tax</w:t>
      </w:r>
      <w:r w:rsidR="00623742">
        <w:t xml:space="preserve"> rates</w:t>
      </w:r>
      <w:r w:rsidR="00BD243F">
        <w:t xml:space="preserve">.  The calculations </w:t>
      </w:r>
      <w:r w:rsidR="00FC7BAA">
        <w:t>d</w:t>
      </w:r>
      <w:r w:rsidR="00BD243F">
        <w:t>o no</w:t>
      </w:r>
      <w:r w:rsidR="00FC7BAA">
        <w:t>t</w:t>
      </w:r>
      <w:r w:rsidR="00BD243F">
        <w:t xml:space="preserve"> include the impacts of changes in corporate or capital taxes. Th</w:t>
      </w:r>
      <w:r w:rsidR="00BF525C">
        <w:t xml:space="preserve">ose impacts </w:t>
      </w:r>
      <w:r w:rsidR="00BD243F">
        <w:t>are, practically speaking, essentially intractable analytically and so would have to be computed by simulation.  Fortunately, they are (usually) very small.</w:t>
      </w:r>
    </w:p>
    <w:p w:rsidR="00BD243F" w:rsidRPr="00BD243F" w:rsidRDefault="00BD243F" w:rsidP="00BD243F">
      <w:pPr>
        <w:rPr>
          <w:u w:val="single"/>
        </w:rPr>
      </w:pPr>
      <w:r w:rsidRPr="00BD243F">
        <w:rPr>
          <w:u w:val="single"/>
        </w:rPr>
        <w:t xml:space="preserve">FEDERAL </w:t>
      </w:r>
    </w:p>
    <w:p w:rsidR="006512D7" w:rsidRPr="00523D2A" w:rsidRDefault="006512D7">
      <w:pPr>
        <w:rPr>
          <w:u w:val="single"/>
        </w:rPr>
      </w:pPr>
      <w:r w:rsidRPr="00523D2A">
        <w:rPr>
          <w:u w:val="single"/>
        </w:rPr>
        <w:t>Consumption &amp; Gross Investment</w:t>
      </w:r>
    </w:p>
    <w:p w:rsidR="006512D7" w:rsidRDefault="006512D7">
      <w:r>
        <w:t>There are two channels.  The first is the direct impact on GDP</w:t>
      </w:r>
      <w:r w:rsidR="00523D2A">
        <w:t xml:space="preserve">.  This is computed as the growth rate of real federal C&amp;GI times the share of nominal federal C&amp;GI in nominal GDP.  </w:t>
      </w:r>
      <w:r>
        <w:t xml:space="preserve">The second </w:t>
      </w:r>
      <w:r w:rsidR="00523D2A">
        <w:t xml:space="preserve">channel </w:t>
      </w:r>
      <w:r>
        <w:t>recognizes that federal compensation is part of labor income</w:t>
      </w:r>
      <w:r w:rsidR="00523D2A">
        <w:t>,</w:t>
      </w:r>
      <w:r>
        <w:t xml:space="preserve"> and so </w:t>
      </w:r>
      <w:r w:rsidR="00523D2A">
        <w:t xml:space="preserve">makes </w:t>
      </w:r>
      <w:r>
        <w:t>a</w:t>
      </w:r>
      <w:r w:rsidR="00523D2A">
        <w:t xml:space="preserve"> secondary contribution </w:t>
      </w:r>
      <w:r>
        <w:t>through consumption.</w:t>
      </w:r>
      <w:r w:rsidR="00523D2A">
        <w:t xml:space="preserve">  This is computed as the contribution of changes in real federal compensation to the growth of real consumption, multiplied by the share of nominal consumption in nominal GDP.  The marginal propensity to consume out of labor income (</w:t>
      </w:r>
      <w:r w:rsidR="00523D2A" w:rsidRPr="00523D2A">
        <w:rPr>
          <w:i/>
        </w:rPr>
        <w:t>mpcyl</w:t>
      </w:r>
      <w:r w:rsidR="00523D2A">
        <w:t xml:space="preserve"> ) is 0.72, but spread out over 6 quarters</w:t>
      </w:r>
      <w:r w:rsidR="00BF525C">
        <w:t>:</w:t>
      </w:r>
      <w:r w:rsidR="00646D92">
        <w:rPr>
          <w:rStyle w:val="FootnoteReference"/>
        </w:rPr>
        <w:footnoteReference w:id="3"/>
      </w:r>
    </w:p>
    <w:p w:rsidR="00D4489F" w:rsidRDefault="00BF525C" w:rsidP="00BD243F">
      <w:pPr>
        <w:jc w:val="center"/>
      </w:pPr>
      <w:r w:rsidRPr="005A7737">
        <w:rPr>
          <w:position w:val="-74"/>
        </w:rPr>
        <w:object w:dxaOrig="6600"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30pt;height:80.25pt" o:ole="">
            <v:imagedata r:id="rId9" o:title=""/>
          </v:shape>
          <o:OLEObject Type="Embed" ProgID="Equation.3" ShapeID="_x0000_i1033" DrawAspect="Content" ObjectID="_1493533201" r:id="rId10"/>
        </w:object>
      </w:r>
    </w:p>
    <w:p w:rsidR="006512D7" w:rsidRPr="00523D2A" w:rsidRDefault="00523D2A">
      <w:pPr>
        <w:rPr>
          <w:u w:val="single"/>
        </w:rPr>
      </w:pPr>
      <w:r w:rsidRPr="00523D2A">
        <w:rPr>
          <w:u w:val="single"/>
        </w:rPr>
        <w:t>Transfer Payments to Persons</w:t>
      </w:r>
      <w:r w:rsidR="00911925">
        <w:rPr>
          <w:u w:val="single"/>
        </w:rPr>
        <w:t xml:space="preserve"> excluding Unemployment Benefits</w:t>
      </w:r>
    </w:p>
    <w:p w:rsidR="00523D2A" w:rsidRDefault="00523D2A" w:rsidP="00523D2A">
      <w:r>
        <w:t>This is computed as the contribution of changes in real federal transfer payments to persons to the growth of consumption, multiplied by the share of nominal consumption in nominal GDP.  The marginal propensity to consume out of transfer income (</w:t>
      </w:r>
      <w:r w:rsidRPr="00523D2A">
        <w:rPr>
          <w:i/>
        </w:rPr>
        <w:t>mpcyt</w:t>
      </w:r>
      <w:r>
        <w:t>) is 1.0, but spread out over 4 quarters</w:t>
      </w:r>
      <w:r w:rsidR="00BF525C">
        <w:t>:</w:t>
      </w:r>
    </w:p>
    <w:p w:rsidR="00592F7F" w:rsidRDefault="00BF525C" w:rsidP="00BD243F">
      <w:pPr>
        <w:jc w:val="center"/>
      </w:pPr>
      <w:r w:rsidRPr="00592F7F">
        <w:rPr>
          <w:position w:val="-34"/>
        </w:rPr>
        <w:object w:dxaOrig="10200" w:dyaOrig="800">
          <v:shape id="_x0000_i1035" type="#_x0000_t75" style="width:510pt;height:39.75pt" o:ole="">
            <v:imagedata r:id="rId11" o:title=""/>
          </v:shape>
          <o:OLEObject Type="Embed" ProgID="Equation.3" ShapeID="_x0000_i1035" DrawAspect="Content" ObjectID="_1493533202" r:id="rId12"/>
        </w:object>
      </w:r>
    </w:p>
    <w:p w:rsidR="00592F7F" w:rsidRDefault="00BF525C">
      <w:r>
        <w:t>D</w:t>
      </w:r>
      <w:r w:rsidR="00BD243F">
        <w:t>iscussions of fiscal stimulus often focus on discretionary spending to the exclusion of transfer</w:t>
      </w:r>
      <w:r w:rsidR="005D7A7E">
        <w:t xml:space="preserve"> payments, but there </w:t>
      </w:r>
      <w:r w:rsidR="00CE2EE3">
        <w:t xml:space="preserve">is no reason to </w:t>
      </w:r>
      <w:r w:rsidR="005D7A7E">
        <w:t xml:space="preserve">exclude stimulus that emanates from transfer income.  </w:t>
      </w:r>
      <w:r>
        <w:t>Note that this captures</w:t>
      </w:r>
      <w:r w:rsidR="005D7A7E">
        <w:t xml:space="preserve"> the effect of changes in the number of beneficiaries, which has both cyclical and secular components, as well as the effect of statutory changes in benefit formulas. </w:t>
      </w:r>
    </w:p>
    <w:p w:rsidR="00911925" w:rsidRDefault="00911925">
      <w:pPr>
        <w:rPr>
          <w:u w:val="single"/>
        </w:rPr>
      </w:pPr>
      <w:r>
        <w:rPr>
          <w:u w:val="single"/>
        </w:rPr>
        <w:t xml:space="preserve">Unemployment Benefits  </w:t>
      </w:r>
    </w:p>
    <w:p w:rsidR="00911925" w:rsidRDefault="00911925">
      <w:r>
        <w:t>This is computed as the contribution of changes in real we</w:t>
      </w:r>
      <w:r w:rsidR="005D7A7E">
        <w:t>e</w:t>
      </w:r>
      <w:r>
        <w:t>kly unemployment benefits to the growth of consumption, multiplied by the share of nominal consumption in nominal GDP</w:t>
      </w:r>
      <w:r w:rsidR="00BF525C">
        <w:t>:</w:t>
      </w:r>
      <w:r>
        <w:t xml:space="preserve">  </w:t>
      </w:r>
    </w:p>
    <w:p w:rsidR="00911925" w:rsidRDefault="00BF525C">
      <w:pPr>
        <w:rPr>
          <w:u w:val="single"/>
        </w:rPr>
      </w:pPr>
      <w:r w:rsidRPr="00592F7F">
        <w:rPr>
          <w:position w:val="-34"/>
        </w:rPr>
        <w:object w:dxaOrig="9639" w:dyaOrig="800">
          <v:shape id="_x0000_i1037" type="#_x0000_t75" style="width:441.75pt;height:36.75pt" o:ole="">
            <v:imagedata r:id="rId13" o:title=""/>
          </v:shape>
          <o:OLEObject Type="Embed" ProgID="Equation.3" ShapeID="_x0000_i1037" DrawAspect="Content" ObjectID="_1493533203" r:id="rId14"/>
        </w:object>
      </w:r>
    </w:p>
    <w:p w:rsidR="00523D2A" w:rsidRDefault="00523D2A">
      <w:pPr>
        <w:rPr>
          <w:u w:val="single"/>
        </w:rPr>
      </w:pPr>
      <w:r w:rsidRPr="00523D2A">
        <w:rPr>
          <w:u w:val="single"/>
        </w:rPr>
        <w:t xml:space="preserve">Effective Federal </w:t>
      </w:r>
      <w:r w:rsidR="005231A8">
        <w:rPr>
          <w:u w:val="single"/>
        </w:rPr>
        <w:t>P</w:t>
      </w:r>
      <w:r w:rsidRPr="00523D2A">
        <w:rPr>
          <w:u w:val="single"/>
        </w:rPr>
        <w:t>ersona</w:t>
      </w:r>
      <w:r w:rsidR="00911925">
        <w:rPr>
          <w:u w:val="single"/>
        </w:rPr>
        <w:t>l</w:t>
      </w:r>
      <w:r w:rsidRPr="00523D2A">
        <w:rPr>
          <w:u w:val="single"/>
        </w:rPr>
        <w:t xml:space="preserve"> Tax Rate</w:t>
      </w:r>
    </w:p>
    <w:p w:rsidR="00623742" w:rsidRDefault="00623742">
      <w:r>
        <w:t>This is computed as the sum of the contributions to growth of real consumption from changes in the effective federal personal tax rate applied to both labor and asset income.</w:t>
      </w:r>
      <w:r w:rsidRPr="00623742">
        <w:t xml:space="preserve"> </w:t>
      </w:r>
      <w:r>
        <w:t xml:space="preserve"> The marginal propensity to consume out of asset income (</w:t>
      </w:r>
      <w:r w:rsidRPr="00523D2A">
        <w:rPr>
          <w:i/>
        </w:rPr>
        <w:t>mpcy</w:t>
      </w:r>
      <w:r>
        <w:rPr>
          <w:i/>
        </w:rPr>
        <w:t>a</w:t>
      </w:r>
      <w:r>
        <w:t xml:space="preserve">) is </w:t>
      </w:r>
      <w:r w:rsidR="00FC7BAA">
        <w:t>0.3</w:t>
      </w:r>
      <w:r>
        <w:t xml:space="preserve">, but spread out over </w:t>
      </w:r>
      <w:r w:rsidR="00FC7BAA">
        <w:t>7</w:t>
      </w:r>
      <w:r w:rsidR="00BF525C">
        <w:t xml:space="preserve"> quarters:</w:t>
      </w:r>
    </w:p>
    <w:p w:rsidR="00592F7F" w:rsidRDefault="00BF525C" w:rsidP="00BD243F">
      <w:pPr>
        <w:jc w:val="center"/>
      </w:pPr>
      <w:r w:rsidRPr="005A7737">
        <w:rPr>
          <w:position w:val="-80"/>
        </w:rPr>
        <w:object w:dxaOrig="8220" w:dyaOrig="1719">
          <v:shape id="_x0000_i1039" type="#_x0000_t75" style="width:411pt;height:86.25pt" o:ole="">
            <v:imagedata r:id="rId15" o:title=""/>
          </v:shape>
          <o:OLEObject Type="Embed" ProgID="Equation.3" ShapeID="_x0000_i1039" DrawAspect="Content" ObjectID="_1493533204" r:id="rId16"/>
        </w:object>
      </w:r>
    </w:p>
    <w:p w:rsidR="00623742" w:rsidRDefault="00623742">
      <w:r>
        <w:t>Note that this capture</w:t>
      </w:r>
      <w:r w:rsidR="005231A8">
        <w:t>s</w:t>
      </w:r>
      <w:r>
        <w:t xml:space="preserve"> not only </w:t>
      </w:r>
      <w:r w:rsidR="00BF525C">
        <w:t xml:space="preserve">the effects of </w:t>
      </w:r>
      <w:r w:rsidR="005231A8">
        <w:t>statutory c</w:t>
      </w:r>
      <w:r>
        <w:t xml:space="preserve">hanges in tax rates, but also </w:t>
      </w:r>
      <w:r w:rsidR="005D7A7E">
        <w:t xml:space="preserve">the effects of </w:t>
      </w:r>
      <w:r>
        <w:t>cyclical movements</w:t>
      </w:r>
      <w:r w:rsidR="005D7A7E">
        <w:t xml:space="preserve"> in effective tax rates </w:t>
      </w:r>
      <w:r>
        <w:t>(</w:t>
      </w:r>
      <w:r w:rsidR="005231A8">
        <w:t>“</w:t>
      </w:r>
      <w:r>
        <w:t>automatic stabilizers</w:t>
      </w:r>
      <w:r w:rsidR="005231A8">
        <w:t>”</w:t>
      </w:r>
      <w:r>
        <w:t xml:space="preserve">) </w:t>
      </w:r>
      <w:r w:rsidR="005231A8">
        <w:t xml:space="preserve">and </w:t>
      </w:r>
      <w:r>
        <w:t xml:space="preserve">the effects of </w:t>
      </w:r>
      <w:r w:rsidR="005D7A7E">
        <w:t xml:space="preserve">secular </w:t>
      </w:r>
      <w:r>
        <w:t xml:space="preserve">real </w:t>
      </w:r>
      <w:r w:rsidR="005231A8">
        <w:t>“</w:t>
      </w:r>
      <w:r>
        <w:t>bracket creep</w:t>
      </w:r>
      <w:r w:rsidR="005231A8">
        <w:t>”</w:t>
      </w:r>
      <w:r>
        <w:t xml:space="preserve">. </w:t>
      </w:r>
    </w:p>
    <w:p w:rsidR="00623742" w:rsidRPr="00623742" w:rsidRDefault="00623742">
      <w:pPr>
        <w:rPr>
          <w:u w:val="single"/>
        </w:rPr>
      </w:pPr>
      <w:r w:rsidRPr="00623742">
        <w:rPr>
          <w:u w:val="single"/>
        </w:rPr>
        <w:t>Federal Social Insurance Taxes</w:t>
      </w:r>
    </w:p>
    <w:p w:rsidR="00623742" w:rsidRDefault="00623742">
      <w:r>
        <w:t>This is computed as the contribution</w:t>
      </w:r>
      <w:r w:rsidR="005A7737">
        <w:t>s</w:t>
      </w:r>
      <w:r>
        <w:t xml:space="preserve"> to growth of real consumption from changes in the federal contribution rates </w:t>
      </w:r>
      <w:r w:rsidR="005A7737">
        <w:t xml:space="preserve">(and caps) </w:t>
      </w:r>
      <w:r>
        <w:t>for Social Security and Medicare</w:t>
      </w:r>
      <w:r w:rsidR="00BF525C">
        <w:t>:</w:t>
      </w:r>
    </w:p>
    <w:p w:rsidR="00CC000C" w:rsidRDefault="00BF525C" w:rsidP="00CE2EE3">
      <w:pPr>
        <w:jc w:val="center"/>
      </w:pPr>
      <w:r w:rsidRPr="005A7737">
        <w:rPr>
          <w:position w:val="-76"/>
        </w:rPr>
        <w:object w:dxaOrig="10160" w:dyaOrig="1640">
          <v:shape id="_x0000_i1041" type="#_x0000_t75" style="width:507.75pt;height:81.75pt" o:ole="">
            <v:imagedata r:id="rId17" o:title=""/>
          </v:shape>
          <o:OLEObject Type="Embed" ProgID="Equation.3" ShapeID="_x0000_i1041" DrawAspect="Content" ObjectID="_1493533205" r:id="rId18"/>
        </w:object>
      </w:r>
    </w:p>
    <w:p w:rsidR="00BD243F" w:rsidRDefault="00BF525C">
      <w:r w:rsidRPr="005A7737">
        <w:rPr>
          <w:position w:val="-76"/>
        </w:rPr>
        <w:object w:dxaOrig="10800" w:dyaOrig="1640">
          <v:shape id="_x0000_i1043" type="#_x0000_t75" style="width:509.25pt;height:77.25pt" o:ole="">
            <v:imagedata r:id="rId19" o:title=""/>
          </v:shape>
          <o:OLEObject Type="Embed" ProgID="Equation.3" ShapeID="_x0000_i1043" DrawAspect="Content" ObjectID="_1493533206" r:id="rId20"/>
        </w:object>
      </w:r>
    </w:p>
    <w:p w:rsidR="005A7737" w:rsidRPr="00BD243F" w:rsidRDefault="005A7737">
      <w:pPr>
        <w:rPr>
          <w:u w:val="single"/>
        </w:rPr>
      </w:pPr>
      <w:r w:rsidRPr="00BD243F">
        <w:rPr>
          <w:u w:val="single"/>
        </w:rPr>
        <w:t>Total</w:t>
      </w:r>
      <w:r w:rsidR="00911925">
        <w:rPr>
          <w:u w:val="single"/>
        </w:rPr>
        <w:t xml:space="preserve"> Federal Fiscal Stimulus</w:t>
      </w:r>
    </w:p>
    <w:p w:rsidR="005A7737" w:rsidRDefault="005A7737">
      <w:r>
        <w:t xml:space="preserve">This is the sum of the </w:t>
      </w:r>
      <w:r w:rsidR="00911925">
        <w:t>6</w:t>
      </w:r>
      <w:r w:rsidR="00BD243F">
        <w:t xml:space="preserve"> components</w:t>
      </w:r>
      <w:r w:rsidR="00911925">
        <w:t>:</w:t>
      </w:r>
      <w:r w:rsidR="00BD243F">
        <w:t xml:space="preserve"> </w:t>
      </w:r>
    </w:p>
    <w:p w:rsidR="005A7A54" w:rsidRDefault="00911925">
      <w:r w:rsidRPr="00BD243F">
        <w:rPr>
          <w:position w:val="-12"/>
        </w:rPr>
        <w:object w:dxaOrig="9940" w:dyaOrig="360">
          <v:shape id="_x0000_i1031" type="#_x0000_t75" style="width:497.25pt;height:18pt" o:ole="">
            <v:imagedata r:id="rId21" o:title=""/>
          </v:shape>
          <o:OLEObject Type="Embed" ProgID="Equation.3" ShapeID="_x0000_i1031" DrawAspect="Content" ObjectID="_1493533207" r:id="rId22"/>
        </w:object>
      </w:r>
    </w:p>
    <w:p w:rsidR="00BD243F" w:rsidRPr="005A7A54" w:rsidRDefault="005A7A54">
      <w:pPr>
        <w:rPr>
          <w:u w:val="single"/>
        </w:rPr>
      </w:pPr>
      <w:r w:rsidRPr="005A7A54">
        <w:rPr>
          <w:u w:val="single"/>
        </w:rPr>
        <w:t>STATE &amp; LOCAL</w:t>
      </w:r>
    </w:p>
    <w:p w:rsidR="005A7A54" w:rsidRDefault="005D7A7E">
      <w:r>
        <w:t>This calculation parallels that for computing federal fiscal stimulus.</w:t>
      </w:r>
    </w:p>
    <w:p w:rsidR="005A7A54" w:rsidRPr="005A7A54" w:rsidRDefault="005A7A54">
      <w:pPr>
        <w:rPr>
          <w:u w:val="single"/>
        </w:rPr>
      </w:pPr>
      <w:r w:rsidRPr="005A7A54">
        <w:rPr>
          <w:u w:val="single"/>
        </w:rPr>
        <w:t>TOTAL</w:t>
      </w:r>
    </w:p>
    <w:p w:rsidR="005A7A54" w:rsidRDefault="005D7A7E">
      <w:r>
        <w:t xml:space="preserve">This is computed as the sum of </w:t>
      </w:r>
      <w:r w:rsidR="005A7A54">
        <w:t>federal and state &amp; local</w:t>
      </w:r>
      <w:r>
        <w:t xml:space="preserve"> fiscal stimulus.</w:t>
      </w:r>
      <w:r w:rsidR="005A7A54">
        <w:t xml:space="preserve"> </w:t>
      </w:r>
    </w:p>
    <w:p w:rsidR="00BD243F" w:rsidRDefault="00BD243F"/>
    <w:p w:rsidR="005A7737" w:rsidRDefault="005A7737"/>
    <w:sectPr w:rsidR="005A773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A54" w:rsidRDefault="005A7A54" w:rsidP="005A7A54">
      <w:pPr>
        <w:spacing w:after="0" w:line="240" w:lineRule="auto"/>
      </w:pPr>
      <w:r>
        <w:separator/>
      </w:r>
    </w:p>
  </w:endnote>
  <w:endnote w:type="continuationSeparator" w:id="0">
    <w:p w:rsidR="005A7A54" w:rsidRDefault="005A7A54" w:rsidP="005A7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799887"/>
      <w:docPartObj>
        <w:docPartGallery w:val="Page Numbers (Bottom of Page)"/>
        <w:docPartUnique/>
      </w:docPartObj>
    </w:sdtPr>
    <w:sdtEndPr>
      <w:rPr>
        <w:noProof/>
      </w:rPr>
    </w:sdtEndPr>
    <w:sdtContent>
      <w:p w:rsidR="005A7A54" w:rsidRDefault="005A7A54">
        <w:pPr>
          <w:pStyle w:val="Footer"/>
          <w:jc w:val="right"/>
        </w:pPr>
        <w:r>
          <w:fldChar w:fldCharType="begin"/>
        </w:r>
        <w:r>
          <w:instrText xml:space="preserve"> PAGE   \* MERGEFORMAT </w:instrText>
        </w:r>
        <w:r>
          <w:fldChar w:fldCharType="separate"/>
        </w:r>
        <w:r w:rsidR="00646D92">
          <w:rPr>
            <w:noProof/>
          </w:rPr>
          <w:t>2</w:t>
        </w:r>
        <w:r>
          <w:rPr>
            <w:noProof/>
          </w:rPr>
          <w:fldChar w:fldCharType="end"/>
        </w:r>
      </w:p>
    </w:sdtContent>
  </w:sdt>
  <w:p w:rsidR="005A7A54" w:rsidRDefault="005A7A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A54" w:rsidRDefault="005A7A54" w:rsidP="005A7A54">
      <w:pPr>
        <w:spacing w:after="0" w:line="240" w:lineRule="auto"/>
      </w:pPr>
      <w:r>
        <w:separator/>
      </w:r>
    </w:p>
  </w:footnote>
  <w:footnote w:type="continuationSeparator" w:id="0">
    <w:p w:rsidR="005A7A54" w:rsidRDefault="005A7A54" w:rsidP="005A7A54">
      <w:pPr>
        <w:spacing w:after="0" w:line="240" w:lineRule="auto"/>
      </w:pPr>
      <w:r>
        <w:continuationSeparator/>
      </w:r>
    </w:p>
  </w:footnote>
  <w:footnote w:id="1">
    <w:p w:rsidR="00646D92" w:rsidRDefault="00646D92">
      <w:pPr>
        <w:pStyle w:val="FootnoteText"/>
      </w:pPr>
      <w:r>
        <w:rPr>
          <w:rStyle w:val="FootnoteReference"/>
        </w:rPr>
        <w:footnoteRef/>
      </w:r>
      <w:r>
        <w:t xml:space="preserve"> © 2015 Macroeconomic Advisers.  Not for attribution or distribution without permission of author.</w:t>
      </w:r>
    </w:p>
  </w:footnote>
  <w:footnote w:id="2">
    <w:p w:rsidR="005D7A7E" w:rsidRDefault="005D7A7E">
      <w:pPr>
        <w:pStyle w:val="FootnoteText"/>
      </w:pPr>
      <w:r>
        <w:rPr>
          <w:rStyle w:val="FootnoteReference"/>
        </w:rPr>
        <w:footnoteRef/>
      </w:r>
      <w:r>
        <w:t xml:space="preserve"> Contributions are computed using “</w:t>
      </w:r>
      <w:r w:rsidR="00646D92">
        <w:t>D</w:t>
      </w:r>
      <w:r>
        <w:t>ivisia” formulas.  The calculations do vary sligh</w:t>
      </w:r>
      <w:r w:rsidR="00646D92">
        <w:t>tly</w:t>
      </w:r>
      <w:r>
        <w:t xml:space="preserve"> from contributions based on </w:t>
      </w:r>
      <w:r w:rsidR="00646D92">
        <w:t>“</w:t>
      </w:r>
      <w:r>
        <w:t>Fisher</w:t>
      </w:r>
      <w:r w:rsidR="00646D92">
        <w:t>”</w:t>
      </w:r>
      <w:bookmarkStart w:id="0" w:name="_GoBack"/>
      <w:bookmarkEnd w:id="0"/>
      <w:r>
        <w:t xml:space="preserve"> formulas</w:t>
      </w:r>
      <w:r w:rsidR="00646D92">
        <w:t xml:space="preserve"> as computed in the National Accounts</w:t>
      </w:r>
      <w:r>
        <w:t xml:space="preserve">, but the differences are minor. </w:t>
      </w:r>
      <w:r w:rsidR="00646D92">
        <w:t xml:space="preserve"> Currently the computations are based on the structure of MAUS 2012, but will be revised to reflect the structure of MAUS 2015 this summer.</w:t>
      </w:r>
    </w:p>
  </w:footnote>
  <w:footnote w:id="3">
    <w:p w:rsidR="00646D92" w:rsidRDefault="00646D92">
      <w:pPr>
        <w:pStyle w:val="FootnoteText"/>
      </w:pPr>
      <w:r>
        <w:rPr>
          <w:rStyle w:val="FootnoteReference"/>
        </w:rPr>
        <w:footnoteRef/>
      </w:r>
      <w:r>
        <w:t xml:space="preserve"> Mnemonics are from MAUS 2012/2015.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E1D42"/>
    <w:multiLevelType w:val="hybridMultilevel"/>
    <w:tmpl w:val="21261C94"/>
    <w:lvl w:ilvl="0" w:tplc="C188F1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C6566"/>
    <w:multiLevelType w:val="hybridMultilevel"/>
    <w:tmpl w:val="32DEF900"/>
    <w:lvl w:ilvl="0" w:tplc="D9504D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F7F"/>
    <w:rsid w:val="00036F15"/>
    <w:rsid w:val="0015224A"/>
    <w:rsid w:val="00275957"/>
    <w:rsid w:val="0034307A"/>
    <w:rsid w:val="003A73D6"/>
    <w:rsid w:val="005231A8"/>
    <w:rsid w:val="00523D2A"/>
    <w:rsid w:val="00592F7F"/>
    <w:rsid w:val="005A7737"/>
    <w:rsid w:val="005A7A54"/>
    <w:rsid w:val="005D7A7E"/>
    <w:rsid w:val="00623742"/>
    <w:rsid w:val="00646D92"/>
    <w:rsid w:val="006512D7"/>
    <w:rsid w:val="00911925"/>
    <w:rsid w:val="00BD243F"/>
    <w:rsid w:val="00BF525C"/>
    <w:rsid w:val="00CC000C"/>
    <w:rsid w:val="00CE2EE3"/>
    <w:rsid w:val="00D4489F"/>
    <w:rsid w:val="00DA6D0F"/>
    <w:rsid w:val="00FC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43F"/>
    <w:pPr>
      <w:ind w:left="720"/>
      <w:contextualSpacing/>
    </w:pPr>
  </w:style>
  <w:style w:type="paragraph" w:styleId="Header">
    <w:name w:val="header"/>
    <w:basedOn w:val="Normal"/>
    <w:link w:val="HeaderChar"/>
    <w:uiPriority w:val="99"/>
    <w:unhideWhenUsed/>
    <w:rsid w:val="005A7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54"/>
  </w:style>
  <w:style w:type="paragraph" w:styleId="Footer">
    <w:name w:val="footer"/>
    <w:basedOn w:val="Normal"/>
    <w:link w:val="FooterChar"/>
    <w:uiPriority w:val="99"/>
    <w:unhideWhenUsed/>
    <w:rsid w:val="005A7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54"/>
  </w:style>
  <w:style w:type="paragraph" w:styleId="FootnoteText">
    <w:name w:val="footnote text"/>
    <w:basedOn w:val="Normal"/>
    <w:link w:val="FootnoteTextChar"/>
    <w:uiPriority w:val="99"/>
    <w:semiHidden/>
    <w:unhideWhenUsed/>
    <w:rsid w:val="005D7A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7A7E"/>
    <w:rPr>
      <w:sz w:val="20"/>
      <w:szCs w:val="20"/>
    </w:rPr>
  </w:style>
  <w:style w:type="character" w:styleId="FootnoteReference">
    <w:name w:val="footnote reference"/>
    <w:basedOn w:val="DefaultParagraphFont"/>
    <w:uiPriority w:val="99"/>
    <w:semiHidden/>
    <w:unhideWhenUsed/>
    <w:rsid w:val="005D7A7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43F"/>
    <w:pPr>
      <w:ind w:left="720"/>
      <w:contextualSpacing/>
    </w:pPr>
  </w:style>
  <w:style w:type="paragraph" w:styleId="Header">
    <w:name w:val="header"/>
    <w:basedOn w:val="Normal"/>
    <w:link w:val="HeaderChar"/>
    <w:uiPriority w:val="99"/>
    <w:unhideWhenUsed/>
    <w:rsid w:val="005A7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54"/>
  </w:style>
  <w:style w:type="paragraph" w:styleId="Footer">
    <w:name w:val="footer"/>
    <w:basedOn w:val="Normal"/>
    <w:link w:val="FooterChar"/>
    <w:uiPriority w:val="99"/>
    <w:unhideWhenUsed/>
    <w:rsid w:val="005A7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54"/>
  </w:style>
  <w:style w:type="paragraph" w:styleId="FootnoteText">
    <w:name w:val="footnote text"/>
    <w:basedOn w:val="Normal"/>
    <w:link w:val="FootnoteTextChar"/>
    <w:uiPriority w:val="99"/>
    <w:semiHidden/>
    <w:unhideWhenUsed/>
    <w:rsid w:val="005D7A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7A7E"/>
    <w:rPr>
      <w:sz w:val="20"/>
      <w:szCs w:val="20"/>
    </w:rPr>
  </w:style>
  <w:style w:type="character" w:styleId="FootnoteReference">
    <w:name w:val="footnote reference"/>
    <w:basedOn w:val="DefaultParagraphFont"/>
    <w:uiPriority w:val="99"/>
    <w:semiHidden/>
    <w:unhideWhenUsed/>
    <w:rsid w:val="005D7A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oleObject" Target="embeddings/oleObject1.bin"/><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F3F1B9-CE99-4BC8-93F2-550DAAE8AE3D}">
  <ds:schemaRefs>
    <ds:schemaRef ds:uri="http://schemas.openxmlformats.org/officeDocument/2006/bibliography"/>
  </ds:schemaRefs>
</ds:datastoreItem>
</file>

<file path=customXml/itemProps2.xml><?xml version="1.0" encoding="utf-8"?>
<ds:datastoreItem xmlns:ds="http://schemas.openxmlformats.org/officeDocument/2006/customXml" ds:itemID="{193AF471-4C8A-461C-A83F-2CA192EA7A3E}"/>
</file>

<file path=customXml/itemProps3.xml><?xml version="1.0" encoding="utf-8"?>
<ds:datastoreItem xmlns:ds="http://schemas.openxmlformats.org/officeDocument/2006/customXml" ds:itemID="{67A35779-A521-474F-BFD8-C516F39BAAA7}"/>
</file>

<file path=customXml/itemProps4.xml><?xml version="1.0" encoding="utf-8"?>
<ds:datastoreItem xmlns:ds="http://schemas.openxmlformats.org/officeDocument/2006/customXml" ds:itemID="{50DF8313-DB5A-4EA7-B66B-DA0567ED116A}"/>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Prakken</dc:creator>
  <cp:lastModifiedBy>Joel Prakken</cp:lastModifiedBy>
  <cp:revision>2</cp:revision>
  <dcterms:created xsi:type="dcterms:W3CDTF">2015-05-19T14:29:00Z</dcterms:created>
  <dcterms:modified xsi:type="dcterms:W3CDTF">2015-05-19T14:29:00Z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