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65040B" w:rsidRDefault="0065040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Updated May</w:t>
      </w:r>
      <w:r w:rsidR="00526472">
        <w:rPr>
          <w:color w:val="000000" w:themeColor="text1"/>
        </w:rPr>
        <w:t xml:space="preserve"> 9</w:t>
      </w:r>
      <w:r w:rsidR="00E566CB">
        <w:rPr>
          <w:color w:val="000000" w:themeColor="text1"/>
        </w:rPr>
        <w:t>, 201</w:t>
      </w:r>
      <w:r>
        <w:rPr>
          <w:color w:val="000000" w:themeColor="text1"/>
        </w:rPr>
        <w:t>6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B72798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This is the process we</w:t>
      </w:r>
      <w:r w:rsidR="00222E77">
        <w:rPr>
          <w:color w:val="000000" w:themeColor="text1"/>
        </w:rPr>
        <w:t xml:space="preserve"> follow for updating </w:t>
      </w:r>
      <w:r w:rsidR="00A27620">
        <w:rPr>
          <w:color w:val="000000" w:themeColor="text1"/>
        </w:rPr>
        <w:t>the Fiscal</w:t>
      </w:r>
      <w:r w:rsidR="00222E77">
        <w:rPr>
          <w:color w:val="000000" w:themeColor="text1"/>
        </w:rPr>
        <w:t xml:space="preserve"> Dashboard.</w:t>
      </w:r>
      <w:r>
        <w:rPr>
          <w:color w:val="000000" w:themeColor="text1"/>
        </w:rPr>
        <w:t xml:space="preserve"> Find all of the spreadsheets mentioned below here: </w:t>
      </w:r>
      <w:r w:rsidRPr="00B72798">
        <w:rPr>
          <w:color w:val="000000" w:themeColor="text1"/>
        </w:rPr>
        <w:t>N:\Hutchins\Projects\FiscalDash</w:t>
      </w:r>
      <w:r>
        <w:rPr>
          <w:color w:val="000000" w:themeColor="text1"/>
        </w:rPr>
        <w:t>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Pr="00E566CB" w:rsidRDefault="008D627B" w:rsidP="00BE664A">
      <w:pPr>
        <w:spacing w:after="0"/>
        <w:rPr>
          <w:color w:val="000000" w:themeColor="text1"/>
        </w:rPr>
      </w:pPr>
      <w:r w:rsidRPr="00E566CB">
        <w:rPr>
          <w:color w:val="000000" w:themeColor="text1"/>
        </w:rPr>
        <w:t>Troubleshooting Contacts: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Haver issues, contact Andrew Bailor (x</w:t>
      </w:r>
      <w:r w:rsidRPr="00E566CB">
        <w:rPr>
          <w:rFonts w:cs="Arial"/>
          <w:color w:val="000000"/>
          <w:shd w:val="clear" w:color="auto" w:fill="FFFFFF"/>
        </w:rPr>
        <w:t>6280)</w:t>
      </w:r>
    </w:p>
    <w:p w:rsidR="002900F9" w:rsidRPr="00E566CB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Tech issues, call Joe Kestell (x</w:t>
      </w:r>
      <w:r w:rsidRPr="00E566CB">
        <w:rPr>
          <w:rFonts w:cs="Arial"/>
          <w:color w:val="000000"/>
          <w:shd w:val="clear" w:color="auto" w:fill="FFFFFF"/>
        </w:rPr>
        <w:t>6087)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 xml:space="preserve">For </w:t>
      </w:r>
      <w:proofErr w:type="spellStart"/>
      <w:r w:rsidRPr="00E566CB">
        <w:rPr>
          <w:color w:val="000000" w:themeColor="text1"/>
        </w:rPr>
        <w:t>Sitecore</w:t>
      </w:r>
      <w:proofErr w:type="spellEnd"/>
      <w:r w:rsidRPr="00E566CB">
        <w:rPr>
          <w:color w:val="000000" w:themeColor="text1"/>
        </w:rPr>
        <w:t>/publishin</w:t>
      </w:r>
      <w:r w:rsidR="00866EE8" w:rsidRPr="00E566CB">
        <w:rPr>
          <w:color w:val="000000" w:themeColor="text1"/>
        </w:rPr>
        <w:t xml:space="preserve">g issues, contact </w:t>
      </w:r>
      <w:r w:rsidR="00E566CB" w:rsidRPr="00E566CB">
        <w:rPr>
          <w:color w:val="000000" w:themeColor="text1"/>
        </w:rPr>
        <w:t>Eric Abalahin (x6559)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642"/>
        <w:gridCol w:w="1318"/>
      </w:tblGrid>
      <w:tr w:rsidR="00C779D8" w:rsidRPr="00C779D8" w:rsidTr="00792155">
        <w:trPr>
          <w:trHeight w:val="665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792155" w:rsidRDefault="006D0DFB" w:rsidP="00BE664A">
            <w:pPr>
              <w:rPr>
                <w:b/>
                <w:color w:val="000000" w:themeColor="text1"/>
              </w:rPr>
            </w:pPr>
            <w:r w:rsidRPr="00792155">
              <w:rPr>
                <w:b/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792155" w:rsidRDefault="006D0DFB" w:rsidP="00BE664A">
            <w:pPr>
              <w:rPr>
                <w:b/>
                <w:color w:val="000000" w:themeColor="text1"/>
              </w:rPr>
            </w:pPr>
            <w:r w:rsidRPr="00792155">
              <w:rPr>
                <w:b/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2B446E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</w:t>
            </w:r>
            <w:r w:rsidR="002B446E">
              <w:rPr>
                <w:color w:val="000000" w:themeColor="text1"/>
              </w:rPr>
              <w:t>CBO data in “CBO Monthly Calculations Final”</w:t>
            </w:r>
          </w:p>
        </w:tc>
        <w:tc>
          <w:tcPr>
            <w:tcW w:w="5642" w:type="dxa"/>
          </w:tcPr>
          <w:p w:rsidR="001214AB" w:rsidRPr="009E07E2" w:rsidRDefault="00821D9B" w:rsidP="00821D9B">
            <w:pPr>
              <w:rPr>
                <w:rStyle w:val="Hyperlink"/>
                <w:color w:val="000000" w:themeColor="text1"/>
                <w:u w:val="none"/>
              </w:rPr>
            </w:pPr>
            <w:r>
              <w:rPr>
                <w:color w:val="000000" w:themeColor="text1"/>
              </w:rPr>
              <w:t xml:space="preserve">Find the updated </w:t>
            </w:r>
            <w:r w:rsidR="001214AB">
              <w:rPr>
                <w:color w:val="000000" w:themeColor="text1"/>
              </w:rPr>
              <w:t xml:space="preserve">CBO data here: </w:t>
            </w:r>
            <w:hyperlink r:id="rId5" w:history="1">
              <w:r w:rsidR="001214AB" w:rsidRPr="00ED27AD">
                <w:rPr>
                  <w:rStyle w:val="Hyperlink"/>
                </w:rPr>
                <w:t>https://www.cbo.gov/about/products/RecurringReports</w:t>
              </w:r>
            </w:hyperlink>
          </w:p>
          <w:p w:rsidR="009E07E2" w:rsidRDefault="009E07E2" w:rsidP="00821D9B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 under heading  “Monthly Budget Review” for most recent data</w:t>
            </w:r>
          </w:p>
          <w:p w:rsidR="00BA44D5" w:rsidRDefault="00792155" w:rsidP="00BA44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the “CBO Monthly Calculations Final” workbook and e</w:t>
            </w:r>
            <w:r w:rsidR="00BA44D5">
              <w:rPr>
                <w:color w:val="000000" w:themeColor="text1"/>
              </w:rPr>
              <w:t>nter new CBO data into the “raw” tab</w:t>
            </w:r>
          </w:p>
          <w:p w:rsidR="00821D9B" w:rsidRDefault="00BA44D5" w:rsidP="00BA44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Find the receipts table (typically the second table of the document) and enter this data first. </w:t>
            </w:r>
          </w:p>
          <w:p w:rsidR="000027BF" w:rsidRDefault="000027BF" w:rsidP="00BA44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 the same for outlay data (typically the third table of the document). A few notes: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there is no longer a line item for any field (i.e. Unemployment Insurance or TARP), enter a 0</w:t>
            </w:r>
            <w:r w:rsidR="00B32DDB">
              <w:rPr>
                <w:color w:val="000000" w:themeColor="text1"/>
              </w:rPr>
              <w:t xml:space="preserve"> (or n.m. in the changes section – just follow the example of the past entries)</w:t>
            </w:r>
            <w:r>
              <w:rPr>
                <w:color w:val="000000" w:themeColor="text1"/>
              </w:rPr>
              <w:t>.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“Marketplace Subsidies” into the line that reads “</w:t>
            </w:r>
            <w:r w:rsidRPr="000027BF">
              <w:rPr>
                <w:color w:val="000000" w:themeColor="text1"/>
              </w:rPr>
              <w:t>&gt; Other Activities (</w:t>
            </w:r>
            <w:proofErr w:type="spellStart"/>
            <w:proofErr w:type="gramStart"/>
            <w:r w:rsidRPr="000027BF">
              <w:rPr>
                <w:color w:val="000000" w:themeColor="text1"/>
              </w:rPr>
              <w:t>incl</w:t>
            </w:r>
            <w:proofErr w:type="spellEnd"/>
            <w:r w:rsidRPr="000027BF">
              <w:rPr>
                <w:color w:val="000000" w:themeColor="text1"/>
              </w:rPr>
              <w:t xml:space="preserve">  one</w:t>
            </w:r>
            <w:proofErr w:type="gramEnd"/>
            <w:r w:rsidRPr="000027BF">
              <w:rPr>
                <w:color w:val="000000" w:themeColor="text1"/>
              </w:rPr>
              <w:t>, not the other) or exchange subsidies</w:t>
            </w:r>
            <w:r>
              <w:rPr>
                <w:color w:val="000000" w:themeColor="text1"/>
              </w:rPr>
              <w:t>”.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line items in red are calculations. Extend these each month when you input the new data</w:t>
            </w:r>
          </w:p>
          <w:p w:rsidR="000027BF" w:rsidRPr="00BA44D5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some months, the outlays table will </w:t>
            </w:r>
            <w:r>
              <w:rPr>
                <w:color w:val="000000" w:themeColor="text1"/>
              </w:rPr>
              <w:lastRenderedPageBreak/>
              <w:t xml:space="preserve">include a section with a header reading “Estimated Change with Adjustments for Timing Shifts”. </w:t>
            </w:r>
            <w:r w:rsidR="00DF6220">
              <w:rPr>
                <w:color w:val="000000" w:themeColor="text1"/>
              </w:rPr>
              <w:t>In these months, input these changes. When they don’t include the timing shifts, just use the regular estimated change.</w:t>
            </w:r>
          </w:p>
          <w:p w:rsidR="00821D9B" w:rsidRDefault="00B32DDB" w:rsidP="00821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entering the new data in the “raw” tab, all others will update automatically.</w:t>
            </w:r>
          </w:p>
          <w:p w:rsidR="00B32DDB" w:rsidRDefault="00B32DDB" w:rsidP="00821D9B">
            <w:pPr>
              <w:rPr>
                <w:color w:val="000000" w:themeColor="text1"/>
              </w:rPr>
            </w:pPr>
          </w:p>
          <w:p w:rsidR="00B32DDB" w:rsidRDefault="00B32DDB" w:rsidP="00821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and close.</w:t>
            </w:r>
          </w:p>
          <w:p w:rsidR="00821D9B" w:rsidRDefault="00821D9B" w:rsidP="00821D9B">
            <w:pPr>
              <w:rPr>
                <w:color w:val="000000" w:themeColor="text1"/>
              </w:rPr>
            </w:pPr>
          </w:p>
          <w:p w:rsidR="00821D9B" w:rsidRPr="005229A0" w:rsidRDefault="00B32DDB" w:rsidP="00821D9B">
            <w:pPr>
              <w:rPr>
                <w:color w:val="FF0000"/>
              </w:rPr>
            </w:pPr>
            <w:r w:rsidRPr="005229A0">
              <w:rPr>
                <w:color w:val="FF0000"/>
              </w:rPr>
              <w:t>Note: For the October update (which occurs in November), there is no d</w:t>
            </w:r>
            <w:r w:rsidR="005229A0" w:rsidRPr="005229A0">
              <w:rPr>
                <w:color w:val="FF0000"/>
              </w:rPr>
              <w:t xml:space="preserve">ata to </w:t>
            </w:r>
            <w:r w:rsidR="005229A0">
              <w:rPr>
                <w:color w:val="FF0000"/>
              </w:rPr>
              <w:t>enter, because CBO does not publish</w:t>
            </w:r>
            <w:r w:rsidR="005229A0" w:rsidRPr="005229A0">
              <w:rPr>
                <w:color w:val="FF0000"/>
              </w:rPr>
              <w:t xml:space="preserve"> a month</w:t>
            </w:r>
            <w:r w:rsidR="005229A0">
              <w:rPr>
                <w:color w:val="FF0000"/>
              </w:rPr>
              <w:t>ly update in November</w:t>
            </w:r>
            <w:r w:rsidR="005229A0" w:rsidRPr="005229A0">
              <w:rPr>
                <w:color w:val="FF0000"/>
              </w:rPr>
              <w:t>. Instead, CBO publishes a yearly</w:t>
            </w:r>
            <w:r w:rsidR="005229A0">
              <w:rPr>
                <w:color w:val="FF0000"/>
              </w:rPr>
              <w:t xml:space="preserve"> review</w:t>
            </w:r>
            <w:r w:rsidR="005229A0" w:rsidRPr="005229A0">
              <w:rPr>
                <w:color w:val="FF0000"/>
              </w:rPr>
              <w:t xml:space="preserve"> (you’ll find it in the same place as the monthly reviews).  Because of this, you should enter no data into the “CBO Monthly Calculations Final” </w:t>
            </w:r>
            <w:r w:rsidR="005229A0">
              <w:rPr>
                <w:color w:val="FF0000"/>
              </w:rPr>
              <w:t>that month and</w:t>
            </w:r>
            <w:r w:rsidR="005229A0" w:rsidRPr="005229A0">
              <w:rPr>
                <w:color w:val="FF0000"/>
              </w:rPr>
              <w:t xml:space="preserve"> instead enter the data from the yearly review directly into the “Fiscal Barometer” workbook tab “</w:t>
            </w:r>
            <w:proofErr w:type="spellStart"/>
            <w:r w:rsidR="005229A0" w:rsidRPr="005229A0">
              <w:rPr>
                <w:color w:val="FF0000"/>
              </w:rPr>
              <w:t>Panel_TaxesandSpending</w:t>
            </w:r>
            <w:proofErr w:type="spellEnd"/>
            <w:r w:rsidR="005229A0" w:rsidRPr="005229A0">
              <w:rPr>
                <w:color w:val="FF0000"/>
              </w:rPr>
              <w:t xml:space="preserve">”, but only </w:t>
            </w:r>
            <w:r w:rsidR="005229A0" w:rsidRPr="005229A0">
              <w:rPr>
                <w:b/>
                <w:color w:val="FF0000"/>
              </w:rPr>
              <w:t>AFTER</w:t>
            </w:r>
            <w:r w:rsidR="005229A0" w:rsidRPr="005229A0">
              <w:rPr>
                <w:color w:val="FF0000"/>
              </w:rPr>
              <w:t xml:space="preserve"> hitting the </w:t>
            </w:r>
            <w:r w:rsidR="005229A0">
              <w:rPr>
                <w:color w:val="FF0000"/>
              </w:rPr>
              <w:t>“Get Data”</w:t>
            </w:r>
            <w:r w:rsidR="005229A0" w:rsidRPr="005229A0">
              <w:rPr>
                <w:color w:val="FF0000"/>
              </w:rPr>
              <w:t xml:space="preserve"> button. </w:t>
            </w:r>
            <w:r w:rsidR="004060F7">
              <w:rPr>
                <w:color w:val="FF0000"/>
              </w:rPr>
              <w:t xml:space="preserve">This should be done after updating both the “Fiscal Impact” and “Fiscal </w:t>
            </w:r>
            <w:proofErr w:type="spellStart"/>
            <w:r w:rsidR="004060F7">
              <w:rPr>
                <w:color w:val="FF0000"/>
              </w:rPr>
              <w:t>Baromenter</w:t>
            </w:r>
            <w:proofErr w:type="spellEnd"/>
            <w:r w:rsidR="004060F7">
              <w:rPr>
                <w:color w:val="FF0000"/>
              </w:rPr>
              <w:t xml:space="preserve">” workbooks. </w:t>
            </w:r>
            <w:r w:rsidR="005229A0" w:rsidRPr="005229A0">
              <w:rPr>
                <w:color w:val="FF0000"/>
              </w:rPr>
              <w:t>In the next month’s update, data entry will resume as normal.</w:t>
            </w:r>
          </w:p>
          <w:p w:rsidR="0069080E" w:rsidRPr="003D0EC4" w:rsidRDefault="0069080E" w:rsidP="00690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6D0DFB" w:rsidRPr="003D0EC4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Anna</w:t>
            </w:r>
          </w:p>
        </w:tc>
      </w:tr>
      <w:tr w:rsidR="002B446E" w:rsidRPr="00C779D8" w:rsidTr="00B76D9C">
        <w:tc>
          <w:tcPr>
            <w:tcW w:w="2445" w:type="dxa"/>
          </w:tcPr>
          <w:p w:rsidR="002B446E" w:rsidRPr="00C779D8" w:rsidRDefault="002B446E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“Fiscal Impact” workbook</w:t>
            </w:r>
          </w:p>
        </w:tc>
        <w:tc>
          <w:tcPr>
            <w:tcW w:w="5642" w:type="dxa"/>
          </w:tcPr>
          <w:p w:rsidR="002B446E" w:rsidRDefault="005229A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</w:t>
            </w:r>
            <w:r w:rsidR="00792155">
              <w:rPr>
                <w:color w:val="000000" w:themeColor="text1"/>
              </w:rPr>
              <w:t xml:space="preserve">the “Fiscal Impact workbook and hit </w:t>
            </w:r>
            <w:proofErr w:type="spellStart"/>
            <w:r w:rsidR="00792155">
              <w:rPr>
                <w:color w:val="000000" w:themeColor="text1"/>
              </w:rPr>
              <w:t>Ctrl+Shift+D</w:t>
            </w:r>
            <w:proofErr w:type="spellEnd"/>
            <w:r w:rsidR="00792155">
              <w:rPr>
                <w:color w:val="000000" w:themeColor="text1"/>
              </w:rPr>
              <w:t xml:space="preserve"> to update all of the Haver data in this spreadsheet.</w:t>
            </w:r>
          </w:p>
          <w:p w:rsidR="00792155" w:rsidRDefault="00792155" w:rsidP="00792155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there is a new quarter of data available, you may need to manually extend the horizontal axis on the charts in both the “</w:t>
            </w:r>
            <w:proofErr w:type="spellStart"/>
            <w:r>
              <w:rPr>
                <w:color w:val="000000" w:themeColor="text1"/>
              </w:rPr>
              <w:t>Panel_FiscalImpact</w:t>
            </w:r>
            <w:proofErr w:type="spellEnd"/>
            <w:r>
              <w:rPr>
                <w:color w:val="000000" w:themeColor="text1"/>
              </w:rPr>
              <w:t>” and “</w:t>
            </w:r>
            <w:proofErr w:type="spellStart"/>
            <w:r>
              <w:rPr>
                <w:color w:val="000000" w:themeColor="text1"/>
              </w:rPr>
              <w:t>FIPieces</w:t>
            </w:r>
            <w:proofErr w:type="spellEnd"/>
            <w:r>
              <w:rPr>
                <w:color w:val="000000" w:themeColor="text1"/>
              </w:rPr>
              <w:t>” tabs.</w:t>
            </w:r>
          </w:p>
          <w:p w:rsidR="00792155" w:rsidRPr="00792155" w:rsidRDefault="00792155" w:rsidP="00792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and close.</w:t>
            </w:r>
          </w:p>
        </w:tc>
        <w:tc>
          <w:tcPr>
            <w:tcW w:w="1291" w:type="dxa"/>
          </w:tcPr>
          <w:p w:rsidR="002B446E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</w:tr>
      <w:tr w:rsidR="002B446E" w:rsidRPr="00C779D8" w:rsidTr="00B76D9C">
        <w:tc>
          <w:tcPr>
            <w:tcW w:w="2445" w:type="dxa"/>
          </w:tcPr>
          <w:p w:rsidR="002B446E" w:rsidRPr="00C779D8" w:rsidRDefault="002B446E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“Fiscal Barometer” workbook</w:t>
            </w:r>
          </w:p>
        </w:tc>
        <w:tc>
          <w:tcPr>
            <w:tcW w:w="5642" w:type="dxa"/>
          </w:tcPr>
          <w:p w:rsidR="002B446E" w:rsidRDefault="00792155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the “Fiscal Barometer” workbook and go to </w:t>
            </w:r>
            <w:r w:rsidR="004060F7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“Master” tab.</w:t>
            </w:r>
          </w:p>
          <w:p w:rsidR="004060F7" w:rsidRDefault="004060F7" w:rsidP="00BE664A">
            <w:pPr>
              <w:rPr>
                <w:color w:val="000000" w:themeColor="text1"/>
              </w:rPr>
            </w:pPr>
          </w:p>
          <w:p w:rsidR="004060F7" w:rsidRDefault="004060F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the “Get Data” button to retrieve all data from the previous two workbooks and to update all Haver and Fred data in this workbook.</w:t>
            </w:r>
          </w:p>
          <w:p w:rsidR="004060F7" w:rsidRDefault="004060F7" w:rsidP="00BE664A">
            <w:pPr>
              <w:rPr>
                <w:color w:val="000000" w:themeColor="text1"/>
              </w:rPr>
            </w:pPr>
          </w:p>
          <w:p w:rsidR="004060F7" w:rsidRPr="003D0EC4" w:rsidRDefault="004060F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“Spending by Category” tab and copy the most recent available data from columns G, H, I, and J</w:t>
            </w:r>
            <w:r w:rsidR="00B72798">
              <w:rPr>
                <w:color w:val="000000" w:themeColor="text1"/>
              </w:rPr>
              <w:t xml:space="preserve"> and paste it into columns C, D, E, and F for the same year.</w:t>
            </w:r>
          </w:p>
        </w:tc>
        <w:tc>
          <w:tcPr>
            <w:tcW w:w="1291" w:type="dxa"/>
          </w:tcPr>
          <w:p w:rsidR="002B446E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Produce final CSVs and Charts</w:t>
            </w:r>
          </w:p>
        </w:tc>
        <w:tc>
          <w:tcPr>
            <w:tcW w:w="5642" w:type="dxa"/>
          </w:tcPr>
          <w:p w:rsidR="000C3B68" w:rsidRDefault="00B7279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</w:t>
            </w:r>
            <w:r w:rsidR="000C3B68" w:rsidRPr="00C779D8">
              <w:rPr>
                <w:color w:val="000000" w:themeColor="text1"/>
              </w:rPr>
              <w:t xml:space="preserve"> the “Save CSV Files” and “PDF Charts” </w:t>
            </w:r>
            <w:r w:rsidR="008D1F13">
              <w:rPr>
                <w:color w:val="000000" w:themeColor="text1"/>
              </w:rPr>
              <w:t>buttons</w:t>
            </w:r>
            <w:r w:rsidR="004E5501">
              <w:rPr>
                <w:color w:val="000000" w:themeColor="text1"/>
              </w:rPr>
              <w:t xml:space="preserve"> in the “Master” tab</w:t>
            </w:r>
            <w:r w:rsidR="000C3B68" w:rsidRPr="00C779D8">
              <w:rPr>
                <w:color w:val="000000" w:themeColor="text1"/>
              </w:rPr>
              <w:t xml:space="preserve">. </w:t>
            </w:r>
          </w:p>
          <w:p w:rsidR="005E627B" w:rsidRPr="005E627B" w:rsidRDefault="00B72798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creates a folder with today’s date in the “</w:t>
            </w:r>
            <w:proofErr w:type="spellStart"/>
            <w:r>
              <w:rPr>
                <w:rFonts w:ascii="Calibri" w:eastAsia="Times New Roman" w:hAnsi="Calibri" w:cs="Times New Roman"/>
              </w:rPr>
              <w:t>FiscalDash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” folder. Go </w:t>
            </w:r>
            <w:r w:rsidR="004E5501">
              <w:rPr>
                <w:rFonts w:ascii="Calibri" w:eastAsia="Times New Roman" w:hAnsi="Calibri" w:cs="Times New Roman"/>
              </w:rPr>
              <w:t>in</w:t>
            </w:r>
            <w:r>
              <w:rPr>
                <w:rFonts w:ascii="Calibri" w:eastAsia="Times New Roman" w:hAnsi="Calibri" w:cs="Times New Roman"/>
              </w:rPr>
              <w:t>to this folder and c</w:t>
            </w:r>
            <w:r w:rsidR="005E627B">
              <w:rPr>
                <w:rFonts w:ascii="Calibri" w:eastAsia="Times New Roman" w:hAnsi="Calibri" w:cs="Times New Roman"/>
              </w:rPr>
              <w:t xml:space="preserve">ombine 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  <w:r>
              <w:rPr>
                <w:rFonts w:ascii="Calibri" w:eastAsia="Times New Roman" w:hAnsi="Calibri" w:cs="Times New Roman"/>
              </w:rPr>
              <w:t>.</w:t>
            </w:r>
          </w:p>
          <w:p w:rsidR="005E627B" w:rsidRPr="00E566CB" w:rsidRDefault="005E627B" w:rsidP="00B7279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5E627B">
              <w:rPr>
                <w:color w:val="000000" w:themeColor="text1"/>
              </w:rPr>
              <w:lastRenderedPageBreak/>
              <w:t>Save the Combined PDF in this for</w:t>
            </w:r>
            <w:r>
              <w:rPr>
                <w:color w:val="000000" w:themeColor="text1"/>
              </w:rPr>
              <w:t>mat in the relevant date folder:</w:t>
            </w:r>
            <w:r w:rsidR="00B72798">
              <w:rPr>
                <w:color w:val="000000" w:themeColor="text1"/>
              </w:rPr>
              <w:t xml:space="preserve"> </w:t>
            </w:r>
            <w:r w:rsidR="000E2B0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.pdf</w:t>
            </w:r>
          </w:p>
        </w:tc>
        <w:tc>
          <w:tcPr>
            <w:tcW w:w="1291" w:type="dxa"/>
          </w:tcPr>
          <w:p w:rsidR="000C3B68" w:rsidRPr="00C779D8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Anna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to see if the data 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all the raw data spreadsheets as well as the yellow 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data updated properly: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CBO table (compare to the manually updated spreadsheet) 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Fiscal Impact should be updated to the quarter of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Structures should be updated to the same quarter as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 include the most recent </w:t>
            </w:r>
            <w:r w:rsidR="004F36B9">
              <w:rPr>
                <w:color w:val="000000" w:themeColor="text1"/>
              </w:rPr>
              <w:t>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and local tax receipts  for census data—check if there was an update</w:t>
            </w:r>
          </w:p>
          <w:p w:rsidR="00734F6F" w:rsidRPr="004B58A9" w:rsidRDefault="00734F6F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sure the CSV file </w:t>
            </w:r>
            <w:proofErr w:type="spellStart"/>
            <w:r>
              <w:rPr>
                <w:b/>
                <w:color w:val="000000" w:themeColor="text1"/>
              </w:rPr>
              <w:t>taxes_stateFinal</w:t>
            </w:r>
            <w:proofErr w:type="spellEnd"/>
            <w:r>
              <w:rPr>
                <w:color w:val="000000" w:themeColor="text1"/>
              </w:rPr>
              <w:t xml:space="preserve"> doesn’t have an extra date-row at the end.</w:t>
            </w:r>
            <w:r w:rsidR="00E33A11">
              <w:rPr>
                <w:color w:val="000000" w:themeColor="text1"/>
              </w:rPr>
              <w:t xml:space="preserve"> (i.e. “</w:t>
            </w:r>
            <w:r w:rsidR="00E33A11">
              <w:rPr>
                <w:rFonts w:ascii="Courier New" w:hAnsi="Courier New" w:cs="Courier New"/>
              </w:rPr>
              <w:t>10/01/2014,,0”)</w:t>
            </w:r>
            <w:r w:rsidR="004B58A9">
              <w:rPr>
                <w:rFonts w:ascii="Courier New" w:hAnsi="Courier New" w:cs="Courier New"/>
              </w:rPr>
              <w:t>`</w:t>
            </w:r>
          </w:p>
          <w:p w:rsidR="004B58A9" w:rsidRPr="00343F9D" w:rsidRDefault="004B58A9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 w:rsidRPr="004B58A9">
              <w:rPr>
                <w:color w:val="000000" w:themeColor="text1"/>
              </w:rPr>
              <w:t>Delete it if it does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Employment data should have a bar for the previous month (as long as it’s after that first Friday of the month)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Formatting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Default="008D1F13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(should be</w:t>
            </w:r>
            <w:r w:rsidR="00B76D9C">
              <w:rPr>
                <w:color w:val="000000" w:themeColor="text1"/>
              </w:rPr>
              <w:t xml:space="preserve"> inflation3</w:t>
            </w:r>
            <w:r>
              <w:rPr>
                <w:color w:val="000000" w:themeColor="text1"/>
              </w:rPr>
              <w:t xml:space="preserve">d, not </w:t>
            </w:r>
            <w:r w:rsidR="00B76D9C">
              <w:rPr>
                <w:color w:val="000000" w:themeColor="text1"/>
              </w:rPr>
              <w:t>inflation3)</w:t>
            </w:r>
          </w:p>
          <w:p w:rsidR="005E714C" w:rsidRPr="00C779D8" w:rsidRDefault="005E714C" w:rsidP="005E714C">
            <w:pPr>
              <w:pStyle w:val="ListParagraph"/>
              <w:ind w:left="1440"/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BA12C3">
              <w:rPr>
                <w:color w:val="000000" w:themeColor="text1"/>
              </w:rPr>
              <w:t>“</w:t>
            </w:r>
            <w:r w:rsidR="00BA12C3" w:rsidRPr="00BA12C3">
              <w:rPr>
                <w:color w:val="000000" w:themeColor="text1"/>
                <w:sz w:val="24"/>
                <w:szCs w:val="24"/>
              </w:rPr>
              <w:t xml:space="preserve">2.0 from </w:t>
            </w:r>
            <w:r w:rsidR="00BA12C3">
              <w:rPr>
                <w:color w:val="000000" w:themeColor="text1"/>
                <w:sz w:val="24"/>
                <w:szCs w:val="24"/>
              </w:rPr>
              <w:t xml:space="preserve">Marcia”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rookings” logo is being cut off at the </w:t>
            </w:r>
            <w:r>
              <w:rPr>
                <w:color w:val="000000" w:themeColor="text1"/>
              </w:rPr>
              <w:lastRenderedPageBreak/>
              <w:t>top</w:t>
            </w:r>
          </w:p>
          <w:p w:rsidR="000C3B68" w:rsidRPr="00E566CB" w:rsidRDefault="000E2B03" w:rsidP="00E566C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Peter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Correct any </w:t>
            </w:r>
            <w:r w:rsidR="00311008">
              <w:rPr>
                <w:color w:val="000000" w:themeColor="text1"/>
              </w:rPr>
              <w:t xml:space="preserve">one 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E566CB">
              <w:rPr>
                <w:color w:val="000000" w:themeColor="text1"/>
              </w:rPr>
              <w:t>the group</w:t>
            </w:r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E3CE7" w:rsidRPr="00C779D8" w:rsidTr="00B76D9C">
        <w:tc>
          <w:tcPr>
            <w:tcW w:w="2445" w:type="dxa"/>
          </w:tcPr>
          <w:p w:rsidR="003E3CE7" w:rsidRDefault="003E3CE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local copy</w:t>
            </w:r>
          </w:p>
        </w:tc>
        <w:tc>
          <w:tcPr>
            <w:tcW w:w="5642" w:type="dxa"/>
          </w:tcPr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0000" w:themeColor="text1"/>
              </w:rPr>
              <w:t>Copy the most updated CSV files to this folder (overwrite existing files)</w:t>
            </w:r>
            <w:r w:rsidRPr="003E3CE7">
              <w:rPr>
                <w:color w:val="FF0000"/>
              </w:rPr>
              <w:t xml:space="preserve"> </w:t>
            </w:r>
            <w:r w:rsidRPr="00E566CB">
              <w:t>N:\Hutchins\Projects\FiscalDash\local_PS\4.2.15 Hutchins - Fiscal Barometer local copy\csv</w:t>
            </w:r>
          </w:p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 w:rsidRPr="00E566CB">
              <w:t>Open index.html in Firefox</w:t>
            </w:r>
          </w:p>
          <w:p w:rsidR="00E566CB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 through each chart in the </w:t>
            </w:r>
            <w:proofErr w:type="spellStart"/>
            <w:r>
              <w:rPr>
                <w:color w:val="000000" w:themeColor="text1"/>
              </w:rPr>
              <w:t>firefox</w:t>
            </w:r>
            <w:proofErr w:type="spellEnd"/>
            <w:r>
              <w:rPr>
                <w:color w:val="000000" w:themeColor="text1"/>
              </w:rPr>
              <w:t xml:space="preserve"> browser to make sure the data shows up </w:t>
            </w:r>
          </w:p>
          <w:p w:rsidR="003E3CE7" w:rsidRPr="00311008" w:rsidRDefault="00E566CB" w:rsidP="00E566CB">
            <w:pPr>
              <w:pStyle w:val="ListParagraph"/>
              <w:numPr>
                <w:ilvl w:val="1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Note: </w:t>
            </w:r>
            <w:r w:rsidR="003E3CE7">
              <w:rPr>
                <w:color w:val="000000" w:themeColor="text1"/>
              </w:rPr>
              <w:t>tooltip, etc</w:t>
            </w:r>
            <w:r>
              <w:rPr>
                <w:color w:val="000000" w:themeColor="text1"/>
              </w:rPr>
              <w:t>. won’t work on the local copy</w:t>
            </w:r>
          </w:p>
        </w:tc>
        <w:tc>
          <w:tcPr>
            <w:tcW w:w="1291" w:type="dxa"/>
          </w:tcPr>
          <w:p w:rsidR="003E3CE7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E566CB" w:rsidRDefault="00E566CB" w:rsidP="005D20BC">
            <w:r w:rsidRPr="00E566CB">
              <w:t>Update</w:t>
            </w:r>
            <w:r w:rsidR="000C3B68" w:rsidRPr="00E566CB">
              <w:t xml:space="preserve"> </w:t>
            </w:r>
            <w:r w:rsidR="005D20BC">
              <w:t>WordPress</w:t>
            </w:r>
          </w:p>
        </w:tc>
        <w:tc>
          <w:tcPr>
            <w:tcW w:w="5642" w:type="dxa"/>
          </w:tcPr>
          <w:p w:rsidR="000C3B68" w:rsidRDefault="00B76D9C" w:rsidP="00BE664A">
            <w:r w:rsidRPr="00E566CB">
              <w:t xml:space="preserve">Once the local version </w:t>
            </w:r>
            <w:r w:rsidR="000C3B68" w:rsidRPr="00E566CB">
              <w:t>look</w:t>
            </w:r>
            <w:r w:rsidR="00862629" w:rsidRPr="00E566CB">
              <w:t>s</w:t>
            </w:r>
            <w:r w:rsidR="000C3B68" w:rsidRPr="00E566CB">
              <w:t xml:space="preserve"> okay, </w:t>
            </w:r>
            <w:r w:rsidR="005D20BC">
              <w:t xml:space="preserve">send all documents to </w:t>
            </w:r>
            <w:proofErr w:type="spellStart"/>
            <w:r w:rsidR="00DE0E33">
              <w:t>Yohann</w:t>
            </w:r>
            <w:proofErr w:type="spellEnd"/>
            <w:r w:rsidR="00DE0E33">
              <w:t xml:space="preserve"> Paris</w:t>
            </w:r>
            <w:r w:rsidR="005D20BC">
              <w:t xml:space="preserve"> (</w:t>
            </w:r>
            <w:hyperlink r:id="rId6" w:history="1">
              <w:r w:rsidR="00DE0E33" w:rsidRPr="00C50BDD">
                <w:rPr>
                  <w:rStyle w:val="Hyperlink"/>
                </w:rPr>
                <w:t>yparis@brookings.edu</w:t>
              </w:r>
            </w:hyperlink>
            <w:r w:rsidR="005D20BC">
              <w:t xml:space="preserve">) in Central COMM. </w:t>
            </w:r>
          </w:p>
          <w:p w:rsidR="005D20BC" w:rsidRDefault="005D20BC" w:rsidP="00BE664A"/>
          <w:p w:rsidR="005D20BC" w:rsidRDefault="005D20BC" w:rsidP="005D20BC">
            <w:pPr>
              <w:pStyle w:val="ListParagraph"/>
              <w:numPr>
                <w:ilvl w:val="0"/>
                <w:numId w:val="18"/>
              </w:numPr>
            </w:pPr>
            <w:r>
              <w:t>Make sure to note that the “FiscalBarometer.pdf” doc s</w:t>
            </w:r>
            <w:bookmarkStart w:id="0" w:name="_GoBack"/>
            <w:bookmarkEnd w:id="0"/>
            <w:r>
              <w:t xml:space="preserve">hould be the one linked under “Print all charts” </w:t>
            </w:r>
          </w:p>
          <w:p w:rsidR="00C3684A" w:rsidRPr="005D20BC" w:rsidRDefault="005D20BC" w:rsidP="005D20BC">
            <w:pPr>
              <w:pStyle w:val="ListParagraph"/>
              <w:numPr>
                <w:ilvl w:val="0"/>
                <w:numId w:val="18"/>
              </w:numPr>
            </w:pPr>
            <w:r>
              <w:t>Go into WordPress and change “Last Updated” date to reflect most recent update</w:t>
            </w:r>
          </w:p>
        </w:tc>
        <w:tc>
          <w:tcPr>
            <w:tcW w:w="1291" w:type="dxa"/>
          </w:tcPr>
          <w:p w:rsidR="000C3B68" w:rsidRPr="00C779D8" w:rsidRDefault="00B600A6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Peter/Lilia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Check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="009D6EC7">
              <w:rPr>
                <w:color w:val="000000" w:themeColor="text1"/>
              </w:rPr>
              <w:t>on site core</w:t>
            </w:r>
          </w:p>
          <w:p w:rsidR="00617B24" w:rsidRPr="00617B24" w:rsidRDefault="00E566CB" w:rsidP="00E566C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PDF to make sure it is updated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2405"/>
    <w:multiLevelType w:val="hybridMultilevel"/>
    <w:tmpl w:val="1D0E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618C4"/>
    <w:multiLevelType w:val="hybridMultilevel"/>
    <w:tmpl w:val="9196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25A1B"/>
    <w:multiLevelType w:val="hybridMultilevel"/>
    <w:tmpl w:val="17B6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2"/>
  </w:num>
  <w:num w:numId="6">
    <w:abstractNumId w:val="5"/>
  </w:num>
  <w:num w:numId="7">
    <w:abstractNumId w:val="3"/>
  </w:num>
  <w:num w:numId="8">
    <w:abstractNumId w:val="0"/>
  </w:num>
  <w:num w:numId="9">
    <w:abstractNumId w:val="13"/>
  </w:num>
  <w:num w:numId="10">
    <w:abstractNumId w:val="2"/>
  </w:num>
  <w:num w:numId="11">
    <w:abstractNumId w:val="16"/>
  </w:num>
  <w:num w:numId="12">
    <w:abstractNumId w:val="11"/>
  </w:num>
  <w:num w:numId="13">
    <w:abstractNumId w:val="1"/>
  </w:num>
  <w:num w:numId="14">
    <w:abstractNumId w:val="17"/>
  </w:num>
  <w:num w:numId="15">
    <w:abstractNumId w:val="6"/>
  </w:num>
  <w:num w:numId="16">
    <w:abstractNumId w:val="7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D"/>
    <w:rsid w:val="000012FD"/>
    <w:rsid w:val="000027BF"/>
    <w:rsid w:val="00004240"/>
    <w:rsid w:val="000067ED"/>
    <w:rsid w:val="00016339"/>
    <w:rsid w:val="0008661A"/>
    <w:rsid w:val="000905B0"/>
    <w:rsid w:val="0009651E"/>
    <w:rsid w:val="000C3B68"/>
    <w:rsid w:val="000E2B03"/>
    <w:rsid w:val="00102FE4"/>
    <w:rsid w:val="001214AB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2B446E"/>
    <w:rsid w:val="00311008"/>
    <w:rsid w:val="003349FF"/>
    <w:rsid w:val="00343F9D"/>
    <w:rsid w:val="00345B94"/>
    <w:rsid w:val="00347ACD"/>
    <w:rsid w:val="00381F92"/>
    <w:rsid w:val="003A7D45"/>
    <w:rsid w:val="003D0EC4"/>
    <w:rsid w:val="003E3CE7"/>
    <w:rsid w:val="004060F7"/>
    <w:rsid w:val="004273F7"/>
    <w:rsid w:val="00493EB1"/>
    <w:rsid w:val="004B58A9"/>
    <w:rsid w:val="004E5501"/>
    <w:rsid w:val="004F36B9"/>
    <w:rsid w:val="00500D34"/>
    <w:rsid w:val="0050362D"/>
    <w:rsid w:val="005229A0"/>
    <w:rsid w:val="00525FBE"/>
    <w:rsid w:val="00526472"/>
    <w:rsid w:val="0053343B"/>
    <w:rsid w:val="005456C5"/>
    <w:rsid w:val="00557A74"/>
    <w:rsid w:val="00590260"/>
    <w:rsid w:val="005A3AF5"/>
    <w:rsid w:val="005A610E"/>
    <w:rsid w:val="005B42EF"/>
    <w:rsid w:val="005B6CE9"/>
    <w:rsid w:val="005D20BC"/>
    <w:rsid w:val="005D547A"/>
    <w:rsid w:val="005E627B"/>
    <w:rsid w:val="005E714C"/>
    <w:rsid w:val="00617B24"/>
    <w:rsid w:val="00625C7C"/>
    <w:rsid w:val="00625CDA"/>
    <w:rsid w:val="00645618"/>
    <w:rsid w:val="0065040B"/>
    <w:rsid w:val="006814D5"/>
    <w:rsid w:val="0069080E"/>
    <w:rsid w:val="006D0DFB"/>
    <w:rsid w:val="007205BF"/>
    <w:rsid w:val="00734F6F"/>
    <w:rsid w:val="007518A3"/>
    <w:rsid w:val="007560BE"/>
    <w:rsid w:val="00756C32"/>
    <w:rsid w:val="00762C4C"/>
    <w:rsid w:val="00792155"/>
    <w:rsid w:val="007B3990"/>
    <w:rsid w:val="007B4B2A"/>
    <w:rsid w:val="007C44DD"/>
    <w:rsid w:val="007C4637"/>
    <w:rsid w:val="007E38C3"/>
    <w:rsid w:val="007F06E8"/>
    <w:rsid w:val="00821D9B"/>
    <w:rsid w:val="00862629"/>
    <w:rsid w:val="00866EE8"/>
    <w:rsid w:val="00881F91"/>
    <w:rsid w:val="00885554"/>
    <w:rsid w:val="00892914"/>
    <w:rsid w:val="00894CF6"/>
    <w:rsid w:val="008D1F13"/>
    <w:rsid w:val="008D627B"/>
    <w:rsid w:val="00963E35"/>
    <w:rsid w:val="009A2EA2"/>
    <w:rsid w:val="009C27CC"/>
    <w:rsid w:val="009D6EC7"/>
    <w:rsid w:val="009E07E2"/>
    <w:rsid w:val="00A27620"/>
    <w:rsid w:val="00A30406"/>
    <w:rsid w:val="00A41124"/>
    <w:rsid w:val="00AD0208"/>
    <w:rsid w:val="00AD6A84"/>
    <w:rsid w:val="00AF568C"/>
    <w:rsid w:val="00B0795D"/>
    <w:rsid w:val="00B07FDA"/>
    <w:rsid w:val="00B32DDB"/>
    <w:rsid w:val="00B4360B"/>
    <w:rsid w:val="00B476E6"/>
    <w:rsid w:val="00B600A6"/>
    <w:rsid w:val="00B6262D"/>
    <w:rsid w:val="00B72798"/>
    <w:rsid w:val="00B76D9C"/>
    <w:rsid w:val="00B77A0A"/>
    <w:rsid w:val="00BA12C3"/>
    <w:rsid w:val="00BA1A69"/>
    <w:rsid w:val="00BA44D5"/>
    <w:rsid w:val="00BD7280"/>
    <w:rsid w:val="00BE664A"/>
    <w:rsid w:val="00C23EF9"/>
    <w:rsid w:val="00C251B3"/>
    <w:rsid w:val="00C34D0A"/>
    <w:rsid w:val="00C3684A"/>
    <w:rsid w:val="00C41036"/>
    <w:rsid w:val="00C42653"/>
    <w:rsid w:val="00C447C5"/>
    <w:rsid w:val="00C54A71"/>
    <w:rsid w:val="00C779D8"/>
    <w:rsid w:val="00CB3AF3"/>
    <w:rsid w:val="00CC5AB8"/>
    <w:rsid w:val="00D45959"/>
    <w:rsid w:val="00D62B19"/>
    <w:rsid w:val="00D901C2"/>
    <w:rsid w:val="00D90534"/>
    <w:rsid w:val="00DE0E33"/>
    <w:rsid w:val="00DF6220"/>
    <w:rsid w:val="00E04C39"/>
    <w:rsid w:val="00E0794A"/>
    <w:rsid w:val="00E21675"/>
    <w:rsid w:val="00E33A11"/>
    <w:rsid w:val="00E45B8D"/>
    <w:rsid w:val="00E463B3"/>
    <w:rsid w:val="00E566CB"/>
    <w:rsid w:val="00E8206B"/>
    <w:rsid w:val="00E97BF6"/>
    <w:rsid w:val="00EA61F3"/>
    <w:rsid w:val="00F07465"/>
    <w:rsid w:val="00F108BC"/>
    <w:rsid w:val="00F236DA"/>
    <w:rsid w:val="00F27518"/>
    <w:rsid w:val="00F52FAB"/>
    <w:rsid w:val="00F57B22"/>
    <w:rsid w:val="00F74BCF"/>
    <w:rsid w:val="00FA0630"/>
    <w:rsid w:val="00FA405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7F17"/>
  <w15:docId w15:val="{04655883-6D97-44AA-9412-C1925E8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paris@brookings.edu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cbo.gov/about/products/RecurringReport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F9DCC-0948-4518-8B3B-746DDBAF3D25}"/>
</file>

<file path=customXml/itemProps2.xml><?xml version="1.0" encoding="utf-8"?>
<ds:datastoreItem xmlns:ds="http://schemas.openxmlformats.org/officeDocument/2006/customXml" ds:itemID="{1903B6D1-7E44-44C3-BE1C-E4E7F3AD43F2}"/>
</file>

<file path=customXml/itemProps3.xml><?xml version="1.0" encoding="utf-8"?>
<ds:datastoreItem xmlns:ds="http://schemas.openxmlformats.org/officeDocument/2006/customXml" ds:itemID="{3346491F-266A-4AEA-A8F6-AC4D6CC142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Lilia Cherchari</cp:lastModifiedBy>
  <cp:revision>8</cp:revision>
  <dcterms:created xsi:type="dcterms:W3CDTF">2016-05-09T18:06:00Z</dcterms:created>
  <dcterms:modified xsi:type="dcterms:W3CDTF">2016-09-29T15:20:00Z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