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99" w:rsidRPr="00AD46A7" w:rsidRDefault="008930ED" w:rsidP="000875AB">
      <w:pPr>
        <w:jc w:val="center"/>
        <w:rPr>
          <w:rFonts w:ascii="Times New Roman" w:hAnsi="Times New Roman" w:cs="Times New Roman"/>
          <w:sz w:val="24"/>
          <w:szCs w:val="24"/>
          <w:u w:val="single"/>
        </w:rPr>
      </w:pPr>
      <w:r w:rsidRPr="00AD46A7">
        <w:rPr>
          <w:rFonts w:ascii="Times New Roman" w:hAnsi="Times New Roman" w:cs="Times New Roman"/>
          <w:sz w:val="24"/>
          <w:szCs w:val="24"/>
          <w:u w:val="single"/>
        </w:rPr>
        <w:t>The Hutchins</w:t>
      </w:r>
      <w:r w:rsidR="006E1710">
        <w:rPr>
          <w:rFonts w:ascii="Times New Roman" w:hAnsi="Times New Roman" w:cs="Times New Roman"/>
          <w:sz w:val="24"/>
          <w:szCs w:val="24"/>
          <w:u w:val="single"/>
        </w:rPr>
        <w:t xml:space="preserve"> Center</w:t>
      </w:r>
      <w:r w:rsidR="00AE3F3C">
        <w:rPr>
          <w:rFonts w:ascii="Times New Roman" w:hAnsi="Times New Roman" w:cs="Times New Roman"/>
          <w:sz w:val="24"/>
          <w:szCs w:val="24"/>
          <w:u w:val="single"/>
        </w:rPr>
        <w:t>’s</w:t>
      </w:r>
      <w:r w:rsidRPr="00AD46A7">
        <w:rPr>
          <w:rFonts w:ascii="Times New Roman" w:hAnsi="Times New Roman" w:cs="Times New Roman"/>
          <w:sz w:val="24"/>
          <w:szCs w:val="24"/>
          <w:u w:val="single"/>
        </w:rPr>
        <w:t xml:space="preserve"> Fiscal </w:t>
      </w:r>
      <w:r w:rsidR="00F00569" w:rsidRPr="00AD46A7">
        <w:rPr>
          <w:rFonts w:ascii="Times New Roman" w:hAnsi="Times New Roman" w:cs="Times New Roman"/>
          <w:sz w:val="24"/>
          <w:szCs w:val="24"/>
          <w:u w:val="single"/>
        </w:rPr>
        <w:t>Impact Measure</w:t>
      </w:r>
      <w:r w:rsidR="00374D46" w:rsidRPr="00AD46A7">
        <w:rPr>
          <w:rFonts w:ascii="Times New Roman" w:hAnsi="Times New Roman" w:cs="Times New Roman"/>
          <w:sz w:val="24"/>
          <w:szCs w:val="24"/>
          <w:u w:val="single"/>
        </w:rPr>
        <w:t xml:space="preserve"> (FIM)</w:t>
      </w:r>
    </w:p>
    <w:p w:rsidR="007D3399" w:rsidRPr="00AD46A7" w:rsidRDefault="00F00569">
      <w:pPr>
        <w:rPr>
          <w:rFonts w:ascii="Times New Roman" w:hAnsi="Times New Roman" w:cs="Times New Roman"/>
          <w:sz w:val="24"/>
          <w:szCs w:val="24"/>
        </w:rPr>
      </w:pPr>
      <w:r w:rsidRPr="00AD46A7">
        <w:rPr>
          <w:rFonts w:ascii="Times New Roman" w:hAnsi="Times New Roman" w:cs="Times New Roman"/>
          <w:sz w:val="24"/>
          <w:szCs w:val="24"/>
        </w:rPr>
        <w:t xml:space="preserve">The </w:t>
      </w:r>
      <w:r w:rsidR="008930ED" w:rsidRPr="00AD46A7">
        <w:rPr>
          <w:rFonts w:ascii="Times New Roman" w:hAnsi="Times New Roman" w:cs="Times New Roman"/>
          <w:sz w:val="24"/>
          <w:szCs w:val="24"/>
        </w:rPr>
        <w:t xml:space="preserve">Hutchins </w:t>
      </w:r>
      <w:r w:rsidR="006E1710">
        <w:rPr>
          <w:rFonts w:ascii="Times New Roman" w:hAnsi="Times New Roman" w:cs="Times New Roman"/>
          <w:sz w:val="24"/>
          <w:szCs w:val="24"/>
        </w:rPr>
        <w:t xml:space="preserve">Center </w:t>
      </w:r>
      <w:r w:rsidR="00AE3F3C">
        <w:rPr>
          <w:rFonts w:ascii="Times New Roman" w:hAnsi="Times New Roman" w:cs="Times New Roman"/>
          <w:sz w:val="24"/>
          <w:szCs w:val="24"/>
        </w:rPr>
        <w:t xml:space="preserve">on Fiscal and Monetary </w:t>
      </w:r>
      <w:r w:rsidR="00EB1C28">
        <w:rPr>
          <w:rFonts w:ascii="Times New Roman" w:hAnsi="Times New Roman" w:cs="Times New Roman"/>
          <w:sz w:val="24"/>
          <w:szCs w:val="24"/>
        </w:rPr>
        <w:t>P</w:t>
      </w:r>
      <w:r w:rsidR="00AE3F3C">
        <w:rPr>
          <w:rFonts w:ascii="Times New Roman" w:hAnsi="Times New Roman" w:cs="Times New Roman"/>
          <w:sz w:val="24"/>
          <w:szCs w:val="24"/>
        </w:rPr>
        <w:t>olicy</w:t>
      </w:r>
      <w:r w:rsidR="00EB1C28">
        <w:rPr>
          <w:rFonts w:ascii="Times New Roman" w:hAnsi="Times New Roman" w:cs="Times New Roman"/>
          <w:sz w:val="24"/>
          <w:szCs w:val="24"/>
        </w:rPr>
        <w:t xml:space="preserve">’s </w:t>
      </w:r>
      <w:r w:rsidR="008930ED" w:rsidRPr="00AD46A7">
        <w:rPr>
          <w:rFonts w:ascii="Times New Roman" w:hAnsi="Times New Roman" w:cs="Times New Roman"/>
          <w:sz w:val="24"/>
          <w:szCs w:val="24"/>
        </w:rPr>
        <w:t>F</w:t>
      </w:r>
      <w:r w:rsidR="007D3399" w:rsidRPr="00AD46A7">
        <w:rPr>
          <w:rFonts w:ascii="Times New Roman" w:hAnsi="Times New Roman" w:cs="Times New Roman"/>
          <w:sz w:val="24"/>
          <w:szCs w:val="24"/>
        </w:rPr>
        <w:t>iscal I</w:t>
      </w:r>
      <w:r w:rsidRPr="00AD46A7">
        <w:rPr>
          <w:rFonts w:ascii="Times New Roman" w:hAnsi="Times New Roman" w:cs="Times New Roman"/>
          <w:sz w:val="24"/>
          <w:szCs w:val="24"/>
        </w:rPr>
        <w:t>mpact</w:t>
      </w:r>
      <w:r w:rsidR="00CF40E9">
        <w:rPr>
          <w:rFonts w:ascii="Times New Roman" w:hAnsi="Times New Roman" w:cs="Times New Roman"/>
          <w:sz w:val="24"/>
          <w:szCs w:val="24"/>
        </w:rPr>
        <w:t xml:space="preserve"> Measure</w:t>
      </w:r>
      <w:r w:rsidRPr="00AD46A7">
        <w:rPr>
          <w:rFonts w:ascii="Times New Roman" w:hAnsi="Times New Roman" w:cs="Times New Roman"/>
          <w:sz w:val="24"/>
          <w:szCs w:val="24"/>
        </w:rPr>
        <w:t xml:space="preserve"> </w:t>
      </w:r>
      <w:r w:rsidR="00374D46" w:rsidRPr="00AD46A7">
        <w:rPr>
          <w:rFonts w:ascii="Times New Roman" w:hAnsi="Times New Roman" w:cs="Times New Roman"/>
          <w:sz w:val="24"/>
          <w:szCs w:val="24"/>
        </w:rPr>
        <w:t xml:space="preserve">(FIM) </w:t>
      </w:r>
      <w:r w:rsidR="00EB1C28">
        <w:rPr>
          <w:rFonts w:ascii="Times New Roman" w:hAnsi="Times New Roman" w:cs="Times New Roman"/>
          <w:sz w:val="24"/>
          <w:szCs w:val="24"/>
        </w:rPr>
        <w:t xml:space="preserve">is </w:t>
      </w:r>
      <w:r w:rsidR="006F4668" w:rsidRPr="00AD46A7">
        <w:rPr>
          <w:rFonts w:ascii="Times New Roman" w:hAnsi="Times New Roman" w:cs="Times New Roman"/>
          <w:sz w:val="24"/>
          <w:szCs w:val="24"/>
        </w:rPr>
        <w:t xml:space="preserve">a </w:t>
      </w:r>
      <w:r w:rsidRPr="00AD46A7">
        <w:rPr>
          <w:rFonts w:ascii="Times New Roman" w:hAnsi="Times New Roman" w:cs="Times New Roman"/>
          <w:sz w:val="24"/>
          <w:szCs w:val="24"/>
        </w:rPr>
        <w:t>gauge</w:t>
      </w:r>
      <w:r w:rsidR="006F4668" w:rsidRPr="00AD46A7">
        <w:rPr>
          <w:rFonts w:ascii="Times New Roman" w:hAnsi="Times New Roman" w:cs="Times New Roman"/>
          <w:sz w:val="24"/>
          <w:szCs w:val="24"/>
        </w:rPr>
        <w:t xml:space="preserve"> of</w:t>
      </w:r>
      <w:r w:rsidRPr="00AD46A7">
        <w:rPr>
          <w:rFonts w:ascii="Times New Roman" w:hAnsi="Times New Roman" w:cs="Times New Roman"/>
          <w:sz w:val="24"/>
          <w:szCs w:val="24"/>
        </w:rPr>
        <w:t xml:space="preserve"> </w:t>
      </w:r>
      <w:r w:rsidR="008930ED" w:rsidRPr="00AD46A7">
        <w:rPr>
          <w:rFonts w:ascii="Times New Roman" w:hAnsi="Times New Roman" w:cs="Times New Roman"/>
          <w:sz w:val="24"/>
          <w:szCs w:val="24"/>
        </w:rPr>
        <w:t>the contribution of</w:t>
      </w:r>
      <w:r w:rsidR="007D3399" w:rsidRPr="00AD46A7">
        <w:rPr>
          <w:rFonts w:ascii="Times New Roman" w:hAnsi="Times New Roman" w:cs="Times New Roman"/>
          <w:sz w:val="24"/>
          <w:szCs w:val="24"/>
        </w:rPr>
        <w:t xml:space="preserve"> federal, state</w:t>
      </w:r>
      <w:r w:rsidR="00CF40E9">
        <w:rPr>
          <w:rFonts w:ascii="Times New Roman" w:hAnsi="Times New Roman" w:cs="Times New Roman"/>
          <w:sz w:val="24"/>
          <w:szCs w:val="24"/>
        </w:rPr>
        <w:t>,</w:t>
      </w:r>
      <w:r w:rsidR="007D3399" w:rsidRPr="00AD46A7">
        <w:rPr>
          <w:rFonts w:ascii="Times New Roman" w:hAnsi="Times New Roman" w:cs="Times New Roman"/>
          <w:sz w:val="24"/>
          <w:szCs w:val="24"/>
        </w:rPr>
        <w:t xml:space="preserve"> and local </w:t>
      </w:r>
      <w:r w:rsidR="008930ED" w:rsidRPr="00AD46A7">
        <w:rPr>
          <w:rFonts w:ascii="Times New Roman" w:hAnsi="Times New Roman" w:cs="Times New Roman"/>
          <w:sz w:val="24"/>
          <w:szCs w:val="24"/>
        </w:rPr>
        <w:t xml:space="preserve">fiscal policy </w:t>
      </w:r>
      <w:r w:rsidR="007E6EA4" w:rsidRPr="00AD46A7">
        <w:rPr>
          <w:rFonts w:ascii="Times New Roman" w:hAnsi="Times New Roman" w:cs="Times New Roman"/>
          <w:sz w:val="24"/>
          <w:szCs w:val="24"/>
        </w:rPr>
        <w:t xml:space="preserve">to near-term </w:t>
      </w:r>
      <w:r w:rsidR="007D3399" w:rsidRPr="00AD46A7">
        <w:rPr>
          <w:rFonts w:ascii="Times New Roman" w:hAnsi="Times New Roman" w:cs="Times New Roman"/>
          <w:sz w:val="24"/>
          <w:szCs w:val="24"/>
        </w:rPr>
        <w:t>changes in the gross domestic product, the tally of all the goods and services produced in the economy</w:t>
      </w:r>
      <w:r w:rsidR="008930ED" w:rsidRPr="00AD46A7">
        <w:rPr>
          <w:rFonts w:ascii="Times New Roman" w:hAnsi="Times New Roman" w:cs="Times New Roman"/>
          <w:sz w:val="24"/>
          <w:szCs w:val="24"/>
        </w:rPr>
        <w:t xml:space="preserve">.  It </w:t>
      </w:r>
      <w:r w:rsidR="006F4668" w:rsidRPr="00AD46A7">
        <w:rPr>
          <w:rFonts w:ascii="Times New Roman" w:hAnsi="Times New Roman" w:cs="Times New Roman"/>
          <w:sz w:val="24"/>
          <w:szCs w:val="24"/>
        </w:rPr>
        <w:t xml:space="preserve">includes both </w:t>
      </w:r>
      <w:r w:rsidR="008930ED" w:rsidRPr="00AD46A7">
        <w:rPr>
          <w:rFonts w:ascii="Times New Roman" w:hAnsi="Times New Roman" w:cs="Times New Roman"/>
          <w:sz w:val="24"/>
          <w:szCs w:val="24"/>
        </w:rPr>
        <w:t xml:space="preserve">the </w:t>
      </w:r>
      <w:r w:rsidR="006F4668" w:rsidRPr="00AD46A7">
        <w:rPr>
          <w:rFonts w:ascii="Times New Roman" w:hAnsi="Times New Roman" w:cs="Times New Roman"/>
          <w:sz w:val="24"/>
          <w:szCs w:val="24"/>
        </w:rPr>
        <w:t xml:space="preserve">direct </w:t>
      </w:r>
      <w:r w:rsidR="008930ED" w:rsidRPr="00AD46A7">
        <w:rPr>
          <w:rFonts w:ascii="Times New Roman" w:hAnsi="Times New Roman" w:cs="Times New Roman"/>
          <w:sz w:val="24"/>
          <w:szCs w:val="24"/>
        </w:rPr>
        <w:t>effect</w:t>
      </w:r>
      <w:r w:rsidR="006F4668"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of government purchase</w:t>
      </w:r>
      <w:r w:rsidR="006F4668" w:rsidRPr="00AD46A7">
        <w:rPr>
          <w:rFonts w:ascii="Times New Roman" w:hAnsi="Times New Roman" w:cs="Times New Roman"/>
          <w:sz w:val="24"/>
          <w:szCs w:val="24"/>
        </w:rPr>
        <w:t>s as well as the more indirect effects of government taxes and government transfers</w:t>
      </w:r>
      <w:r w:rsidR="007E6EA4" w:rsidRPr="00AD46A7">
        <w:rPr>
          <w:rFonts w:ascii="Times New Roman" w:hAnsi="Times New Roman" w:cs="Times New Roman"/>
          <w:sz w:val="24"/>
          <w:szCs w:val="24"/>
        </w:rPr>
        <w:t xml:space="preserve">. </w:t>
      </w:r>
      <w:r w:rsidR="009601AC" w:rsidRPr="00AD46A7">
        <w:rPr>
          <w:rFonts w:ascii="Times New Roman" w:hAnsi="Times New Roman" w:cs="Times New Roman"/>
          <w:sz w:val="24"/>
          <w:szCs w:val="24"/>
        </w:rPr>
        <w:t xml:space="preserve"> When FIM is positive, the government is contributing to real GDP growth, and when it is negative, it is subtracting from it. </w:t>
      </w:r>
      <w:r w:rsidR="0000747C" w:rsidRPr="00AD46A7">
        <w:rPr>
          <w:rFonts w:ascii="Times New Roman" w:hAnsi="Times New Roman" w:cs="Times New Roman"/>
          <w:sz w:val="24"/>
          <w:szCs w:val="24"/>
        </w:rPr>
        <w:t xml:space="preserve"> </w:t>
      </w:r>
    </w:p>
    <w:p w:rsidR="00184DC7" w:rsidRPr="00AD46A7" w:rsidRDefault="00AE3F3C">
      <w:pPr>
        <w:rPr>
          <w:rFonts w:ascii="Times New Roman" w:hAnsi="Times New Roman" w:cs="Times New Roman"/>
          <w:sz w:val="24"/>
          <w:szCs w:val="24"/>
        </w:rPr>
      </w:pPr>
      <w:r>
        <w:rPr>
          <w:rFonts w:ascii="Times New Roman" w:hAnsi="Times New Roman" w:cs="Times New Roman"/>
          <w:sz w:val="24"/>
          <w:szCs w:val="24"/>
        </w:rPr>
        <w:t>The</w:t>
      </w:r>
      <w:r w:rsidRPr="00AD46A7">
        <w:rPr>
          <w:rFonts w:ascii="Times New Roman" w:hAnsi="Times New Roman" w:cs="Times New Roman"/>
          <w:sz w:val="24"/>
          <w:szCs w:val="24"/>
        </w:rPr>
        <w:t xml:space="preserve"> </w:t>
      </w:r>
      <w:r w:rsidR="007E6EA4" w:rsidRPr="00AD46A7">
        <w:rPr>
          <w:rFonts w:ascii="Times New Roman" w:hAnsi="Times New Roman" w:cs="Times New Roman"/>
          <w:sz w:val="24"/>
          <w:szCs w:val="24"/>
        </w:rPr>
        <w:t>F</w:t>
      </w:r>
      <w:r w:rsidR="007D3399" w:rsidRPr="00AD46A7">
        <w:rPr>
          <w:rFonts w:ascii="Times New Roman" w:hAnsi="Times New Roman" w:cs="Times New Roman"/>
          <w:sz w:val="24"/>
          <w:szCs w:val="24"/>
        </w:rPr>
        <w:t xml:space="preserve">iscal </w:t>
      </w:r>
      <w:r w:rsidR="00F00569" w:rsidRPr="00AD46A7">
        <w:rPr>
          <w:rFonts w:ascii="Times New Roman" w:hAnsi="Times New Roman" w:cs="Times New Roman"/>
          <w:sz w:val="24"/>
          <w:szCs w:val="24"/>
        </w:rPr>
        <w:t>Impact Measure</w:t>
      </w:r>
      <w:r w:rsidR="007D3399" w:rsidRPr="00AD46A7">
        <w:rPr>
          <w:rFonts w:ascii="Times New Roman" w:hAnsi="Times New Roman" w:cs="Times New Roman"/>
          <w:sz w:val="24"/>
          <w:szCs w:val="24"/>
        </w:rPr>
        <w:t xml:space="preserve"> </w:t>
      </w:r>
      <w:r w:rsidR="007E6EA4" w:rsidRPr="00AD46A7">
        <w:rPr>
          <w:rFonts w:ascii="Times New Roman" w:hAnsi="Times New Roman" w:cs="Times New Roman"/>
          <w:sz w:val="24"/>
          <w:szCs w:val="24"/>
        </w:rPr>
        <w:t>is</w:t>
      </w:r>
      <w:r w:rsidR="000875AB" w:rsidRPr="00AD46A7">
        <w:rPr>
          <w:rFonts w:ascii="Times New Roman" w:hAnsi="Times New Roman" w:cs="Times New Roman"/>
          <w:sz w:val="24"/>
          <w:szCs w:val="24"/>
        </w:rPr>
        <w:t xml:space="preserve"> s</w:t>
      </w:r>
      <w:r w:rsidR="008930ED" w:rsidRPr="00AD46A7">
        <w:rPr>
          <w:rFonts w:ascii="Times New Roman" w:hAnsi="Times New Roman" w:cs="Times New Roman"/>
          <w:sz w:val="24"/>
          <w:szCs w:val="24"/>
        </w:rPr>
        <w:t xml:space="preserve">imilar to the </w:t>
      </w:r>
      <w:r w:rsidR="00015D7B" w:rsidRPr="00AD46A7">
        <w:rPr>
          <w:rFonts w:ascii="Times New Roman" w:hAnsi="Times New Roman" w:cs="Times New Roman"/>
          <w:sz w:val="24"/>
          <w:szCs w:val="24"/>
        </w:rPr>
        <w:t>F</w:t>
      </w:r>
      <w:r w:rsidR="008930ED" w:rsidRPr="00AD46A7">
        <w:rPr>
          <w:rFonts w:ascii="Times New Roman" w:hAnsi="Times New Roman" w:cs="Times New Roman"/>
          <w:sz w:val="24"/>
          <w:szCs w:val="24"/>
        </w:rPr>
        <w:t xml:space="preserve">iscal </w:t>
      </w:r>
      <w:r w:rsidR="00015D7B" w:rsidRPr="00AD46A7">
        <w:rPr>
          <w:rFonts w:ascii="Times New Roman" w:hAnsi="Times New Roman" w:cs="Times New Roman"/>
          <w:sz w:val="24"/>
          <w:szCs w:val="24"/>
        </w:rPr>
        <w:t>I</w:t>
      </w:r>
      <w:r w:rsidR="008930ED" w:rsidRPr="00AD46A7">
        <w:rPr>
          <w:rFonts w:ascii="Times New Roman" w:hAnsi="Times New Roman" w:cs="Times New Roman"/>
          <w:sz w:val="24"/>
          <w:szCs w:val="24"/>
        </w:rPr>
        <w:t xml:space="preserve">mpetus measure </w:t>
      </w:r>
      <w:r w:rsidR="007E6EA4" w:rsidRPr="00AD46A7">
        <w:rPr>
          <w:rFonts w:ascii="Times New Roman" w:hAnsi="Times New Roman" w:cs="Times New Roman"/>
          <w:sz w:val="24"/>
          <w:szCs w:val="24"/>
        </w:rPr>
        <w:t>created by the staff of</w:t>
      </w:r>
      <w:r w:rsidR="008930ED" w:rsidRPr="00AD46A7">
        <w:rPr>
          <w:rFonts w:ascii="Times New Roman" w:hAnsi="Times New Roman" w:cs="Times New Roman"/>
          <w:sz w:val="24"/>
          <w:szCs w:val="24"/>
        </w:rPr>
        <w:t xml:space="preserve"> the Federal Reserve </w:t>
      </w:r>
      <w:r w:rsidR="007E6EA4" w:rsidRPr="00AD46A7">
        <w:rPr>
          <w:rFonts w:ascii="Times New Roman" w:hAnsi="Times New Roman" w:cs="Times New Roman"/>
          <w:sz w:val="24"/>
          <w:szCs w:val="24"/>
        </w:rPr>
        <w:t xml:space="preserve">Board </w:t>
      </w:r>
      <w:r w:rsidR="008930ED" w:rsidRPr="00AD46A7">
        <w:rPr>
          <w:rFonts w:ascii="Times New Roman" w:hAnsi="Times New Roman" w:cs="Times New Roman"/>
          <w:sz w:val="24"/>
          <w:szCs w:val="24"/>
        </w:rPr>
        <w:t>(see</w:t>
      </w:r>
      <w:r w:rsidR="001E0258" w:rsidRPr="00AD46A7">
        <w:rPr>
          <w:rFonts w:ascii="Times New Roman" w:hAnsi="Times New Roman" w:cs="Times New Roman"/>
          <w:sz w:val="24"/>
          <w:szCs w:val="24"/>
        </w:rPr>
        <w:t xml:space="preserve"> </w:t>
      </w:r>
      <w:hyperlink r:id="rId9" w:history="1">
        <w:proofErr w:type="spellStart"/>
        <w:r w:rsidR="001E0258" w:rsidRPr="00CF40E9">
          <w:rPr>
            <w:rStyle w:val="Hyperlink"/>
            <w:rFonts w:ascii="Times New Roman" w:hAnsi="Times New Roman" w:cs="Times New Roman"/>
            <w:sz w:val="24"/>
            <w:szCs w:val="24"/>
          </w:rPr>
          <w:t>Follette</w:t>
        </w:r>
        <w:proofErr w:type="spellEnd"/>
        <w:r w:rsidR="001E0258" w:rsidRPr="00CF40E9">
          <w:rPr>
            <w:rStyle w:val="Hyperlink"/>
            <w:rFonts w:ascii="Times New Roman" w:hAnsi="Times New Roman" w:cs="Times New Roman"/>
            <w:sz w:val="24"/>
            <w:szCs w:val="24"/>
          </w:rPr>
          <w:t xml:space="preserve">, </w:t>
        </w:r>
        <w:proofErr w:type="spellStart"/>
        <w:r w:rsidR="001E0258" w:rsidRPr="00CF40E9">
          <w:rPr>
            <w:rStyle w:val="Hyperlink"/>
            <w:rFonts w:ascii="Times New Roman" w:hAnsi="Times New Roman" w:cs="Times New Roman"/>
            <w:sz w:val="24"/>
            <w:szCs w:val="24"/>
          </w:rPr>
          <w:t>Kusko</w:t>
        </w:r>
        <w:proofErr w:type="spellEnd"/>
        <w:r w:rsidR="001E0258" w:rsidRPr="00CF40E9">
          <w:rPr>
            <w:rStyle w:val="Hyperlink"/>
            <w:rFonts w:ascii="Times New Roman" w:hAnsi="Times New Roman" w:cs="Times New Roman"/>
            <w:sz w:val="24"/>
            <w:szCs w:val="24"/>
          </w:rPr>
          <w:t>, and Lutz, 2008</w:t>
        </w:r>
      </w:hyperlink>
      <w:r w:rsidR="001E0258" w:rsidRPr="00AD46A7">
        <w:rPr>
          <w:rFonts w:ascii="Times New Roman" w:hAnsi="Times New Roman" w:cs="Times New Roman"/>
          <w:sz w:val="24"/>
          <w:szCs w:val="24"/>
        </w:rPr>
        <w:t>)</w:t>
      </w:r>
      <w:r w:rsidR="00CF40E9">
        <w:rPr>
          <w:rFonts w:ascii="Times New Roman" w:hAnsi="Times New Roman" w:cs="Times New Roman"/>
          <w:sz w:val="24"/>
          <w:szCs w:val="24"/>
        </w:rPr>
        <w:t>.</w:t>
      </w:r>
      <w:r w:rsidR="001E0258"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 xml:space="preserve"> The Fed</w:t>
      </w:r>
      <w:r w:rsidR="00CD28F2">
        <w:rPr>
          <w:rFonts w:ascii="Times New Roman" w:hAnsi="Times New Roman" w:cs="Times New Roman"/>
          <w:sz w:val="24"/>
          <w:szCs w:val="24"/>
        </w:rPr>
        <w:t>’s</w:t>
      </w:r>
      <w:r w:rsidR="007D3399" w:rsidRPr="00AD46A7">
        <w:rPr>
          <w:rFonts w:ascii="Times New Roman" w:hAnsi="Times New Roman" w:cs="Times New Roman"/>
          <w:sz w:val="24"/>
          <w:szCs w:val="24"/>
        </w:rPr>
        <w:t xml:space="preserve"> </w:t>
      </w:r>
      <w:r w:rsidR="008930ED" w:rsidRPr="00AD46A7">
        <w:rPr>
          <w:rFonts w:ascii="Times New Roman" w:hAnsi="Times New Roman" w:cs="Times New Roman"/>
          <w:sz w:val="24"/>
          <w:szCs w:val="24"/>
        </w:rPr>
        <w:t>measure is limited to the effect</w:t>
      </w:r>
      <w:r w:rsidR="00184DC7"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of government policy </w:t>
      </w:r>
      <w:r w:rsidR="008930ED" w:rsidRPr="00AD46A7">
        <w:rPr>
          <w:rFonts w:ascii="Times New Roman" w:hAnsi="Times New Roman" w:cs="Times New Roman"/>
          <w:sz w:val="24"/>
          <w:szCs w:val="24"/>
          <w:u w:val="single"/>
        </w:rPr>
        <w:t>changes</w:t>
      </w:r>
      <w:r w:rsidR="008930ED" w:rsidRPr="00AD46A7">
        <w:rPr>
          <w:rFonts w:ascii="Times New Roman" w:hAnsi="Times New Roman" w:cs="Times New Roman"/>
          <w:sz w:val="24"/>
          <w:szCs w:val="24"/>
        </w:rPr>
        <w:t xml:space="preserve"> on GDP, whereas </w:t>
      </w:r>
      <w:r>
        <w:rPr>
          <w:rFonts w:ascii="Times New Roman" w:hAnsi="Times New Roman" w:cs="Times New Roman"/>
          <w:sz w:val="24"/>
          <w:szCs w:val="24"/>
        </w:rPr>
        <w:t xml:space="preserve">the </w:t>
      </w:r>
      <w:r w:rsidR="008930ED"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CD28F2">
        <w:rPr>
          <w:rFonts w:ascii="Times New Roman" w:hAnsi="Times New Roman" w:cs="Times New Roman"/>
          <w:sz w:val="24"/>
          <w:szCs w:val="24"/>
        </w:rPr>
        <w:t>’</w:t>
      </w:r>
      <w:r>
        <w:rPr>
          <w:rFonts w:ascii="Times New Roman" w:hAnsi="Times New Roman" w:cs="Times New Roman"/>
          <w:sz w:val="24"/>
          <w:szCs w:val="24"/>
        </w:rPr>
        <w:t>s measure</w:t>
      </w:r>
      <w:r w:rsidR="008930ED" w:rsidRPr="00AD46A7">
        <w:rPr>
          <w:rFonts w:ascii="Times New Roman" w:hAnsi="Times New Roman" w:cs="Times New Roman"/>
          <w:sz w:val="24"/>
          <w:szCs w:val="24"/>
        </w:rPr>
        <w:t xml:space="preserve"> capture</w:t>
      </w:r>
      <w:r w:rsidR="007D3399"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all the channels through which the federal government affects </w:t>
      </w:r>
      <w:r w:rsidR="000875AB" w:rsidRPr="00AD46A7">
        <w:rPr>
          <w:rFonts w:ascii="Times New Roman" w:hAnsi="Times New Roman" w:cs="Times New Roman"/>
          <w:sz w:val="24"/>
          <w:szCs w:val="24"/>
        </w:rPr>
        <w:t xml:space="preserve">near-term </w:t>
      </w:r>
      <w:r w:rsidR="008930ED" w:rsidRPr="00AD46A7">
        <w:rPr>
          <w:rFonts w:ascii="Times New Roman" w:hAnsi="Times New Roman" w:cs="Times New Roman"/>
          <w:sz w:val="24"/>
          <w:szCs w:val="24"/>
        </w:rPr>
        <w:t xml:space="preserve">GDP growth.  </w:t>
      </w:r>
      <w:r w:rsidR="007D3399" w:rsidRPr="00AD46A7">
        <w:rPr>
          <w:rFonts w:ascii="Times New Roman" w:hAnsi="Times New Roman" w:cs="Times New Roman"/>
          <w:sz w:val="24"/>
          <w:szCs w:val="24"/>
        </w:rPr>
        <w:t>In</w:t>
      </w:r>
      <w:r w:rsidR="008930ED" w:rsidRPr="00AD46A7">
        <w:rPr>
          <w:rFonts w:ascii="Times New Roman" w:hAnsi="Times New Roman" w:cs="Times New Roman"/>
          <w:sz w:val="24"/>
          <w:szCs w:val="24"/>
        </w:rPr>
        <w:t xml:space="preserve"> addition to </w:t>
      </w:r>
      <w:r w:rsidR="008930ED" w:rsidRPr="00AD46A7">
        <w:rPr>
          <w:rFonts w:ascii="Times New Roman" w:hAnsi="Times New Roman" w:cs="Times New Roman"/>
          <w:b/>
          <w:sz w:val="24"/>
          <w:szCs w:val="24"/>
        </w:rPr>
        <w:t>policy changes</w:t>
      </w:r>
      <w:r w:rsidR="008930ED" w:rsidRPr="00AD46A7">
        <w:rPr>
          <w:rFonts w:ascii="Times New Roman" w:hAnsi="Times New Roman" w:cs="Times New Roman"/>
          <w:sz w:val="24"/>
          <w:szCs w:val="24"/>
        </w:rPr>
        <w:t xml:space="preserve">, </w:t>
      </w:r>
      <w:r w:rsidR="007A196B">
        <w:rPr>
          <w:rFonts w:ascii="Times New Roman" w:hAnsi="Times New Roman" w:cs="Times New Roman"/>
          <w:sz w:val="24"/>
          <w:szCs w:val="24"/>
        </w:rPr>
        <w:t>the</w:t>
      </w:r>
      <w:r w:rsidR="007A196B" w:rsidRPr="00AD46A7">
        <w:rPr>
          <w:rFonts w:ascii="Times New Roman" w:hAnsi="Times New Roman" w:cs="Times New Roman"/>
          <w:sz w:val="24"/>
          <w:szCs w:val="24"/>
        </w:rPr>
        <w:t xml:space="preserve"> </w:t>
      </w:r>
      <w:r w:rsidR="008E044D" w:rsidRPr="00AD46A7">
        <w:rPr>
          <w:rFonts w:ascii="Times New Roman" w:hAnsi="Times New Roman" w:cs="Times New Roman"/>
          <w:sz w:val="24"/>
          <w:szCs w:val="24"/>
        </w:rPr>
        <w:t xml:space="preserve">FIM </w:t>
      </w:r>
      <w:r w:rsidR="008930ED" w:rsidRPr="00AD46A7">
        <w:rPr>
          <w:rFonts w:ascii="Times New Roman" w:hAnsi="Times New Roman" w:cs="Times New Roman"/>
          <w:sz w:val="24"/>
          <w:szCs w:val="24"/>
        </w:rPr>
        <w:t>capture</w:t>
      </w:r>
      <w:r w:rsidR="00501CAD" w:rsidRPr="00AD46A7">
        <w:rPr>
          <w:rFonts w:ascii="Times New Roman" w:hAnsi="Times New Roman" w:cs="Times New Roman"/>
          <w:sz w:val="24"/>
          <w:szCs w:val="24"/>
        </w:rPr>
        <w:t>s</w:t>
      </w:r>
      <w:r w:rsidR="008930ED" w:rsidRPr="00AD46A7">
        <w:rPr>
          <w:rFonts w:ascii="Times New Roman" w:hAnsi="Times New Roman" w:cs="Times New Roman"/>
          <w:sz w:val="24"/>
          <w:szCs w:val="24"/>
        </w:rPr>
        <w:t xml:space="preserve"> the effects</w:t>
      </w:r>
      <w:r w:rsidR="00501CAD" w:rsidRPr="00AD46A7">
        <w:rPr>
          <w:rFonts w:ascii="Times New Roman" w:hAnsi="Times New Roman" w:cs="Times New Roman"/>
          <w:sz w:val="24"/>
          <w:szCs w:val="24"/>
        </w:rPr>
        <w:t xml:space="preserve"> on the economy of trend growth in spending and the </w:t>
      </w:r>
      <w:r w:rsidR="008930ED" w:rsidRPr="00AD46A7">
        <w:rPr>
          <w:rFonts w:ascii="Times New Roman" w:hAnsi="Times New Roman" w:cs="Times New Roman"/>
          <w:sz w:val="24"/>
          <w:szCs w:val="24"/>
        </w:rPr>
        <w:t>automatic stabili</w:t>
      </w:r>
      <w:r w:rsidR="00501CAD" w:rsidRPr="00AD46A7">
        <w:rPr>
          <w:rFonts w:ascii="Times New Roman" w:hAnsi="Times New Roman" w:cs="Times New Roman"/>
          <w:sz w:val="24"/>
          <w:szCs w:val="24"/>
        </w:rPr>
        <w:t>zers.</w:t>
      </w:r>
      <w:r w:rsidR="00184DC7" w:rsidRPr="00AD46A7">
        <w:rPr>
          <w:rFonts w:ascii="Times New Roman" w:hAnsi="Times New Roman" w:cs="Times New Roman"/>
          <w:sz w:val="24"/>
          <w:szCs w:val="24"/>
        </w:rPr>
        <w:t xml:space="preserve">  </w:t>
      </w:r>
    </w:p>
    <w:p w:rsidR="00EC4002" w:rsidRPr="00AD46A7" w:rsidRDefault="00184DC7" w:rsidP="007E6EA4">
      <w:pPr>
        <w:ind w:left="720"/>
        <w:rPr>
          <w:rFonts w:ascii="Times New Roman" w:hAnsi="Times New Roman" w:cs="Times New Roman"/>
          <w:sz w:val="24"/>
          <w:szCs w:val="24"/>
        </w:rPr>
      </w:pPr>
      <w:r w:rsidRPr="00AD46A7">
        <w:rPr>
          <w:rFonts w:ascii="Times New Roman" w:hAnsi="Times New Roman" w:cs="Times New Roman"/>
          <w:b/>
          <w:sz w:val="24"/>
          <w:szCs w:val="24"/>
        </w:rPr>
        <w:t>Trend Growth in Spending:</w:t>
      </w:r>
      <w:r w:rsidRPr="00AD46A7">
        <w:rPr>
          <w:rFonts w:ascii="Times New Roman" w:hAnsi="Times New Roman" w:cs="Times New Roman"/>
          <w:sz w:val="24"/>
          <w:szCs w:val="24"/>
        </w:rPr>
        <w:t xml:space="preserve">  W</w:t>
      </w:r>
      <w:r w:rsidR="00015D7B" w:rsidRPr="00AD46A7">
        <w:rPr>
          <w:rFonts w:ascii="Times New Roman" w:hAnsi="Times New Roman" w:cs="Times New Roman"/>
          <w:sz w:val="24"/>
          <w:szCs w:val="24"/>
        </w:rPr>
        <w:t xml:space="preserve">hen Medicare </w:t>
      </w:r>
      <w:r w:rsidR="0052401F" w:rsidRPr="00AD46A7">
        <w:rPr>
          <w:rFonts w:ascii="Times New Roman" w:hAnsi="Times New Roman" w:cs="Times New Roman"/>
          <w:sz w:val="24"/>
          <w:szCs w:val="24"/>
        </w:rPr>
        <w:t xml:space="preserve">or Medicaid </w:t>
      </w:r>
      <w:r w:rsidR="00015D7B" w:rsidRPr="00AD46A7">
        <w:rPr>
          <w:rFonts w:ascii="Times New Roman" w:hAnsi="Times New Roman" w:cs="Times New Roman"/>
          <w:sz w:val="24"/>
          <w:szCs w:val="24"/>
        </w:rPr>
        <w:t xml:space="preserve">spending increases because health costs </w:t>
      </w:r>
      <w:proofErr w:type="gramStart"/>
      <w:r w:rsidR="00015D7B" w:rsidRPr="00AD46A7">
        <w:rPr>
          <w:rFonts w:ascii="Times New Roman" w:hAnsi="Times New Roman" w:cs="Times New Roman"/>
          <w:sz w:val="24"/>
          <w:szCs w:val="24"/>
        </w:rPr>
        <w:t>increase,</w:t>
      </w:r>
      <w:proofErr w:type="gramEnd"/>
      <w:r w:rsidR="00015D7B" w:rsidRPr="00AD46A7">
        <w:rPr>
          <w:rFonts w:ascii="Times New Roman" w:hAnsi="Times New Roman" w:cs="Times New Roman"/>
          <w:sz w:val="24"/>
          <w:szCs w:val="24"/>
        </w:rPr>
        <w:t xml:space="preserve"> this does not entail any legislative changes, but does represent a larger infusion of governm</w:t>
      </w:r>
      <w:r w:rsidR="007E6EA4" w:rsidRPr="00AD46A7">
        <w:rPr>
          <w:rFonts w:ascii="Times New Roman" w:hAnsi="Times New Roman" w:cs="Times New Roman"/>
          <w:sz w:val="24"/>
          <w:szCs w:val="24"/>
        </w:rPr>
        <w:t xml:space="preserve">ent spending into the economy.  </w:t>
      </w:r>
    </w:p>
    <w:p w:rsidR="007E6EA4" w:rsidRPr="00AD46A7" w:rsidRDefault="007E6EA4" w:rsidP="007E6EA4">
      <w:pPr>
        <w:ind w:left="720"/>
        <w:rPr>
          <w:rFonts w:ascii="Times New Roman" w:hAnsi="Times New Roman" w:cs="Times New Roman"/>
          <w:sz w:val="24"/>
          <w:szCs w:val="24"/>
        </w:rPr>
      </w:pPr>
      <w:r w:rsidRPr="00AD46A7">
        <w:rPr>
          <w:rFonts w:ascii="Times New Roman" w:hAnsi="Times New Roman" w:cs="Times New Roman"/>
          <w:b/>
          <w:sz w:val="24"/>
          <w:szCs w:val="24"/>
        </w:rPr>
        <w:t>Automatic stabilizers:</w:t>
      </w:r>
      <w:r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These</w:t>
      </w:r>
      <w:r w:rsidRPr="00AD46A7">
        <w:rPr>
          <w:rFonts w:ascii="Times New Roman" w:hAnsi="Times New Roman" w:cs="Times New Roman"/>
          <w:sz w:val="24"/>
          <w:szCs w:val="24"/>
        </w:rPr>
        <w:t xml:space="preserve"> are changes in </w:t>
      </w:r>
      <w:r w:rsidR="00501CAD" w:rsidRPr="00AD46A7">
        <w:rPr>
          <w:rFonts w:ascii="Times New Roman" w:hAnsi="Times New Roman" w:cs="Times New Roman"/>
          <w:sz w:val="24"/>
          <w:szCs w:val="24"/>
        </w:rPr>
        <w:t xml:space="preserve">government </w:t>
      </w:r>
      <w:r w:rsidRPr="00AD46A7">
        <w:rPr>
          <w:rFonts w:ascii="Times New Roman" w:hAnsi="Times New Roman" w:cs="Times New Roman"/>
          <w:sz w:val="24"/>
          <w:szCs w:val="24"/>
        </w:rPr>
        <w:t>taxes and spending</w:t>
      </w:r>
      <w:r w:rsidR="00501CAD"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that happen automatically when economic conditions change. </w:t>
      </w:r>
      <w:r w:rsidR="008930ED" w:rsidRPr="00AD46A7">
        <w:rPr>
          <w:rFonts w:ascii="Times New Roman" w:hAnsi="Times New Roman" w:cs="Times New Roman"/>
          <w:sz w:val="24"/>
          <w:szCs w:val="24"/>
        </w:rPr>
        <w:t xml:space="preserve"> </w:t>
      </w:r>
      <w:r w:rsidR="007D3399" w:rsidRPr="00AD46A7">
        <w:rPr>
          <w:rFonts w:ascii="Times New Roman" w:hAnsi="Times New Roman" w:cs="Times New Roman"/>
          <w:sz w:val="24"/>
          <w:szCs w:val="24"/>
        </w:rPr>
        <w:t>W</w:t>
      </w:r>
      <w:r w:rsidR="008930ED" w:rsidRPr="00AD46A7">
        <w:rPr>
          <w:rFonts w:ascii="Times New Roman" w:hAnsi="Times New Roman" w:cs="Times New Roman"/>
          <w:sz w:val="24"/>
          <w:szCs w:val="24"/>
        </w:rPr>
        <w:t xml:space="preserve">hen economic growth slows, </w:t>
      </w:r>
      <w:r w:rsidR="007D3399" w:rsidRPr="00AD46A7">
        <w:rPr>
          <w:rFonts w:ascii="Times New Roman" w:hAnsi="Times New Roman" w:cs="Times New Roman"/>
          <w:sz w:val="24"/>
          <w:szCs w:val="24"/>
        </w:rPr>
        <w:t>spending on</w:t>
      </w:r>
      <w:r w:rsidR="008930ED" w:rsidRPr="00AD46A7">
        <w:rPr>
          <w:rFonts w:ascii="Times New Roman" w:hAnsi="Times New Roman" w:cs="Times New Roman"/>
          <w:sz w:val="24"/>
          <w:szCs w:val="24"/>
        </w:rPr>
        <w:t xml:space="preserve"> unemployment benefits and Medicaid increase</w:t>
      </w:r>
      <w:r w:rsidR="007D3399" w:rsidRPr="00AD46A7">
        <w:rPr>
          <w:rFonts w:ascii="Times New Roman" w:hAnsi="Times New Roman" w:cs="Times New Roman"/>
          <w:sz w:val="24"/>
          <w:szCs w:val="24"/>
        </w:rPr>
        <w:t xml:space="preserve"> because more people are eligible. </w:t>
      </w:r>
      <w:r w:rsidR="008930ED" w:rsidRPr="00AD46A7">
        <w:rPr>
          <w:rFonts w:ascii="Times New Roman" w:hAnsi="Times New Roman" w:cs="Times New Roman"/>
          <w:sz w:val="24"/>
          <w:szCs w:val="24"/>
        </w:rPr>
        <w:t xml:space="preserve">Similarly, a slowdown in GDP leads to a reduction in </w:t>
      </w:r>
      <w:r w:rsidR="007D3399" w:rsidRPr="00AD46A7">
        <w:rPr>
          <w:rFonts w:ascii="Times New Roman" w:hAnsi="Times New Roman" w:cs="Times New Roman"/>
          <w:sz w:val="24"/>
          <w:szCs w:val="24"/>
        </w:rPr>
        <w:t xml:space="preserve">tax </w:t>
      </w:r>
      <w:r w:rsidR="00F00569" w:rsidRPr="00AD46A7">
        <w:rPr>
          <w:rFonts w:ascii="Times New Roman" w:hAnsi="Times New Roman" w:cs="Times New Roman"/>
          <w:sz w:val="24"/>
          <w:szCs w:val="24"/>
        </w:rPr>
        <w:t>rates</w:t>
      </w:r>
      <w:r w:rsidR="009601AC" w:rsidRPr="00AD46A7">
        <w:rPr>
          <w:rFonts w:ascii="Times New Roman" w:hAnsi="Times New Roman" w:cs="Times New Roman"/>
          <w:sz w:val="24"/>
          <w:szCs w:val="24"/>
        </w:rPr>
        <w:t xml:space="preserve"> that help to boost personal consumption spending</w:t>
      </w:r>
      <w:r w:rsidR="007D3399"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  </w:t>
      </w:r>
    </w:p>
    <w:p w:rsidR="00015D7B" w:rsidRPr="00AD46A7" w:rsidRDefault="007A196B">
      <w:pPr>
        <w:rPr>
          <w:rFonts w:ascii="Times New Roman" w:hAnsi="Times New Roman" w:cs="Times New Roman"/>
          <w:sz w:val="24"/>
          <w:szCs w:val="24"/>
        </w:rPr>
      </w:pPr>
      <w:r>
        <w:rPr>
          <w:rFonts w:ascii="Times New Roman" w:hAnsi="Times New Roman" w:cs="Times New Roman"/>
          <w:sz w:val="24"/>
          <w:szCs w:val="24"/>
        </w:rPr>
        <w:t xml:space="preserve">The </w:t>
      </w:r>
      <w:r w:rsidR="00015D7B"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015D7B" w:rsidRPr="00AD46A7">
        <w:rPr>
          <w:rFonts w:ascii="Times New Roman" w:hAnsi="Times New Roman" w:cs="Times New Roman"/>
          <w:sz w:val="24"/>
          <w:szCs w:val="24"/>
        </w:rPr>
        <w:t xml:space="preserve"> F</w:t>
      </w:r>
      <w:r w:rsidR="008E044D" w:rsidRPr="00AD46A7">
        <w:rPr>
          <w:rFonts w:ascii="Times New Roman" w:hAnsi="Times New Roman" w:cs="Times New Roman"/>
          <w:sz w:val="24"/>
          <w:szCs w:val="24"/>
        </w:rPr>
        <w:t>IM</w:t>
      </w:r>
      <w:r w:rsidR="00015D7B" w:rsidRPr="00AD46A7">
        <w:rPr>
          <w:rFonts w:ascii="Times New Roman" w:hAnsi="Times New Roman" w:cs="Times New Roman"/>
          <w:sz w:val="24"/>
          <w:szCs w:val="24"/>
        </w:rPr>
        <w:t xml:space="preserve"> doesn’t include any government spending multiplier</w:t>
      </w:r>
      <w:r w:rsidR="007D3399" w:rsidRPr="00AD46A7">
        <w:rPr>
          <w:rFonts w:ascii="Times New Roman" w:hAnsi="Times New Roman" w:cs="Times New Roman"/>
          <w:sz w:val="24"/>
          <w:szCs w:val="24"/>
        </w:rPr>
        <w:t xml:space="preserve">s. It </w:t>
      </w:r>
      <w:r w:rsidR="00015D7B" w:rsidRPr="00AD46A7">
        <w:rPr>
          <w:rFonts w:ascii="Times New Roman" w:hAnsi="Times New Roman" w:cs="Times New Roman"/>
          <w:sz w:val="24"/>
          <w:szCs w:val="24"/>
        </w:rPr>
        <w:t>measures</w:t>
      </w:r>
      <w:r w:rsidR="00CD28F2">
        <w:rPr>
          <w:rFonts w:ascii="Times New Roman" w:hAnsi="Times New Roman" w:cs="Times New Roman"/>
          <w:sz w:val="24"/>
          <w:szCs w:val="24"/>
        </w:rPr>
        <w:t xml:space="preserve"> the first </w:t>
      </w:r>
      <w:r w:rsidR="00BE7C77">
        <w:rPr>
          <w:rFonts w:ascii="Times New Roman" w:hAnsi="Times New Roman" w:cs="Times New Roman"/>
          <w:sz w:val="24"/>
          <w:szCs w:val="24"/>
        </w:rPr>
        <w:t>order</w:t>
      </w:r>
      <w:r w:rsidR="00CD28F2">
        <w:rPr>
          <w:rFonts w:ascii="Times New Roman" w:hAnsi="Times New Roman" w:cs="Times New Roman"/>
          <w:sz w:val="24"/>
          <w:szCs w:val="24"/>
        </w:rPr>
        <w:t xml:space="preserve"> effects</w:t>
      </w:r>
      <w:r w:rsidR="00015D7B" w:rsidRPr="00AD46A7">
        <w:rPr>
          <w:rFonts w:ascii="Times New Roman" w:hAnsi="Times New Roman" w:cs="Times New Roman"/>
          <w:sz w:val="24"/>
          <w:szCs w:val="24"/>
        </w:rPr>
        <w:t xml:space="preserve"> of government policy on GDP, but not any second round</w:t>
      </w:r>
      <w:r w:rsidR="000F7FDF" w:rsidRPr="00AD46A7">
        <w:rPr>
          <w:rFonts w:ascii="Times New Roman" w:hAnsi="Times New Roman" w:cs="Times New Roman"/>
          <w:sz w:val="24"/>
          <w:szCs w:val="24"/>
        </w:rPr>
        <w:t xml:space="preserve"> </w:t>
      </w:r>
      <w:r w:rsidR="00015D7B" w:rsidRPr="00AD46A7">
        <w:rPr>
          <w:rFonts w:ascii="Times New Roman" w:hAnsi="Times New Roman" w:cs="Times New Roman"/>
          <w:sz w:val="24"/>
          <w:szCs w:val="24"/>
        </w:rPr>
        <w:t xml:space="preserve">effects whereby higher GDP in one year stimulates hiring which then boosts GDP further in later years.  </w:t>
      </w:r>
      <w:r w:rsidR="007D3399" w:rsidRPr="00AD46A7">
        <w:rPr>
          <w:rFonts w:ascii="Times New Roman" w:hAnsi="Times New Roman" w:cs="Times New Roman"/>
          <w:sz w:val="24"/>
          <w:szCs w:val="24"/>
        </w:rPr>
        <w:t xml:space="preserve">Nor does it include </w:t>
      </w:r>
      <w:r w:rsidR="00015D7B" w:rsidRPr="00AD46A7">
        <w:rPr>
          <w:rFonts w:ascii="Times New Roman" w:hAnsi="Times New Roman" w:cs="Times New Roman"/>
          <w:sz w:val="24"/>
          <w:szCs w:val="24"/>
        </w:rPr>
        <w:t xml:space="preserve">potential offsets from monetary policy.  For example, a surge in government spending when unemployment rates are low could induce the Federal Reserve to raise interest rates, </w:t>
      </w:r>
      <w:r w:rsidR="007E6EA4" w:rsidRPr="00AD46A7">
        <w:rPr>
          <w:rFonts w:ascii="Times New Roman" w:hAnsi="Times New Roman" w:cs="Times New Roman"/>
          <w:sz w:val="24"/>
          <w:szCs w:val="24"/>
        </w:rPr>
        <w:t>a response that</w:t>
      </w:r>
      <w:r w:rsidR="00015D7B" w:rsidRPr="00AD46A7">
        <w:rPr>
          <w:rFonts w:ascii="Times New Roman" w:hAnsi="Times New Roman" w:cs="Times New Roman"/>
          <w:sz w:val="24"/>
          <w:szCs w:val="24"/>
        </w:rPr>
        <w:t xml:space="preserve"> </w:t>
      </w:r>
      <w:r w:rsidR="00184DC7" w:rsidRPr="00AD46A7">
        <w:rPr>
          <w:rFonts w:ascii="Times New Roman" w:hAnsi="Times New Roman" w:cs="Times New Roman"/>
          <w:sz w:val="24"/>
          <w:szCs w:val="24"/>
        </w:rPr>
        <w:t xml:space="preserve">might undo the effects captured by </w:t>
      </w:r>
      <w:r>
        <w:rPr>
          <w:rFonts w:ascii="Times New Roman" w:hAnsi="Times New Roman" w:cs="Times New Roman"/>
          <w:sz w:val="24"/>
          <w:szCs w:val="24"/>
        </w:rPr>
        <w:t>the FIM</w:t>
      </w:r>
      <w:r w:rsidR="007D3399" w:rsidRPr="00AD46A7">
        <w:rPr>
          <w:rFonts w:ascii="Times New Roman" w:hAnsi="Times New Roman" w:cs="Times New Roman"/>
          <w:sz w:val="24"/>
          <w:szCs w:val="24"/>
        </w:rPr>
        <w:t>.</w:t>
      </w:r>
    </w:p>
    <w:p w:rsidR="00F00569" w:rsidRPr="00AD46A7" w:rsidRDefault="006F5C7E">
      <w:pPr>
        <w:rPr>
          <w:rFonts w:ascii="Times New Roman" w:hAnsi="Times New Roman" w:cs="Times New Roman"/>
          <w:b/>
          <w:sz w:val="24"/>
          <w:szCs w:val="24"/>
          <w:u w:val="single"/>
        </w:rPr>
      </w:pPr>
      <w:r w:rsidRPr="00AD46A7">
        <w:rPr>
          <w:rFonts w:ascii="Times New Roman" w:hAnsi="Times New Roman" w:cs="Times New Roman"/>
          <w:b/>
          <w:sz w:val="24"/>
          <w:szCs w:val="24"/>
          <w:u w:val="single"/>
        </w:rPr>
        <w:t xml:space="preserve">Interpreting </w:t>
      </w:r>
      <w:r w:rsidR="007A196B">
        <w:rPr>
          <w:rFonts w:ascii="Times New Roman" w:hAnsi="Times New Roman" w:cs="Times New Roman"/>
          <w:b/>
          <w:sz w:val="24"/>
          <w:szCs w:val="24"/>
          <w:u w:val="single"/>
        </w:rPr>
        <w:t xml:space="preserve">the </w:t>
      </w:r>
      <w:r w:rsidRPr="00AD46A7">
        <w:rPr>
          <w:rFonts w:ascii="Times New Roman" w:hAnsi="Times New Roman" w:cs="Times New Roman"/>
          <w:b/>
          <w:sz w:val="24"/>
          <w:szCs w:val="24"/>
          <w:u w:val="single"/>
        </w:rPr>
        <w:t>Hutchins</w:t>
      </w:r>
      <w:r w:rsidR="007A196B">
        <w:rPr>
          <w:rFonts w:ascii="Times New Roman" w:hAnsi="Times New Roman" w:cs="Times New Roman"/>
          <w:b/>
          <w:sz w:val="24"/>
          <w:szCs w:val="24"/>
          <w:u w:val="single"/>
        </w:rPr>
        <w:t xml:space="preserve"> Center</w:t>
      </w:r>
      <w:r w:rsidRPr="00AD46A7">
        <w:rPr>
          <w:rFonts w:ascii="Times New Roman" w:hAnsi="Times New Roman" w:cs="Times New Roman"/>
          <w:b/>
          <w:sz w:val="24"/>
          <w:szCs w:val="24"/>
          <w:u w:val="single"/>
        </w:rPr>
        <w:t xml:space="preserve"> FIM</w:t>
      </w:r>
    </w:p>
    <w:p w:rsidR="00AD46A7" w:rsidRPr="00AD46A7" w:rsidRDefault="00AD46A7" w:rsidP="00AD46A7">
      <w:pPr>
        <w:rPr>
          <w:rFonts w:ascii="Times New Roman" w:hAnsi="Times New Roman" w:cs="Times New Roman"/>
          <w:sz w:val="24"/>
          <w:szCs w:val="24"/>
        </w:rPr>
      </w:pPr>
      <w:r>
        <w:rPr>
          <w:rFonts w:ascii="Times New Roman" w:hAnsi="Times New Roman" w:cs="Times New Roman"/>
          <w:sz w:val="24"/>
          <w:szCs w:val="24"/>
        </w:rPr>
        <w:t>A</w:t>
      </w:r>
      <w:r w:rsidR="006F5C7E" w:rsidRPr="00AD46A7">
        <w:rPr>
          <w:rFonts w:ascii="Times New Roman" w:hAnsi="Times New Roman" w:cs="Times New Roman"/>
          <w:sz w:val="24"/>
          <w:szCs w:val="24"/>
        </w:rPr>
        <w:t>s noted above,</w:t>
      </w:r>
      <w:r w:rsidR="00CF40E9">
        <w:rPr>
          <w:rFonts w:ascii="Times New Roman" w:hAnsi="Times New Roman" w:cs="Times New Roman"/>
          <w:sz w:val="24"/>
          <w:szCs w:val="24"/>
        </w:rPr>
        <w:t xml:space="preserve"> </w:t>
      </w:r>
      <w:r w:rsidR="006F5C7E" w:rsidRPr="00AD46A7">
        <w:rPr>
          <w:rFonts w:ascii="Times New Roman" w:hAnsi="Times New Roman" w:cs="Times New Roman"/>
          <w:sz w:val="24"/>
          <w:szCs w:val="24"/>
        </w:rPr>
        <w:t>when FIM is positive, the government is contributing to real GDP growth, and when it is negative, it is subtracting from it.  But government purchases account for about</w:t>
      </w:r>
      <w:r>
        <w:rPr>
          <w:rFonts w:ascii="Times New Roman" w:hAnsi="Times New Roman" w:cs="Times New Roman"/>
          <w:sz w:val="24"/>
          <w:szCs w:val="24"/>
        </w:rPr>
        <w:t xml:space="preserve"> 20 </w:t>
      </w:r>
      <w:r w:rsidR="006F5C7E" w:rsidRPr="00AD46A7">
        <w:rPr>
          <w:rFonts w:ascii="Times New Roman" w:hAnsi="Times New Roman" w:cs="Times New Roman"/>
          <w:sz w:val="24"/>
          <w:szCs w:val="24"/>
        </w:rPr>
        <w:t xml:space="preserve">percent of GDP, so, on average, we </w:t>
      </w:r>
      <w:r w:rsidR="00CD28F2">
        <w:rPr>
          <w:rFonts w:ascii="Times New Roman" w:hAnsi="Times New Roman" w:cs="Times New Roman"/>
          <w:sz w:val="24"/>
          <w:szCs w:val="24"/>
        </w:rPr>
        <w:t>w</w:t>
      </w:r>
      <w:r w:rsidR="006F5C7E" w:rsidRPr="00AD46A7">
        <w:rPr>
          <w:rFonts w:ascii="Times New Roman" w:hAnsi="Times New Roman" w:cs="Times New Roman"/>
          <w:sz w:val="24"/>
          <w:szCs w:val="24"/>
        </w:rPr>
        <w:t>ould expect FIM to be positive.  We calculate a “neutral” FIM that shows what fiscal policy’s contribution to growth would be if fiscal policy were consistent with real GDP growth rising at its potential rate.</w:t>
      </w:r>
      <w:r w:rsidR="00812671" w:rsidRPr="00AD46A7">
        <w:rPr>
          <w:rStyle w:val="FootnoteReference"/>
          <w:rFonts w:ascii="Times New Roman" w:hAnsi="Times New Roman" w:cs="Times New Roman"/>
          <w:sz w:val="24"/>
          <w:szCs w:val="24"/>
        </w:rPr>
        <w:footnoteReference w:id="1"/>
      </w:r>
      <w:r w:rsidR="00343113" w:rsidRPr="00AD46A7">
        <w:rPr>
          <w:rFonts w:ascii="Times New Roman" w:hAnsi="Times New Roman" w:cs="Times New Roman"/>
          <w:sz w:val="24"/>
          <w:szCs w:val="24"/>
        </w:rPr>
        <w:t xml:space="preserve"> </w:t>
      </w:r>
      <w:r w:rsidR="008E044D" w:rsidRPr="00AD46A7">
        <w:rPr>
          <w:rFonts w:ascii="Times New Roman" w:hAnsi="Times New Roman" w:cs="Times New Roman"/>
          <w:sz w:val="24"/>
          <w:szCs w:val="24"/>
        </w:rPr>
        <w:t xml:space="preserve"> It is calculated as </w:t>
      </w:r>
      <w:r w:rsidR="006F5C7E" w:rsidRPr="00AD46A7">
        <w:rPr>
          <w:rFonts w:ascii="Times New Roman" w:hAnsi="Times New Roman" w:cs="Times New Roman"/>
          <w:sz w:val="24"/>
          <w:szCs w:val="24"/>
        </w:rPr>
        <w:t>the share of government purchases in GDP multiplied by the rate of potential GDP growth.</w:t>
      </w:r>
      <w:r w:rsidR="008E044D"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As shown in the </w:t>
      </w:r>
      <w:r w:rsidRPr="00AD46A7">
        <w:rPr>
          <w:rFonts w:ascii="Times New Roman" w:hAnsi="Times New Roman" w:cs="Times New Roman"/>
          <w:sz w:val="24"/>
          <w:szCs w:val="24"/>
        </w:rPr>
        <w:lastRenderedPageBreak/>
        <w:t>following chart, neutral FIM averages about</w:t>
      </w:r>
      <w:r w:rsidR="00EB1C28">
        <w:rPr>
          <w:rFonts w:ascii="Times New Roman" w:hAnsi="Times New Roman" w:cs="Times New Roman"/>
          <w:sz w:val="24"/>
          <w:szCs w:val="24"/>
        </w:rPr>
        <w:t xml:space="preserve"> 0</w:t>
      </w:r>
      <w:r w:rsidRPr="00AD46A7">
        <w:rPr>
          <w:rFonts w:ascii="Times New Roman" w:hAnsi="Times New Roman" w:cs="Times New Roman"/>
          <w:sz w:val="24"/>
          <w:szCs w:val="24"/>
        </w:rPr>
        <w:t>.4 percentage point</w:t>
      </w:r>
      <w:r w:rsidR="00E5790E">
        <w:rPr>
          <w:rFonts w:ascii="Times New Roman" w:hAnsi="Times New Roman" w:cs="Times New Roman"/>
          <w:sz w:val="24"/>
          <w:szCs w:val="24"/>
        </w:rPr>
        <w:t>s</w:t>
      </w:r>
      <w:r w:rsidRPr="00AD46A7">
        <w:rPr>
          <w:rFonts w:ascii="Times New Roman" w:hAnsi="Times New Roman" w:cs="Times New Roman"/>
          <w:sz w:val="24"/>
          <w:szCs w:val="24"/>
        </w:rPr>
        <w:t xml:space="preserve">.  When FIM is above this </w:t>
      </w:r>
      <w:r w:rsidR="00EB1C28">
        <w:rPr>
          <w:rFonts w:ascii="Times New Roman" w:hAnsi="Times New Roman" w:cs="Times New Roman"/>
          <w:sz w:val="24"/>
          <w:szCs w:val="24"/>
        </w:rPr>
        <w:t>level</w:t>
      </w:r>
      <w:r w:rsidRPr="00AD46A7">
        <w:rPr>
          <w:rFonts w:ascii="Times New Roman" w:hAnsi="Times New Roman" w:cs="Times New Roman"/>
          <w:sz w:val="24"/>
          <w:szCs w:val="24"/>
        </w:rPr>
        <w:t xml:space="preserve">, fiscal policy is boosting real GDP growth above its potential rate, and when it is below this amount, it is holding down growth below its potential rate.  </w:t>
      </w:r>
    </w:p>
    <w:p w:rsidR="008E044D" w:rsidRDefault="008E044D" w:rsidP="008E044D">
      <w:pPr>
        <w:rPr>
          <w:rFonts w:ascii="Times New Roman" w:hAnsi="Times New Roman" w:cs="Times New Roman"/>
          <w:sz w:val="24"/>
          <w:szCs w:val="24"/>
        </w:rPr>
      </w:pPr>
    </w:p>
    <w:p w:rsidR="00E5790E" w:rsidRPr="00AD46A7" w:rsidRDefault="00B47100" w:rsidP="008E044D">
      <w:pPr>
        <w:rPr>
          <w:rFonts w:ascii="Times New Roman" w:hAnsi="Times New Roman" w:cs="Times New Roman"/>
          <w:sz w:val="24"/>
          <w:szCs w:val="24"/>
        </w:rPr>
      </w:pPr>
      <w:r>
        <w:rPr>
          <w:noProof/>
        </w:rPr>
        <w:drawing>
          <wp:inline distT="0" distB="0" distL="0" distR="0" wp14:anchorId="2BFD3703" wp14:editId="2C34301A">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0258" w:rsidRPr="00AD46A7" w:rsidRDefault="008E044D" w:rsidP="00AD46A7">
      <w:pPr>
        <w:rPr>
          <w:rFonts w:ascii="Times New Roman" w:hAnsi="Times New Roman" w:cs="Times New Roman"/>
          <w:sz w:val="24"/>
          <w:szCs w:val="24"/>
        </w:rPr>
      </w:pPr>
      <w:r w:rsidRPr="00AD46A7">
        <w:rPr>
          <w:rFonts w:ascii="Times New Roman" w:hAnsi="Times New Roman" w:cs="Times New Roman"/>
          <w:sz w:val="24"/>
          <w:szCs w:val="24"/>
        </w:rPr>
        <w:t xml:space="preserve">There are many combinations of spending, taxes, and transfers that could make fiscal policy neutral. For example, policy would be neutral if the growth </w:t>
      </w:r>
      <w:proofErr w:type="gramStart"/>
      <w:r w:rsidRPr="00AD46A7">
        <w:rPr>
          <w:rFonts w:ascii="Times New Roman" w:hAnsi="Times New Roman" w:cs="Times New Roman"/>
          <w:sz w:val="24"/>
          <w:szCs w:val="24"/>
        </w:rPr>
        <w:t xml:space="preserve">rate of </w:t>
      </w:r>
      <w:r w:rsidR="00EB1C28">
        <w:rPr>
          <w:rFonts w:ascii="Times New Roman" w:hAnsi="Times New Roman" w:cs="Times New Roman"/>
          <w:sz w:val="24"/>
          <w:szCs w:val="24"/>
        </w:rPr>
        <w:t>governme</w:t>
      </w:r>
      <w:bookmarkStart w:id="0" w:name="_GoBack"/>
      <w:bookmarkEnd w:id="0"/>
      <w:r w:rsidR="00EB1C28">
        <w:rPr>
          <w:rFonts w:ascii="Times New Roman" w:hAnsi="Times New Roman" w:cs="Times New Roman"/>
          <w:sz w:val="24"/>
          <w:szCs w:val="24"/>
        </w:rPr>
        <w:t xml:space="preserve">nt </w:t>
      </w:r>
      <w:r w:rsidRPr="00AD46A7">
        <w:rPr>
          <w:rFonts w:ascii="Times New Roman" w:hAnsi="Times New Roman" w:cs="Times New Roman"/>
          <w:sz w:val="24"/>
          <w:szCs w:val="24"/>
        </w:rPr>
        <w:t xml:space="preserve">purchases </w:t>
      </w:r>
      <w:r w:rsidR="00BE7C77">
        <w:rPr>
          <w:rFonts w:ascii="Times New Roman" w:hAnsi="Times New Roman" w:cs="Times New Roman"/>
          <w:sz w:val="24"/>
          <w:szCs w:val="24"/>
        </w:rPr>
        <w:t>were</w:t>
      </w:r>
      <w:proofErr w:type="gramEnd"/>
      <w:r w:rsidR="00BE7C77"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equal </w:t>
      </w:r>
      <w:r w:rsidR="00BE7C77">
        <w:rPr>
          <w:rFonts w:ascii="Times New Roman" w:hAnsi="Times New Roman" w:cs="Times New Roman"/>
          <w:sz w:val="24"/>
          <w:szCs w:val="24"/>
        </w:rPr>
        <w:t xml:space="preserve">to </w:t>
      </w:r>
      <w:r w:rsidRPr="00AD46A7">
        <w:rPr>
          <w:rFonts w:ascii="Times New Roman" w:hAnsi="Times New Roman" w:cs="Times New Roman"/>
          <w:sz w:val="24"/>
          <w:szCs w:val="24"/>
        </w:rPr>
        <w:t>the growth rate of potential GDP and taxes and transfers were a constant share of GDP.  Alternatively, purchases could fall while transfers increas</w:t>
      </w:r>
      <w:r w:rsidR="006B0705">
        <w:rPr>
          <w:rFonts w:ascii="Times New Roman" w:hAnsi="Times New Roman" w:cs="Times New Roman"/>
          <w:sz w:val="24"/>
          <w:szCs w:val="24"/>
        </w:rPr>
        <w:t>e</w:t>
      </w:r>
      <w:r w:rsidRPr="00AD46A7">
        <w:rPr>
          <w:rFonts w:ascii="Times New Roman" w:hAnsi="Times New Roman" w:cs="Times New Roman"/>
          <w:sz w:val="24"/>
          <w:szCs w:val="24"/>
        </w:rPr>
        <w:t xml:space="preserve"> or tax </w:t>
      </w:r>
      <w:r w:rsidR="006B0705">
        <w:rPr>
          <w:rFonts w:ascii="Times New Roman" w:hAnsi="Times New Roman" w:cs="Times New Roman"/>
          <w:sz w:val="24"/>
          <w:szCs w:val="24"/>
        </w:rPr>
        <w:t>revenues decrease</w:t>
      </w:r>
      <w:r w:rsidRPr="00AD46A7">
        <w:rPr>
          <w:rFonts w:ascii="Times New Roman" w:hAnsi="Times New Roman" w:cs="Times New Roman"/>
          <w:sz w:val="24"/>
          <w:szCs w:val="24"/>
        </w:rPr>
        <w:t>.  All that matters i</w:t>
      </w:r>
      <w:r w:rsidR="00AD46A7" w:rsidRPr="00AD46A7">
        <w:rPr>
          <w:rFonts w:ascii="Times New Roman" w:hAnsi="Times New Roman" w:cs="Times New Roman"/>
          <w:sz w:val="24"/>
          <w:szCs w:val="24"/>
        </w:rPr>
        <w:t xml:space="preserve">s the net effect of purchases, taxes, and transfers on GDP. </w:t>
      </w:r>
    </w:p>
    <w:p w:rsidR="00EC4002" w:rsidRPr="00AD46A7" w:rsidRDefault="008E044D" w:rsidP="00EC4002">
      <w:pPr>
        <w:rPr>
          <w:rFonts w:ascii="Times New Roman" w:hAnsi="Times New Roman" w:cs="Times New Roman"/>
          <w:sz w:val="24"/>
          <w:szCs w:val="24"/>
        </w:rPr>
      </w:pPr>
      <w:r w:rsidRPr="00AD46A7">
        <w:rPr>
          <w:rFonts w:ascii="Times New Roman" w:hAnsi="Times New Roman" w:cs="Times New Roman"/>
          <w:sz w:val="24"/>
          <w:szCs w:val="24"/>
          <w:u w:val="single"/>
        </w:rPr>
        <w:t>Detailed Construction of FIM</w:t>
      </w:r>
    </w:p>
    <w:p w:rsidR="00407E2B" w:rsidRPr="00AD46A7" w:rsidRDefault="007A196B" w:rsidP="00D57DA5">
      <w:pPr>
        <w:rPr>
          <w:rFonts w:ascii="Times New Roman" w:hAnsi="Times New Roman" w:cs="Times New Roman"/>
          <w:sz w:val="24"/>
          <w:szCs w:val="24"/>
        </w:rPr>
      </w:pPr>
      <w:r>
        <w:rPr>
          <w:rFonts w:ascii="Times New Roman" w:hAnsi="Times New Roman" w:cs="Times New Roman"/>
          <w:sz w:val="24"/>
          <w:szCs w:val="24"/>
        </w:rPr>
        <w:t xml:space="preserve">The </w:t>
      </w:r>
      <w:r w:rsidR="00893001" w:rsidRPr="00AD46A7">
        <w:rPr>
          <w:rFonts w:ascii="Times New Roman" w:hAnsi="Times New Roman" w:cs="Times New Roman"/>
          <w:sz w:val="24"/>
          <w:szCs w:val="24"/>
        </w:rPr>
        <w:t>Hutchins</w:t>
      </w:r>
      <w:r>
        <w:rPr>
          <w:rFonts w:ascii="Times New Roman" w:hAnsi="Times New Roman" w:cs="Times New Roman"/>
          <w:sz w:val="24"/>
          <w:szCs w:val="24"/>
        </w:rPr>
        <w:t xml:space="preserve"> Center</w:t>
      </w:r>
      <w:r w:rsidR="00893001" w:rsidRPr="00AD46A7">
        <w:rPr>
          <w:rFonts w:ascii="Times New Roman" w:hAnsi="Times New Roman" w:cs="Times New Roman"/>
          <w:sz w:val="24"/>
          <w:szCs w:val="24"/>
        </w:rPr>
        <w:t xml:space="preserve"> F</w:t>
      </w:r>
      <w:r w:rsidR="008E044D" w:rsidRPr="00AD46A7">
        <w:rPr>
          <w:rFonts w:ascii="Times New Roman" w:hAnsi="Times New Roman" w:cs="Times New Roman"/>
          <w:sz w:val="24"/>
          <w:szCs w:val="24"/>
        </w:rPr>
        <w:t>IM</w:t>
      </w:r>
      <w:r w:rsidR="00893001" w:rsidRPr="00AD46A7">
        <w:rPr>
          <w:rFonts w:ascii="Times New Roman" w:hAnsi="Times New Roman" w:cs="Times New Roman"/>
          <w:sz w:val="24"/>
          <w:szCs w:val="24"/>
        </w:rPr>
        <w:t xml:space="preserve"> uses quarterly data from the</w:t>
      </w:r>
      <w:r w:rsidR="00EB1C28">
        <w:rPr>
          <w:rFonts w:ascii="Times New Roman" w:hAnsi="Times New Roman" w:cs="Times New Roman"/>
          <w:sz w:val="24"/>
          <w:szCs w:val="24"/>
        </w:rPr>
        <w:t xml:space="preserve"> U.S. Commerce Department’s</w:t>
      </w:r>
      <w:r w:rsidR="00893001" w:rsidRPr="00AD46A7">
        <w:rPr>
          <w:rFonts w:ascii="Times New Roman" w:hAnsi="Times New Roman" w:cs="Times New Roman"/>
          <w:sz w:val="24"/>
          <w:szCs w:val="24"/>
        </w:rPr>
        <w:t xml:space="preserve"> Bureau of Economic Analysis (BEA) to measure the contribution of fiscal policy to GDP growth.  It includes both the direct effect of government purchases on GDP</w:t>
      </w:r>
      <w:r w:rsidR="00407E2B" w:rsidRPr="00AD46A7">
        <w:rPr>
          <w:rFonts w:ascii="Times New Roman" w:hAnsi="Times New Roman" w:cs="Times New Roman"/>
          <w:sz w:val="24"/>
          <w:szCs w:val="24"/>
        </w:rPr>
        <w:t xml:space="preserve"> (which </w:t>
      </w:r>
      <w:r w:rsidR="00EB1C28">
        <w:rPr>
          <w:rFonts w:ascii="Times New Roman" w:hAnsi="Times New Roman" w:cs="Times New Roman"/>
          <w:sz w:val="24"/>
          <w:szCs w:val="24"/>
        </w:rPr>
        <w:t xml:space="preserve">the Bureau of Economic </w:t>
      </w:r>
      <w:r w:rsidR="00B70A9B">
        <w:rPr>
          <w:rFonts w:ascii="Times New Roman" w:hAnsi="Times New Roman" w:cs="Times New Roman"/>
          <w:sz w:val="24"/>
          <w:szCs w:val="24"/>
        </w:rPr>
        <w:t>Analysis</w:t>
      </w:r>
      <w:r w:rsidR="00B70A9B" w:rsidRPr="00AD46A7">
        <w:rPr>
          <w:rFonts w:ascii="Times New Roman" w:hAnsi="Times New Roman" w:cs="Times New Roman"/>
          <w:sz w:val="24"/>
          <w:szCs w:val="24"/>
        </w:rPr>
        <w:t xml:space="preserve"> </w:t>
      </w:r>
      <w:r w:rsidR="00407E2B" w:rsidRPr="00AD46A7">
        <w:rPr>
          <w:rFonts w:ascii="Times New Roman" w:hAnsi="Times New Roman" w:cs="Times New Roman"/>
          <w:sz w:val="24"/>
          <w:szCs w:val="24"/>
        </w:rPr>
        <w:t xml:space="preserve">calculates and can be found in Table 1.1.2 </w:t>
      </w:r>
      <w:hyperlink r:id="rId11" w:anchor="reqid=9&amp;step=3&amp;isuri=1&amp;903=2" w:history="1">
        <w:r w:rsidR="00407E2B" w:rsidRPr="00AD46A7">
          <w:rPr>
            <w:rStyle w:val="Hyperlink"/>
            <w:rFonts w:ascii="Times New Roman" w:hAnsi="Times New Roman" w:cs="Times New Roman"/>
            <w:sz w:val="24"/>
            <w:szCs w:val="24"/>
          </w:rPr>
          <w:t>here</w:t>
        </w:r>
      </w:hyperlink>
      <w:r w:rsidR="00407E2B" w:rsidRPr="00AD46A7">
        <w:rPr>
          <w:rFonts w:ascii="Times New Roman" w:hAnsi="Times New Roman" w:cs="Times New Roman"/>
          <w:sz w:val="24"/>
          <w:szCs w:val="24"/>
        </w:rPr>
        <w:t>)</w:t>
      </w:r>
      <w:r w:rsidR="00893001" w:rsidRPr="00AD46A7">
        <w:rPr>
          <w:rFonts w:ascii="Times New Roman" w:hAnsi="Times New Roman" w:cs="Times New Roman"/>
          <w:sz w:val="24"/>
          <w:szCs w:val="24"/>
        </w:rPr>
        <w:t xml:space="preserve"> as well </w:t>
      </w:r>
      <w:r w:rsidR="00407E2B" w:rsidRPr="00AD46A7">
        <w:rPr>
          <w:rFonts w:ascii="Times New Roman" w:hAnsi="Times New Roman" w:cs="Times New Roman"/>
          <w:sz w:val="24"/>
          <w:szCs w:val="24"/>
        </w:rPr>
        <w:t xml:space="preserve">as </w:t>
      </w:r>
      <w:r w:rsidR="00893001" w:rsidRPr="00AD46A7">
        <w:rPr>
          <w:rFonts w:ascii="Times New Roman" w:hAnsi="Times New Roman" w:cs="Times New Roman"/>
          <w:sz w:val="24"/>
          <w:szCs w:val="24"/>
        </w:rPr>
        <w:t>a</w:t>
      </w:r>
      <w:r w:rsidR="00407E2B" w:rsidRPr="00AD46A7">
        <w:rPr>
          <w:rFonts w:ascii="Times New Roman" w:hAnsi="Times New Roman" w:cs="Times New Roman"/>
          <w:sz w:val="24"/>
          <w:szCs w:val="24"/>
        </w:rPr>
        <w:t>n estimate of the indirect eff</w:t>
      </w:r>
      <w:r w:rsidR="00887D83" w:rsidRPr="00AD46A7">
        <w:rPr>
          <w:rFonts w:ascii="Times New Roman" w:hAnsi="Times New Roman" w:cs="Times New Roman"/>
          <w:sz w:val="24"/>
          <w:szCs w:val="24"/>
        </w:rPr>
        <w:t xml:space="preserve">ects of fiscal policy on GDP growth through its effect on private consumption. </w:t>
      </w:r>
    </w:p>
    <w:p w:rsidR="00887D83" w:rsidRPr="00AD46A7" w:rsidRDefault="00887D83" w:rsidP="00893001">
      <w:pPr>
        <w:rPr>
          <w:rFonts w:ascii="Times New Roman" w:hAnsi="Times New Roman" w:cs="Times New Roman"/>
          <w:sz w:val="24"/>
          <w:szCs w:val="24"/>
        </w:rPr>
      </w:pPr>
      <w:r w:rsidRPr="00AD46A7">
        <w:rPr>
          <w:rFonts w:ascii="Times New Roman" w:hAnsi="Times New Roman" w:cs="Times New Roman"/>
          <w:sz w:val="24"/>
          <w:szCs w:val="24"/>
        </w:rPr>
        <w:t xml:space="preserve">Calculating the effects of fiscal policy on consumption requires a number of assumptions.  In particular, we make an assumption about the </w:t>
      </w:r>
      <w:r w:rsidRPr="00AD46A7">
        <w:rPr>
          <w:rFonts w:ascii="Times New Roman" w:hAnsi="Times New Roman" w:cs="Times New Roman"/>
          <w:sz w:val="24"/>
          <w:szCs w:val="24"/>
          <w:u w:val="single"/>
        </w:rPr>
        <w:t>magnitude</w:t>
      </w:r>
      <w:r w:rsidRPr="00AD46A7">
        <w:rPr>
          <w:rFonts w:ascii="Times New Roman" w:hAnsi="Times New Roman" w:cs="Times New Roman"/>
          <w:sz w:val="24"/>
          <w:szCs w:val="24"/>
        </w:rPr>
        <w:t xml:space="preserve"> of the effect of a change in taxes and transfers on consumption (the MPC, or the marginal propensity to consume) and the </w:t>
      </w:r>
      <w:r w:rsidRPr="00AD46A7">
        <w:rPr>
          <w:rFonts w:ascii="Times New Roman" w:hAnsi="Times New Roman" w:cs="Times New Roman"/>
          <w:sz w:val="24"/>
          <w:szCs w:val="24"/>
          <w:u w:val="single"/>
        </w:rPr>
        <w:t>timing</w:t>
      </w:r>
      <w:r w:rsidRPr="00AD46A7">
        <w:rPr>
          <w:rFonts w:ascii="Times New Roman" w:hAnsi="Times New Roman" w:cs="Times New Roman"/>
          <w:sz w:val="24"/>
          <w:szCs w:val="24"/>
        </w:rPr>
        <w:t xml:space="preserve"> of the effects (consumers may not respond instantaneously to changes in taxes or benefits).</w:t>
      </w:r>
      <w:r w:rsidR="00893001" w:rsidRPr="00AD46A7">
        <w:rPr>
          <w:rFonts w:ascii="Times New Roman" w:hAnsi="Times New Roman" w:cs="Times New Roman"/>
          <w:sz w:val="24"/>
          <w:szCs w:val="24"/>
        </w:rPr>
        <w:t xml:space="preserve">  </w:t>
      </w:r>
      <w:r w:rsidR="002D3F5B" w:rsidRPr="00AD46A7">
        <w:rPr>
          <w:rFonts w:ascii="Times New Roman" w:hAnsi="Times New Roman" w:cs="Times New Roman"/>
          <w:sz w:val="24"/>
          <w:szCs w:val="24"/>
        </w:rPr>
        <w:t xml:space="preserve"> We </w:t>
      </w:r>
      <w:r w:rsidR="002D3F5B" w:rsidRPr="00AD46A7">
        <w:rPr>
          <w:rFonts w:ascii="Times New Roman" w:hAnsi="Times New Roman" w:cs="Times New Roman"/>
          <w:sz w:val="24"/>
          <w:szCs w:val="24"/>
        </w:rPr>
        <w:lastRenderedPageBreak/>
        <w:t>then calculate what consumption growth would have been</w:t>
      </w:r>
      <w:r w:rsidR="00FA5DA3" w:rsidRPr="00AD46A7">
        <w:rPr>
          <w:rFonts w:ascii="Times New Roman" w:hAnsi="Times New Roman" w:cs="Times New Roman"/>
          <w:sz w:val="24"/>
          <w:szCs w:val="24"/>
        </w:rPr>
        <w:t xml:space="preserve"> in the hypothetical scenario of </w:t>
      </w:r>
      <w:r w:rsidR="002D3F5B" w:rsidRPr="00AD46A7">
        <w:rPr>
          <w:rFonts w:ascii="Times New Roman" w:hAnsi="Times New Roman" w:cs="Times New Roman"/>
          <w:sz w:val="24"/>
          <w:szCs w:val="24"/>
        </w:rPr>
        <w:t xml:space="preserve">taxes and transfers </w:t>
      </w:r>
      <w:r w:rsidR="00D57DA5" w:rsidRPr="00AD46A7">
        <w:rPr>
          <w:rFonts w:ascii="Times New Roman" w:hAnsi="Times New Roman" w:cs="Times New Roman"/>
          <w:sz w:val="24"/>
          <w:szCs w:val="24"/>
        </w:rPr>
        <w:t>both equal to </w:t>
      </w:r>
      <w:r w:rsidR="000F7FDF" w:rsidRPr="00AD46A7">
        <w:rPr>
          <w:rFonts w:ascii="Times New Roman" w:hAnsi="Times New Roman" w:cs="Times New Roman"/>
          <w:sz w:val="24"/>
          <w:szCs w:val="24"/>
        </w:rPr>
        <w:t>zero</w:t>
      </w:r>
      <w:r w:rsidR="00D57DA5" w:rsidRPr="00AD46A7">
        <w:rPr>
          <w:rFonts w:ascii="Times New Roman" w:hAnsi="Times New Roman" w:cs="Times New Roman"/>
          <w:sz w:val="24"/>
          <w:szCs w:val="24"/>
        </w:rPr>
        <w:t>.</w:t>
      </w:r>
      <w:r w:rsidR="00FA5DA3" w:rsidRPr="00AD46A7">
        <w:rPr>
          <w:rFonts w:ascii="Times New Roman" w:hAnsi="Times New Roman" w:cs="Times New Roman"/>
          <w:sz w:val="24"/>
          <w:szCs w:val="24"/>
        </w:rPr>
        <w:t xml:space="preserve">  The difference between that growth rate and the actual growth rates represents the share of consumption growth attributable to fiscal policy.  To get an estimate of the contribution to GDP growth, we multiply the contribution to consumption growth by the nominal ratio of consumption to GDP.</w:t>
      </w:r>
      <w:r w:rsidR="002D3F5B" w:rsidRPr="00AD46A7">
        <w:rPr>
          <w:rFonts w:ascii="Times New Roman" w:hAnsi="Times New Roman" w:cs="Times New Roman"/>
          <w:sz w:val="24"/>
          <w:szCs w:val="24"/>
        </w:rPr>
        <w:t xml:space="preserve"> </w:t>
      </w:r>
    </w:p>
    <w:p w:rsidR="00887D83" w:rsidRPr="00AD46A7" w:rsidRDefault="00893001" w:rsidP="00887D83">
      <w:pPr>
        <w:rPr>
          <w:rFonts w:ascii="Times New Roman" w:hAnsi="Times New Roman" w:cs="Times New Roman"/>
          <w:sz w:val="24"/>
          <w:szCs w:val="24"/>
        </w:rPr>
      </w:pPr>
      <w:r w:rsidRPr="00AD46A7">
        <w:rPr>
          <w:rFonts w:ascii="Times New Roman" w:hAnsi="Times New Roman" w:cs="Times New Roman"/>
          <w:sz w:val="24"/>
          <w:szCs w:val="24"/>
        </w:rPr>
        <w:t xml:space="preserve">Our assumptions for </w:t>
      </w:r>
      <w:r w:rsidR="002D3F5B" w:rsidRPr="00AD46A7">
        <w:rPr>
          <w:rFonts w:ascii="Times New Roman" w:hAnsi="Times New Roman" w:cs="Times New Roman"/>
          <w:sz w:val="24"/>
          <w:szCs w:val="24"/>
        </w:rPr>
        <w:t xml:space="preserve">the MPC of </w:t>
      </w:r>
      <w:r w:rsidRPr="00AD46A7">
        <w:rPr>
          <w:rFonts w:ascii="Times New Roman" w:hAnsi="Times New Roman" w:cs="Times New Roman"/>
          <w:sz w:val="24"/>
          <w:szCs w:val="24"/>
        </w:rPr>
        <w:t xml:space="preserve">each component </w:t>
      </w:r>
      <w:r w:rsidR="00887D83" w:rsidRPr="00AD46A7">
        <w:rPr>
          <w:rFonts w:ascii="Times New Roman" w:hAnsi="Times New Roman" w:cs="Times New Roman"/>
          <w:sz w:val="24"/>
          <w:szCs w:val="24"/>
        </w:rPr>
        <w:t xml:space="preserve">of taxes and transfers </w:t>
      </w:r>
      <w:r w:rsidR="002D3F5B" w:rsidRPr="00AD46A7">
        <w:rPr>
          <w:rFonts w:ascii="Times New Roman" w:hAnsi="Times New Roman" w:cs="Times New Roman"/>
          <w:sz w:val="24"/>
          <w:szCs w:val="24"/>
        </w:rPr>
        <w:t xml:space="preserve">are similar to those used by </w:t>
      </w:r>
      <w:proofErr w:type="spellStart"/>
      <w:r w:rsidR="002D3F5B" w:rsidRPr="00AD46A7">
        <w:rPr>
          <w:rFonts w:ascii="Times New Roman" w:hAnsi="Times New Roman" w:cs="Times New Roman"/>
          <w:sz w:val="24"/>
          <w:szCs w:val="24"/>
        </w:rPr>
        <w:t>Follette</w:t>
      </w:r>
      <w:proofErr w:type="spellEnd"/>
      <w:r w:rsidR="002D3F5B" w:rsidRPr="00AD46A7">
        <w:rPr>
          <w:rFonts w:ascii="Times New Roman" w:hAnsi="Times New Roman" w:cs="Times New Roman"/>
          <w:sz w:val="24"/>
          <w:szCs w:val="24"/>
        </w:rPr>
        <w:t xml:space="preserve">, </w:t>
      </w:r>
      <w:proofErr w:type="spellStart"/>
      <w:r w:rsidR="002D3F5B" w:rsidRPr="00AD46A7">
        <w:rPr>
          <w:rFonts w:ascii="Times New Roman" w:hAnsi="Times New Roman" w:cs="Times New Roman"/>
          <w:sz w:val="24"/>
          <w:szCs w:val="24"/>
        </w:rPr>
        <w:t>Kusko</w:t>
      </w:r>
      <w:proofErr w:type="spellEnd"/>
      <w:r w:rsidR="002D3F5B" w:rsidRPr="00AD46A7">
        <w:rPr>
          <w:rFonts w:ascii="Times New Roman" w:hAnsi="Times New Roman" w:cs="Times New Roman"/>
          <w:sz w:val="24"/>
          <w:szCs w:val="24"/>
        </w:rPr>
        <w:t>, and Lutz (2008).</w:t>
      </w:r>
      <w:r w:rsidR="002D3F5B" w:rsidRPr="00AD46A7">
        <w:rPr>
          <w:rStyle w:val="FootnoteReference"/>
          <w:rFonts w:ascii="Times New Roman" w:hAnsi="Times New Roman" w:cs="Times New Roman"/>
          <w:sz w:val="24"/>
          <w:szCs w:val="24"/>
        </w:rPr>
        <w:footnoteReference w:id="2"/>
      </w:r>
    </w:p>
    <w:p w:rsidR="00F917E3" w:rsidRPr="00AD46A7" w:rsidRDefault="00F917E3" w:rsidP="00887D8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P</w:t>
      </w:r>
      <w:r w:rsidR="00EC4002" w:rsidRPr="00AD46A7">
        <w:rPr>
          <w:rFonts w:ascii="Times New Roman" w:hAnsi="Times New Roman" w:cs="Times New Roman"/>
          <w:sz w:val="24"/>
          <w:szCs w:val="24"/>
        </w:rPr>
        <w:t>ersonal taxes, contributions to social insurance, and production and import taxes</w:t>
      </w:r>
      <w:r w:rsidRPr="00AD46A7">
        <w:rPr>
          <w:rFonts w:ascii="Times New Roman" w:hAnsi="Times New Roman" w:cs="Times New Roman"/>
          <w:sz w:val="24"/>
          <w:szCs w:val="24"/>
        </w:rPr>
        <w:t>:</w:t>
      </w:r>
    </w:p>
    <w:p w:rsidR="002D3F5B" w:rsidRPr="00AD46A7" w:rsidRDefault="006E5282"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w:t>
      </w:r>
      <w:r w:rsidR="00D836E3" w:rsidRPr="00AD46A7">
        <w:rPr>
          <w:rFonts w:ascii="Times New Roman" w:hAnsi="Times New Roman" w:cs="Times New Roman"/>
          <w:sz w:val="24"/>
          <w:szCs w:val="24"/>
        </w:rPr>
        <w:t xml:space="preserve"> .</w:t>
      </w:r>
      <w:r w:rsidR="002D3F5B" w:rsidRPr="00AD46A7">
        <w:rPr>
          <w:rFonts w:ascii="Times New Roman" w:hAnsi="Times New Roman" w:cs="Times New Roman"/>
          <w:sz w:val="24"/>
          <w:szCs w:val="24"/>
        </w:rPr>
        <w:t>6</w:t>
      </w:r>
      <w:r w:rsidR="00D836E3" w:rsidRPr="00AD46A7">
        <w:rPr>
          <w:rFonts w:ascii="Times New Roman" w:hAnsi="Times New Roman" w:cs="Times New Roman"/>
          <w:sz w:val="24"/>
          <w:szCs w:val="24"/>
        </w:rPr>
        <w:t xml:space="preserve">. </w:t>
      </w:r>
    </w:p>
    <w:p w:rsidR="00D836E3" w:rsidRPr="00AD46A7" w:rsidRDefault="00D836E3"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60 percent of the effect occur</w:t>
      </w:r>
      <w:r w:rsidR="002D3F5B" w:rsidRPr="00AD46A7">
        <w:rPr>
          <w:rFonts w:ascii="Times New Roman" w:hAnsi="Times New Roman" w:cs="Times New Roman"/>
          <w:sz w:val="24"/>
          <w:szCs w:val="24"/>
        </w:rPr>
        <w:t>s</w:t>
      </w:r>
      <w:r w:rsidRPr="00AD46A7">
        <w:rPr>
          <w:rFonts w:ascii="Times New Roman" w:hAnsi="Times New Roman" w:cs="Times New Roman"/>
          <w:sz w:val="24"/>
          <w:szCs w:val="24"/>
        </w:rPr>
        <w:t xml:space="preserve"> in the first year, and 40 percent in the second.</w:t>
      </w:r>
      <w:r w:rsidR="00D57DA5" w:rsidRPr="00AD46A7">
        <w:rPr>
          <w:rStyle w:val="FootnoteReference"/>
          <w:rFonts w:ascii="Times New Roman" w:hAnsi="Times New Roman" w:cs="Times New Roman"/>
          <w:sz w:val="24"/>
          <w:szCs w:val="24"/>
        </w:rPr>
        <w:footnoteReference w:id="3"/>
      </w:r>
    </w:p>
    <w:p w:rsidR="00D836E3" w:rsidRPr="00AD46A7" w:rsidRDefault="00D836E3" w:rsidP="00D836E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Corporate taxes:</w:t>
      </w:r>
    </w:p>
    <w:p w:rsidR="002D3F5B" w:rsidRPr="00AD46A7" w:rsidRDefault="002D3F5B" w:rsidP="00282AEB">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 .4</w:t>
      </w:r>
      <w:r w:rsidR="00282AEB" w:rsidRPr="00AD46A7">
        <w:rPr>
          <w:rFonts w:ascii="Times New Roman" w:hAnsi="Times New Roman" w:cs="Times New Roman"/>
          <w:sz w:val="24"/>
          <w:szCs w:val="24"/>
        </w:rPr>
        <w:t xml:space="preserve">. </w:t>
      </w:r>
      <w:r w:rsidRPr="00AD46A7">
        <w:rPr>
          <w:rFonts w:ascii="Times New Roman" w:hAnsi="Times New Roman" w:cs="Times New Roman"/>
          <w:sz w:val="24"/>
          <w:szCs w:val="24"/>
        </w:rPr>
        <w:t xml:space="preserve"> </w:t>
      </w:r>
    </w:p>
    <w:p w:rsidR="00282AEB" w:rsidRPr="00AD46A7" w:rsidRDefault="002D3F5B" w:rsidP="00282AEB">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 xml:space="preserve">Effect occurs smoothly over 3 years. </w:t>
      </w:r>
    </w:p>
    <w:p w:rsidR="00D836E3" w:rsidRPr="00AD46A7" w:rsidRDefault="002D3F5B" w:rsidP="00D836E3">
      <w:pPr>
        <w:pStyle w:val="ListParagraph"/>
        <w:numPr>
          <w:ilvl w:val="0"/>
          <w:numId w:val="2"/>
        </w:numPr>
        <w:rPr>
          <w:rFonts w:ascii="Times New Roman" w:hAnsi="Times New Roman" w:cs="Times New Roman"/>
          <w:sz w:val="24"/>
          <w:szCs w:val="24"/>
        </w:rPr>
      </w:pPr>
      <w:r w:rsidRPr="00AD46A7">
        <w:rPr>
          <w:rFonts w:ascii="Times New Roman" w:hAnsi="Times New Roman" w:cs="Times New Roman"/>
          <w:sz w:val="24"/>
          <w:szCs w:val="24"/>
        </w:rPr>
        <w:t>Transfer payments</w:t>
      </w:r>
      <w:r w:rsidR="00D836E3" w:rsidRPr="00AD46A7">
        <w:rPr>
          <w:rFonts w:ascii="Times New Roman" w:hAnsi="Times New Roman" w:cs="Times New Roman"/>
          <w:sz w:val="24"/>
          <w:szCs w:val="24"/>
        </w:rPr>
        <w:t>:</w:t>
      </w:r>
    </w:p>
    <w:p w:rsidR="00D836E3" w:rsidRPr="00AD46A7" w:rsidRDefault="002D3F5B" w:rsidP="00D836E3">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MPC =</w:t>
      </w:r>
      <w:r w:rsidR="00D836E3" w:rsidRPr="00AD46A7">
        <w:rPr>
          <w:rFonts w:ascii="Times New Roman" w:hAnsi="Times New Roman" w:cs="Times New Roman"/>
          <w:sz w:val="24"/>
          <w:szCs w:val="24"/>
        </w:rPr>
        <w:t xml:space="preserve"> .9</w:t>
      </w:r>
      <w:r w:rsidRPr="00AD46A7">
        <w:rPr>
          <w:rFonts w:ascii="Times New Roman" w:hAnsi="Times New Roman" w:cs="Times New Roman"/>
          <w:sz w:val="24"/>
          <w:szCs w:val="24"/>
        </w:rPr>
        <w:t xml:space="preserve">. </w:t>
      </w:r>
    </w:p>
    <w:p w:rsidR="00EC4002" w:rsidRPr="00AD46A7" w:rsidRDefault="002D3F5B" w:rsidP="00EC4002">
      <w:pPr>
        <w:pStyle w:val="ListParagraph"/>
        <w:numPr>
          <w:ilvl w:val="1"/>
          <w:numId w:val="2"/>
        </w:numPr>
        <w:rPr>
          <w:rFonts w:ascii="Times New Roman" w:hAnsi="Times New Roman" w:cs="Times New Roman"/>
          <w:sz w:val="24"/>
          <w:szCs w:val="24"/>
        </w:rPr>
      </w:pPr>
      <w:r w:rsidRPr="00AD46A7">
        <w:rPr>
          <w:rFonts w:ascii="Times New Roman" w:hAnsi="Times New Roman" w:cs="Times New Roman"/>
          <w:sz w:val="24"/>
          <w:szCs w:val="24"/>
        </w:rPr>
        <w:t xml:space="preserve">Effect occurs </w:t>
      </w:r>
      <w:r w:rsidR="006B0705">
        <w:rPr>
          <w:rFonts w:ascii="Times New Roman" w:hAnsi="Times New Roman" w:cs="Times New Roman"/>
          <w:sz w:val="24"/>
          <w:szCs w:val="24"/>
        </w:rPr>
        <w:t xml:space="preserve">smoothly </w:t>
      </w:r>
      <w:r w:rsidRPr="00AD46A7">
        <w:rPr>
          <w:rFonts w:ascii="Times New Roman" w:hAnsi="Times New Roman" w:cs="Times New Roman"/>
          <w:sz w:val="24"/>
          <w:szCs w:val="24"/>
        </w:rPr>
        <w:t>in the first year.</w:t>
      </w:r>
    </w:p>
    <w:p w:rsidR="002D3F5B" w:rsidRPr="00AD46A7" w:rsidRDefault="002D3F5B" w:rsidP="002D3F5B">
      <w:pPr>
        <w:pStyle w:val="ListParagraph"/>
        <w:ind w:left="2160"/>
        <w:rPr>
          <w:rFonts w:ascii="Times New Roman" w:hAnsi="Times New Roman" w:cs="Times New Roman"/>
          <w:sz w:val="24"/>
          <w:szCs w:val="24"/>
        </w:rPr>
      </w:pPr>
    </w:p>
    <w:p w:rsidR="00760018" w:rsidRPr="00AD46A7" w:rsidRDefault="00760018">
      <w:pPr>
        <w:rPr>
          <w:rFonts w:ascii="Times New Roman" w:hAnsi="Times New Roman" w:cs="Times New Roman"/>
          <w:sz w:val="24"/>
          <w:szCs w:val="24"/>
          <w:u w:val="single"/>
        </w:rPr>
      </w:pPr>
    </w:p>
    <w:sectPr w:rsidR="00760018" w:rsidRPr="00AD46A7" w:rsidSect="00187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A99" w:rsidRDefault="00025A99" w:rsidP="002D3F5B">
      <w:pPr>
        <w:spacing w:after="0" w:line="240" w:lineRule="auto"/>
      </w:pPr>
      <w:r>
        <w:separator/>
      </w:r>
    </w:p>
  </w:endnote>
  <w:endnote w:type="continuationSeparator" w:id="0">
    <w:p w:rsidR="00025A99" w:rsidRDefault="00025A99" w:rsidP="002D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A99" w:rsidRDefault="00025A99" w:rsidP="002D3F5B">
      <w:pPr>
        <w:spacing w:after="0" w:line="240" w:lineRule="auto"/>
      </w:pPr>
      <w:r>
        <w:separator/>
      </w:r>
    </w:p>
  </w:footnote>
  <w:footnote w:type="continuationSeparator" w:id="0">
    <w:p w:rsidR="00025A99" w:rsidRDefault="00025A99" w:rsidP="002D3F5B">
      <w:pPr>
        <w:spacing w:after="0" w:line="240" w:lineRule="auto"/>
      </w:pPr>
      <w:r>
        <w:continuationSeparator/>
      </w:r>
    </w:p>
  </w:footnote>
  <w:footnote w:id="1">
    <w:p w:rsidR="007D3399" w:rsidRDefault="007D3399">
      <w:pPr>
        <w:pStyle w:val="FootnoteText"/>
      </w:pPr>
      <w:r>
        <w:rPr>
          <w:rStyle w:val="FootnoteReference"/>
        </w:rPr>
        <w:footnoteRef/>
      </w:r>
      <w:r>
        <w:t xml:space="preserve"> </w:t>
      </w:r>
      <w:r w:rsidR="006F5C7E">
        <w:t xml:space="preserve">Potential GDP growth is the growth </w:t>
      </w:r>
      <w:r w:rsidR="008E044D">
        <w:t xml:space="preserve">rate that would </w:t>
      </w:r>
      <w:r w:rsidR="006F5C7E">
        <w:t xml:space="preserve">prevail were the economy at full-employment.  </w:t>
      </w:r>
      <w:r>
        <w:t xml:space="preserve">We use CBO’s latest estimates of potential GDP growth, found </w:t>
      </w:r>
      <w:hyperlink r:id="rId1" w:history="1">
        <w:r w:rsidR="00BE7C77" w:rsidRPr="00BE7C77">
          <w:rPr>
            <w:rStyle w:val="Hyperlink"/>
          </w:rPr>
          <w:t>here.</w:t>
        </w:r>
      </w:hyperlink>
      <w:r w:rsidR="00BE7C77">
        <w:t xml:space="preserve"> </w:t>
      </w:r>
    </w:p>
  </w:footnote>
  <w:footnote w:id="2">
    <w:p w:rsidR="007D3399" w:rsidRDefault="007D3399">
      <w:pPr>
        <w:pStyle w:val="FootnoteText"/>
      </w:pPr>
      <w:r>
        <w:rPr>
          <w:rStyle w:val="FootnoteReference"/>
        </w:rPr>
        <w:footnoteRef/>
      </w:r>
      <w:r>
        <w:t xml:space="preserve"> In each case, our MPCs are a bit lower than </w:t>
      </w:r>
      <w:r w:rsidR="000F7FDF">
        <w:t>the Fed’s</w:t>
      </w:r>
      <w:r>
        <w:t xml:space="preserve">, because it is likely that changes in taxes and benefits that are not derived from changes in tax policy will have smaller effects on consumption.   </w:t>
      </w:r>
    </w:p>
  </w:footnote>
  <w:footnote w:id="3">
    <w:p w:rsidR="007D3399" w:rsidRDefault="007D3399">
      <w:pPr>
        <w:pStyle w:val="FootnoteText"/>
      </w:pPr>
      <w:r>
        <w:rPr>
          <w:rStyle w:val="FootnoteReference"/>
        </w:rPr>
        <w:footnoteRef/>
      </w:r>
      <w:r>
        <w:t xml:space="preserve"> So the effects of taxes on consumption in a particular quarter will be equal to </w:t>
      </w:r>
      <w:r w:rsidR="004B51AE">
        <w:t>0</w:t>
      </w:r>
      <w:r>
        <w:t>.6 times the weighted average of taxes over the past year (with this quarter’s taxes getting a larger weight than taxes four quarters ago) +</w:t>
      </w:r>
      <w:r w:rsidR="004B51AE">
        <w:t>0</w:t>
      </w:r>
      <w:r w:rsidR="000F7FDF">
        <w:t xml:space="preserve">.4 times </w:t>
      </w:r>
      <w:r>
        <w:t>the average of taxes in the previous year, all deflated by the PCE deflator.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7DB"/>
    <w:multiLevelType w:val="hybridMultilevel"/>
    <w:tmpl w:val="BB0E9B56"/>
    <w:lvl w:ilvl="0" w:tplc="15F6F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E6C5D"/>
    <w:multiLevelType w:val="hybridMultilevel"/>
    <w:tmpl w:val="95823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6B4DF3"/>
    <w:multiLevelType w:val="hybridMultilevel"/>
    <w:tmpl w:val="45F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ED"/>
    <w:rsid w:val="0000747C"/>
    <w:rsid w:val="00015D7B"/>
    <w:rsid w:val="00025A99"/>
    <w:rsid w:val="000875AB"/>
    <w:rsid w:val="000F7FDF"/>
    <w:rsid w:val="00184DC7"/>
    <w:rsid w:val="00187849"/>
    <w:rsid w:val="001C6108"/>
    <w:rsid w:val="001C7E07"/>
    <w:rsid w:val="001E0258"/>
    <w:rsid w:val="00225D0B"/>
    <w:rsid w:val="0023714C"/>
    <w:rsid w:val="00282AEB"/>
    <w:rsid w:val="002D3F5B"/>
    <w:rsid w:val="00343113"/>
    <w:rsid w:val="00351828"/>
    <w:rsid w:val="003746CE"/>
    <w:rsid w:val="00374D46"/>
    <w:rsid w:val="003875B7"/>
    <w:rsid w:val="00407E2B"/>
    <w:rsid w:val="00456A19"/>
    <w:rsid w:val="004B51AE"/>
    <w:rsid w:val="00501CAD"/>
    <w:rsid w:val="0052401F"/>
    <w:rsid w:val="006840A5"/>
    <w:rsid w:val="00691271"/>
    <w:rsid w:val="006B0705"/>
    <w:rsid w:val="006D25FD"/>
    <w:rsid w:val="006E1710"/>
    <w:rsid w:val="006E5282"/>
    <w:rsid w:val="006F4668"/>
    <w:rsid w:val="006F5C7E"/>
    <w:rsid w:val="00760018"/>
    <w:rsid w:val="00762716"/>
    <w:rsid w:val="007A196B"/>
    <w:rsid w:val="007D3399"/>
    <w:rsid w:val="007E6EA4"/>
    <w:rsid w:val="00812671"/>
    <w:rsid w:val="00887D83"/>
    <w:rsid w:val="00893001"/>
    <w:rsid w:val="008930ED"/>
    <w:rsid w:val="008E044D"/>
    <w:rsid w:val="009601AC"/>
    <w:rsid w:val="00A56688"/>
    <w:rsid w:val="00AD46A7"/>
    <w:rsid w:val="00AE3F3C"/>
    <w:rsid w:val="00B13C1B"/>
    <w:rsid w:val="00B47100"/>
    <w:rsid w:val="00B70A9B"/>
    <w:rsid w:val="00BE7C77"/>
    <w:rsid w:val="00CD28F2"/>
    <w:rsid w:val="00CF40E9"/>
    <w:rsid w:val="00D57DA5"/>
    <w:rsid w:val="00D836E3"/>
    <w:rsid w:val="00E43D1E"/>
    <w:rsid w:val="00E5790E"/>
    <w:rsid w:val="00EB1C28"/>
    <w:rsid w:val="00EC4002"/>
    <w:rsid w:val="00F00569"/>
    <w:rsid w:val="00F7397F"/>
    <w:rsid w:val="00F917E3"/>
    <w:rsid w:val="00FA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02"/>
    <w:pPr>
      <w:ind w:left="720"/>
      <w:contextualSpacing/>
    </w:pPr>
  </w:style>
  <w:style w:type="character" w:styleId="Hyperlink">
    <w:name w:val="Hyperlink"/>
    <w:basedOn w:val="DefaultParagraphFont"/>
    <w:uiPriority w:val="99"/>
    <w:unhideWhenUsed/>
    <w:rsid w:val="00282AEB"/>
    <w:rPr>
      <w:color w:val="0000FF" w:themeColor="hyperlink"/>
      <w:u w:val="single"/>
    </w:rPr>
  </w:style>
  <w:style w:type="character" w:styleId="FollowedHyperlink">
    <w:name w:val="FollowedHyperlink"/>
    <w:basedOn w:val="DefaultParagraphFont"/>
    <w:uiPriority w:val="99"/>
    <w:semiHidden/>
    <w:unhideWhenUsed/>
    <w:rsid w:val="00282AEB"/>
    <w:rPr>
      <w:color w:val="800080" w:themeColor="followedHyperlink"/>
      <w:u w:val="single"/>
    </w:rPr>
  </w:style>
  <w:style w:type="paragraph" w:styleId="FootnoteText">
    <w:name w:val="footnote text"/>
    <w:basedOn w:val="Normal"/>
    <w:link w:val="FootnoteTextChar"/>
    <w:uiPriority w:val="99"/>
    <w:semiHidden/>
    <w:unhideWhenUsed/>
    <w:rsid w:val="002D3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F5B"/>
    <w:rPr>
      <w:sz w:val="20"/>
      <w:szCs w:val="20"/>
    </w:rPr>
  </w:style>
  <w:style w:type="character" w:styleId="FootnoteReference">
    <w:name w:val="footnote reference"/>
    <w:basedOn w:val="DefaultParagraphFont"/>
    <w:uiPriority w:val="99"/>
    <w:semiHidden/>
    <w:unhideWhenUsed/>
    <w:rsid w:val="002D3F5B"/>
    <w:rPr>
      <w:vertAlign w:val="superscript"/>
    </w:rPr>
  </w:style>
  <w:style w:type="character" w:styleId="CommentReference">
    <w:name w:val="annotation reference"/>
    <w:basedOn w:val="DefaultParagraphFont"/>
    <w:uiPriority w:val="99"/>
    <w:semiHidden/>
    <w:unhideWhenUsed/>
    <w:rsid w:val="007D3399"/>
    <w:rPr>
      <w:sz w:val="18"/>
      <w:szCs w:val="18"/>
    </w:rPr>
  </w:style>
  <w:style w:type="paragraph" w:styleId="CommentText">
    <w:name w:val="annotation text"/>
    <w:basedOn w:val="Normal"/>
    <w:link w:val="CommentTextChar"/>
    <w:uiPriority w:val="99"/>
    <w:semiHidden/>
    <w:unhideWhenUsed/>
    <w:rsid w:val="007D3399"/>
    <w:pPr>
      <w:spacing w:line="240" w:lineRule="auto"/>
    </w:pPr>
    <w:rPr>
      <w:sz w:val="24"/>
      <w:szCs w:val="24"/>
    </w:rPr>
  </w:style>
  <w:style w:type="character" w:customStyle="1" w:styleId="CommentTextChar">
    <w:name w:val="Comment Text Char"/>
    <w:basedOn w:val="DefaultParagraphFont"/>
    <w:link w:val="CommentText"/>
    <w:uiPriority w:val="99"/>
    <w:semiHidden/>
    <w:rsid w:val="007D3399"/>
    <w:rPr>
      <w:sz w:val="24"/>
      <w:szCs w:val="24"/>
    </w:rPr>
  </w:style>
  <w:style w:type="paragraph" w:styleId="CommentSubject">
    <w:name w:val="annotation subject"/>
    <w:basedOn w:val="CommentText"/>
    <w:next w:val="CommentText"/>
    <w:link w:val="CommentSubjectChar"/>
    <w:uiPriority w:val="99"/>
    <w:semiHidden/>
    <w:unhideWhenUsed/>
    <w:rsid w:val="007D3399"/>
    <w:rPr>
      <w:b/>
      <w:bCs/>
      <w:sz w:val="20"/>
      <w:szCs w:val="20"/>
    </w:rPr>
  </w:style>
  <w:style w:type="character" w:customStyle="1" w:styleId="CommentSubjectChar">
    <w:name w:val="Comment Subject Char"/>
    <w:basedOn w:val="CommentTextChar"/>
    <w:link w:val="CommentSubject"/>
    <w:uiPriority w:val="99"/>
    <w:semiHidden/>
    <w:rsid w:val="007D3399"/>
    <w:rPr>
      <w:b/>
      <w:bCs/>
      <w:sz w:val="20"/>
      <w:szCs w:val="20"/>
    </w:rPr>
  </w:style>
  <w:style w:type="paragraph" w:styleId="BalloonText">
    <w:name w:val="Balloon Text"/>
    <w:basedOn w:val="Normal"/>
    <w:link w:val="BalloonTextChar"/>
    <w:uiPriority w:val="99"/>
    <w:semiHidden/>
    <w:unhideWhenUsed/>
    <w:rsid w:val="007D33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39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02"/>
    <w:pPr>
      <w:ind w:left="720"/>
      <w:contextualSpacing/>
    </w:pPr>
  </w:style>
  <w:style w:type="character" w:styleId="Hyperlink">
    <w:name w:val="Hyperlink"/>
    <w:basedOn w:val="DefaultParagraphFont"/>
    <w:uiPriority w:val="99"/>
    <w:unhideWhenUsed/>
    <w:rsid w:val="00282AEB"/>
    <w:rPr>
      <w:color w:val="0000FF" w:themeColor="hyperlink"/>
      <w:u w:val="single"/>
    </w:rPr>
  </w:style>
  <w:style w:type="character" w:styleId="FollowedHyperlink">
    <w:name w:val="FollowedHyperlink"/>
    <w:basedOn w:val="DefaultParagraphFont"/>
    <w:uiPriority w:val="99"/>
    <w:semiHidden/>
    <w:unhideWhenUsed/>
    <w:rsid w:val="00282AEB"/>
    <w:rPr>
      <w:color w:val="800080" w:themeColor="followedHyperlink"/>
      <w:u w:val="single"/>
    </w:rPr>
  </w:style>
  <w:style w:type="paragraph" w:styleId="FootnoteText">
    <w:name w:val="footnote text"/>
    <w:basedOn w:val="Normal"/>
    <w:link w:val="FootnoteTextChar"/>
    <w:uiPriority w:val="99"/>
    <w:semiHidden/>
    <w:unhideWhenUsed/>
    <w:rsid w:val="002D3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F5B"/>
    <w:rPr>
      <w:sz w:val="20"/>
      <w:szCs w:val="20"/>
    </w:rPr>
  </w:style>
  <w:style w:type="character" w:styleId="FootnoteReference">
    <w:name w:val="footnote reference"/>
    <w:basedOn w:val="DefaultParagraphFont"/>
    <w:uiPriority w:val="99"/>
    <w:semiHidden/>
    <w:unhideWhenUsed/>
    <w:rsid w:val="002D3F5B"/>
    <w:rPr>
      <w:vertAlign w:val="superscript"/>
    </w:rPr>
  </w:style>
  <w:style w:type="character" w:styleId="CommentReference">
    <w:name w:val="annotation reference"/>
    <w:basedOn w:val="DefaultParagraphFont"/>
    <w:uiPriority w:val="99"/>
    <w:semiHidden/>
    <w:unhideWhenUsed/>
    <w:rsid w:val="007D3399"/>
    <w:rPr>
      <w:sz w:val="18"/>
      <w:szCs w:val="18"/>
    </w:rPr>
  </w:style>
  <w:style w:type="paragraph" w:styleId="CommentText">
    <w:name w:val="annotation text"/>
    <w:basedOn w:val="Normal"/>
    <w:link w:val="CommentTextChar"/>
    <w:uiPriority w:val="99"/>
    <w:semiHidden/>
    <w:unhideWhenUsed/>
    <w:rsid w:val="007D3399"/>
    <w:pPr>
      <w:spacing w:line="240" w:lineRule="auto"/>
    </w:pPr>
    <w:rPr>
      <w:sz w:val="24"/>
      <w:szCs w:val="24"/>
    </w:rPr>
  </w:style>
  <w:style w:type="character" w:customStyle="1" w:styleId="CommentTextChar">
    <w:name w:val="Comment Text Char"/>
    <w:basedOn w:val="DefaultParagraphFont"/>
    <w:link w:val="CommentText"/>
    <w:uiPriority w:val="99"/>
    <w:semiHidden/>
    <w:rsid w:val="007D3399"/>
    <w:rPr>
      <w:sz w:val="24"/>
      <w:szCs w:val="24"/>
    </w:rPr>
  </w:style>
  <w:style w:type="paragraph" w:styleId="CommentSubject">
    <w:name w:val="annotation subject"/>
    <w:basedOn w:val="CommentText"/>
    <w:next w:val="CommentText"/>
    <w:link w:val="CommentSubjectChar"/>
    <w:uiPriority w:val="99"/>
    <w:semiHidden/>
    <w:unhideWhenUsed/>
    <w:rsid w:val="007D3399"/>
    <w:rPr>
      <w:b/>
      <w:bCs/>
      <w:sz w:val="20"/>
      <w:szCs w:val="20"/>
    </w:rPr>
  </w:style>
  <w:style w:type="character" w:customStyle="1" w:styleId="CommentSubjectChar">
    <w:name w:val="Comment Subject Char"/>
    <w:basedOn w:val="CommentTextChar"/>
    <w:link w:val="CommentSubject"/>
    <w:uiPriority w:val="99"/>
    <w:semiHidden/>
    <w:rsid w:val="007D3399"/>
    <w:rPr>
      <w:b/>
      <w:bCs/>
      <w:sz w:val="20"/>
      <w:szCs w:val="20"/>
    </w:rPr>
  </w:style>
  <w:style w:type="paragraph" w:styleId="BalloonText">
    <w:name w:val="Balloon Text"/>
    <w:basedOn w:val="Normal"/>
    <w:link w:val="BalloonTextChar"/>
    <w:uiPriority w:val="99"/>
    <w:semiHidden/>
    <w:unhideWhenUsed/>
    <w:rsid w:val="007D33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0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ea.gov/iTable/iTable.cfm?ReqID=9&amp;step=1" TargetMode="Externa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federalreserve.gov/pubs/feds/2009/200905/200905pap.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cbo.gov/publication/45653"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pfesc01\files\common\Hutchins\Projects\FiscalDash\Fiscal%20Impa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latin typeface="Georgia"/>
                <a:ea typeface="Georgia"/>
                <a:cs typeface="Georgia"/>
              </a:defRPr>
            </a:pPr>
            <a:r>
              <a:rPr lang="en-US"/>
              <a:t>Fiscal</a:t>
            </a:r>
            <a:r>
              <a:rPr lang="en-US" baseline="0"/>
              <a:t> Impact Measure</a:t>
            </a:r>
            <a:endParaRPr lang="en-US"/>
          </a:p>
        </c:rich>
      </c:tx>
      <c:layout>
        <c:manualLayout>
          <c:xMode val="edge"/>
          <c:yMode val="edge"/>
          <c:x val="2.6325327424524198E-3"/>
          <c:y val="9.7706379667365697E-4"/>
        </c:manualLayout>
      </c:layout>
      <c:overlay val="0"/>
    </c:title>
    <c:autoTitleDeleted val="0"/>
    <c:plotArea>
      <c:layout>
        <c:manualLayout>
          <c:layoutTarget val="inner"/>
          <c:xMode val="edge"/>
          <c:yMode val="edge"/>
          <c:x val="9.7287529314945054E-2"/>
          <c:y val="0.17812711853229402"/>
          <c:w val="0.87578943633269224"/>
          <c:h val="0.63316187235389543"/>
        </c:manualLayout>
      </c:layout>
      <c:barChart>
        <c:barDir val="col"/>
        <c:grouping val="clustered"/>
        <c:varyColors val="0"/>
        <c:ser>
          <c:idx val="3"/>
          <c:order val="1"/>
          <c:tx>
            <c:strRef>
              <c:f>Calculations!$B$27</c:f>
              <c:strCache>
                <c:ptCount val="1"/>
                <c:pt idx="0">
                  <c:v>Recession Dummy2</c:v>
                </c:pt>
              </c:strCache>
            </c:strRef>
          </c:tx>
          <c:spPr>
            <a:solidFill>
              <a:schemeClr val="bg1">
                <a:lumMod val="85000"/>
              </a:schemeClr>
            </a:solidFill>
            <a:ln w="95250" cap="flat" cmpd="sng" algn="ctr">
              <a:solidFill>
                <a:schemeClr val="bg1">
                  <a:lumMod val="85000"/>
                </a:schemeClr>
              </a:solidFill>
              <a:prstDash val="solid"/>
              <a:round/>
              <a:headEnd type="none" w="med" len="med"/>
              <a:tailEnd type="none" w="med" len="med"/>
            </a:ln>
          </c:spPr>
          <c:invertIfNegative val="0"/>
          <c:val>
            <c:numRef>
              <c:f>Calculations!$W$28:$FX$28</c:f>
              <c:numCache>
                <c:formatCode>General</c:formatCode>
                <c:ptCount val="1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1</c:v>
                </c:pt>
                <c:pt idx="22">
                  <c:v>1</c:v>
                </c:pt>
                <c:pt idx="23">
                  <c:v>0</c:v>
                </c:pt>
                <c:pt idx="24">
                  <c:v>0</c:v>
                </c:pt>
                <c:pt idx="25">
                  <c:v>0</c:v>
                </c:pt>
                <c:pt idx="26">
                  <c:v>1</c:v>
                </c:pt>
                <c:pt idx="27">
                  <c:v>1</c:v>
                </c:pt>
                <c:pt idx="28">
                  <c:v>1</c:v>
                </c:pt>
                <c:pt idx="29">
                  <c:v>1</c:v>
                </c:pt>
                <c:pt idx="30">
                  <c:v>1</c:v>
                </c:pt>
                <c:pt idx="31">
                  <c:v>1</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c:v>
                </c:pt>
                <c:pt idx="63">
                  <c:v>1</c:v>
                </c:pt>
                <c:pt idx="64">
                  <c:v>1</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1</c:v>
                </c:pt>
                <c:pt idx="105">
                  <c:v>1</c:v>
                </c:pt>
                <c:pt idx="106">
                  <c:v>1</c:v>
                </c:pt>
                <c:pt idx="107">
                  <c:v>1</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1</c:v>
                </c:pt>
                <c:pt idx="132">
                  <c:v>1</c:v>
                </c:pt>
                <c:pt idx="133">
                  <c:v>1</c:v>
                </c:pt>
                <c:pt idx="134">
                  <c:v>1</c:v>
                </c:pt>
                <c:pt idx="135">
                  <c:v>1</c:v>
                </c:pt>
                <c:pt idx="136">
                  <c:v>1</c:v>
                </c:pt>
                <c:pt idx="137">
                  <c:v>1</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numCache>
            </c:numRef>
          </c:val>
        </c:ser>
        <c:dLbls>
          <c:showLegendKey val="0"/>
          <c:showVal val="0"/>
          <c:showCatName val="0"/>
          <c:showSerName val="0"/>
          <c:showPercent val="0"/>
          <c:showBubbleSize val="0"/>
        </c:dLbls>
        <c:gapWidth val="230"/>
        <c:overlap val="-18"/>
        <c:axId val="36344576"/>
        <c:axId val="36338688"/>
      </c:barChart>
      <c:lineChart>
        <c:grouping val="standard"/>
        <c:varyColors val="0"/>
        <c:ser>
          <c:idx val="0"/>
          <c:order val="0"/>
          <c:tx>
            <c:v>Hutchins Center FIM</c:v>
          </c:tx>
          <c:spPr>
            <a:ln w="38100" cap="rnd" cmpd="sng" algn="ctr">
              <a:solidFill>
                <a:srgbClr val="1F497D"/>
              </a:solidFill>
              <a:prstDash val="solid"/>
              <a:round/>
              <a:headEnd type="none" w="med" len="med"/>
              <a:tailEnd type="none" w="med" len="med"/>
            </a:ln>
          </c:spPr>
          <c:marker>
            <c:symbol val="none"/>
          </c:marker>
          <c:cat>
            <c:numRef>
              <c:f>Calculations!$W$9:$FX$9</c:f>
              <c:numCache>
                <c:formatCode>mmm"-"yyyy</c:formatCode>
                <c:ptCount val="158"/>
                <c:pt idx="0">
                  <c:v>27484</c:v>
                </c:pt>
                <c:pt idx="1">
                  <c:v>27575</c:v>
                </c:pt>
                <c:pt idx="2">
                  <c:v>27667</c:v>
                </c:pt>
                <c:pt idx="3">
                  <c:v>27759</c:v>
                </c:pt>
                <c:pt idx="4">
                  <c:v>27850</c:v>
                </c:pt>
                <c:pt idx="5">
                  <c:v>27941</c:v>
                </c:pt>
                <c:pt idx="6">
                  <c:v>28033</c:v>
                </c:pt>
                <c:pt idx="7">
                  <c:v>28125</c:v>
                </c:pt>
                <c:pt idx="8">
                  <c:v>28215</c:v>
                </c:pt>
                <c:pt idx="9">
                  <c:v>28306</c:v>
                </c:pt>
                <c:pt idx="10">
                  <c:v>28398</c:v>
                </c:pt>
                <c:pt idx="11">
                  <c:v>28490</c:v>
                </c:pt>
                <c:pt idx="12">
                  <c:v>28580</c:v>
                </c:pt>
                <c:pt idx="13">
                  <c:v>28671</c:v>
                </c:pt>
                <c:pt idx="14">
                  <c:v>28763</c:v>
                </c:pt>
                <c:pt idx="15">
                  <c:v>28855</c:v>
                </c:pt>
                <c:pt idx="16">
                  <c:v>28945</c:v>
                </c:pt>
                <c:pt idx="17">
                  <c:v>29036</c:v>
                </c:pt>
                <c:pt idx="18">
                  <c:v>29128</c:v>
                </c:pt>
                <c:pt idx="19">
                  <c:v>29220</c:v>
                </c:pt>
                <c:pt idx="20">
                  <c:v>29311</c:v>
                </c:pt>
                <c:pt idx="21">
                  <c:v>29402</c:v>
                </c:pt>
                <c:pt idx="22">
                  <c:v>29494</c:v>
                </c:pt>
                <c:pt idx="23">
                  <c:v>29586</c:v>
                </c:pt>
                <c:pt idx="24">
                  <c:v>29676</c:v>
                </c:pt>
                <c:pt idx="25">
                  <c:v>29767</c:v>
                </c:pt>
                <c:pt idx="26">
                  <c:v>29859</c:v>
                </c:pt>
                <c:pt idx="27">
                  <c:v>29951</c:v>
                </c:pt>
                <c:pt idx="28">
                  <c:v>30041</c:v>
                </c:pt>
                <c:pt idx="29">
                  <c:v>30132</c:v>
                </c:pt>
                <c:pt idx="30">
                  <c:v>30224</c:v>
                </c:pt>
                <c:pt idx="31">
                  <c:v>30316</c:v>
                </c:pt>
                <c:pt idx="32">
                  <c:v>30406</c:v>
                </c:pt>
                <c:pt idx="33">
                  <c:v>30497</c:v>
                </c:pt>
                <c:pt idx="34">
                  <c:v>30589</c:v>
                </c:pt>
                <c:pt idx="35">
                  <c:v>30681</c:v>
                </c:pt>
                <c:pt idx="36">
                  <c:v>30772</c:v>
                </c:pt>
                <c:pt idx="37">
                  <c:v>30863</c:v>
                </c:pt>
                <c:pt idx="38">
                  <c:v>30955</c:v>
                </c:pt>
                <c:pt idx="39">
                  <c:v>31047</c:v>
                </c:pt>
                <c:pt idx="40">
                  <c:v>31137</c:v>
                </c:pt>
                <c:pt idx="41">
                  <c:v>31228</c:v>
                </c:pt>
                <c:pt idx="42">
                  <c:v>31320</c:v>
                </c:pt>
                <c:pt idx="43">
                  <c:v>31412</c:v>
                </c:pt>
                <c:pt idx="44">
                  <c:v>31502</c:v>
                </c:pt>
                <c:pt idx="45">
                  <c:v>31593</c:v>
                </c:pt>
                <c:pt idx="46">
                  <c:v>31685</c:v>
                </c:pt>
                <c:pt idx="47">
                  <c:v>31777</c:v>
                </c:pt>
                <c:pt idx="48">
                  <c:v>31867</c:v>
                </c:pt>
                <c:pt idx="49">
                  <c:v>31958</c:v>
                </c:pt>
                <c:pt idx="50">
                  <c:v>32050</c:v>
                </c:pt>
                <c:pt idx="51">
                  <c:v>32142</c:v>
                </c:pt>
                <c:pt idx="52">
                  <c:v>32233</c:v>
                </c:pt>
                <c:pt idx="53">
                  <c:v>32324</c:v>
                </c:pt>
                <c:pt idx="54">
                  <c:v>32416</c:v>
                </c:pt>
                <c:pt idx="55">
                  <c:v>32508</c:v>
                </c:pt>
                <c:pt idx="56">
                  <c:v>32598</c:v>
                </c:pt>
                <c:pt idx="57">
                  <c:v>32689</c:v>
                </c:pt>
                <c:pt idx="58">
                  <c:v>32781</c:v>
                </c:pt>
                <c:pt idx="59">
                  <c:v>32873</c:v>
                </c:pt>
                <c:pt idx="60">
                  <c:v>32963</c:v>
                </c:pt>
                <c:pt idx="61">
                  <c:v>33054</c:v>
                </c:pt>
                <c:pt idx="62">
                  <c:v>33146</c:v>
                </c:pt>
                <c:pt idx="63">
                  <c:v>33238</c:v>
                </c:pt>
                <c:pt idx="64">
                  <c:v>33328</c:v>
                </c:pt>
                <c:pt idx="65">
                  <c:v>33419</c:v>
                </c:pt>
                <c:pt idx="66">
                  <c:v>33511</c:v>
                </c:pt>
                <c:pt idx="67">
                  <c:v>33603</c:v>
                </c:pt>
                <c:pt idx="68">
                  <c:v>33694</c:v>
                </c:pt>
                <c:pt idx="69">
                  <c:v>33785</c:v>
                </c:pt>
                <c:pt idx="70">
                  <c:v>33877</c:v>
                </c:pt>
                <c:pt idx="71">
                  <c:v>33969</c:v>
                </c:pt>
                <c:pt idx="72">
                  <c:v>34059</c:v>
                </c:pt>
                <c:pt idx="73">
                  <c:v>34150</c:v>
                </c:pt>
                <c:pt idx="74">
                  <c:v>34242</c:v>
                </c:pt>
                <c:pt idx="75">
                  <c:v>34334</c:v>
                </c:pt>
                <c:pt idx="76">
                  <c:v>34424</c:v>
                </c:pt>
                <c:pt idx="77">
                  <c:v>34515</c:v>
                </c:pt>
                <c:pt idx="78">
                  <c:v>34607</c:v>
                </c:pt>
                <c:pt idx="79">
                  <c:v>34699</c:v>
                </c:pt>
                <c:pt idx="80">
                  <c:v>34789</c:v>
                </c:pt>
                <c:pt idx="81">
                  <c:v>34880</c:v>
                </c:pt>
                <c:pt idx="82">
                  <c:v>34972</c:v>
                </c:pt>
                <c:pt idx="83">
                  <c:v>35064</c:v>
                </c:pt>
                <c:pt idx="84">
                  <c:v>35155</c:v>
                </c:pt>
                <c:pt idx="85">
                  <c:v>35246</c:v>
                </c:pt>
                <c:pt idx="86">
                  <c:v>35338</c:v>
                </c:pt>
                <c:pt idx="87">
                  <c:v>35430</c:v>
                </c:pt>
                <c:pt idx="88">
                  <c:v>35520</c:v>
                </c:pt>
                <c:pt idx="89">
                  <c:v>35611</c:v>
                </c:pt>
                <c:pt idx="90">
                  <c:v>35703</c:v>
                </c:pt>
                <c:pt idx="91">
                  <c:v>35795</c:v>
                </c:pt>
                <c:pt idx="92">
                  <c:v>35885</c:v>
                </c:pt>
                <c:pt idx="93">
                  <c:v>35976</c:v>
                </c:pt>
                <c:pt idx="94">
                  <c:v>36068</c:v>
                </c:pt>
                <c:pt idx="95">
                  <c:v>36160</c:v>
                </c:pt>
                <c:pt idx="96">
                  <c:v>36250</c:v>
                </c:pt>
                <c:pt idx="97">
                  <c:v>36341</c:v>
                </c:pt>
                <c:pt idx="98">
                  <c:v>36433</c:v>
                </c:pt>
                <c:pt idx="99">
                  <c:v>36525</c:v>
                </c:pt>
                <c:pt idx="100">
                  <c:v>36616</c:v>
                </c:pt>
                <c:pt idx="101">
                  <c:v>36707</c:v>
                </c:pt>
                <c:pt idx="102">
                  <c:v>36799</c:v>
                </c:pt>
                <c:pt idx="103">
                  <c:v>36891</c:v>
                </c:pt>
                <c:pt idx="104">
                  <c:v>36981</c:v>
                </c:pt>
                <c:pt idx="105">
                  <c:v>37072</c:v>
                </c:pt>
                <c:pt idx="106">
                  <c:v>37164</c:v>
                </c:pt>
                <c:pt idx="107">
                  <c:v>37256</c:v>
                </c:pt>
                <c:pt idx="108">
                  <c:v>37346</c:v>
                </c:pt>
                <c:pt idx="109">
                  <c:v>37437</c:v>
                </c:pt>
                <c:pt idx="110">
                  <c:v>37529</c:v>
                </c:pt>
                <c:pt idx="111">
                  <c:v>37621</c:v>
                </c:pt>
                <c:pt idx="112">
                  <c:v>37711</c:v>
                </c:pt>
                <c:pt idx="113">
                  <c:v>37802</c:v>
                </c:pt>
                <c:pt idx="114">
                  <c:v>37894</c:v>
                </c:pt>
                <c:pt idx="115">
                  <c:v>37986</c:v>
                </c:pt>
                <c:pt idx="116">
                  <c:v>38077</c:v>
                </c:pt>
                <c:pt idx="117">
                  <c:v>38168</c:v>
                </c:pt>
                <c:pt idx="118">
                  <c:v>38260</c:v>
                </c:pt>
                <c:pt idx="119">
                  <c:v>38352</c:v>
                </c:pt>
                <c:pt idx="120">
                  <c:v>38442</c:v>
                </c:pt>
                <c:pt idx="121">
                  <c:v>38533</c:v>
                </c:pt>
                <c:pt idx="122">
                  <c:v>38625</c:v>
                </c:pt>
                <c:pt idx="123">
                  <c:v>38717</c:v>
                </c:pt>
                <c:pt idx="124">
                  <c:v>38807</c:v>
                </c:pt>
                <c:pt idx="125">
                  <c:v>38898</c:v>
                </c:pt>
                <c:pt idx="126">
                  <c:v>38990</c:v>
                </c:pt>
                <c:pt idx="127">
                  <c:v>39082</c:v>
                </c:pt>
                <c:pt idx="128">
                  <c:v>39172</c:v>
                </c:pt>
                <c:pt idx="129">
                  <c:v>39263</c:v>
                </c:pt>
                <c:pt idx="130">
                  <c:v>39355</c:v>
                </c:pt>
                <c:pt idx="131">
                  <c:v>39447</c:v>
                </c:pt>
                <c:pt idx="132">
                  <c:v>39538</c:v>
                </c:pt>
                <c:pt idx="133">
                  <c:v>39629</c:v>
                </c:pt>
                <c:pt idx="134">
                  <c:v>39721</c:v>
                </c:pt>
                <c:pt idx="135">
                  <c:v>39813</c:v>
                </c:pt>
                <c:pt idx="136">
                  <c:v>39903</c:v>
                </c:pt>
                <c:pt idx="137">
                  <c:v>39994</c:v>
                </c:pt>
                <c:pt idx="138">
                  <c:v>40086</c:v>
                </c:pt>
                <c:pt idx="139">
                  <c:v>40178</c:v>
                </c:pt>
                <c:pt idx="140">
                  <c:v>40268</c:v>
                </c:pt>
                <c:pt idx="141">
                  <c:v>40359</c:v>
                </c:pt>
                <c:pt idx="142">
                  <c:v>40451</c:v>
                </c:pt>
                <c:pt idx="143">
                  <c:v>40543</c:v>
                </c:pt>
                <c:pt idx="144">
                  <c:v>40633</c:v>
                </c:pt>
                <c:pt idx="145">
                  <c:v>40724</c:v>
                </c:pt>
                <c:pt idx="146">
                  <c:v>40816</c:v>
                </c:pt>
                <c:pt idx="147">
                  <c:v>40908</c:v>
                </c:pt>
                <c:pt idx="148">
                  <c:v>40999</c:v>
                </c:pt>
                <c:pt idx="149">
                  <c:v>41090</c:v>
                </c:pt>
                <c:pt idx="150">
                  <c:v>41182</c:v>
                </c:pt>
                <c:pt idx="151">
                  <c:v>41274</c:v>
                </c:pt>
                <c:pt idx="152">
                  <c:v>41364</c:v>
                </c:pt>
                <c:pt idx="153">
                  <c:v>41455</c:v>
                </c:pt>
                <c:pt idx="154">
                  <c:v>41547</c:v>
                </c:pt>
                <c:pt idx="155">
                  <c:v>41639</c:v>
                </c:pt>
                <c:pt idx="156">
                  <c:v>41729</c:v>
                </c:pt>
                <c:pt idx="157">
                  <c:v>41820</c:v>
                </c:pt>
              </c:numCache>
            </c:numRef>
          </c:cat>
          <c:val>
            <c:numRef>
              <c:f>Calculations!$W$66:$FX$66</c:f>
              <c:numCache>
                <c:formatCode>General</c:formatCode>
                <c:ptCount val="158"/>
                <c:pt idx="0">
                  <c:v>1.2235799422972382</c:v>
                </c:pt>
                <c:pt idx="1">
                  <c:v>1.5398237720870205</c:v>
                </c:pt>
                <c:pt idx="2">
                  <c:v>2.1575726582307979</c:v>
                </c:pt>
                <c:pt idx="3">
                  <c:v>2.3527320017635711</c:v>
                </c:pt>
                <c:pt idx="4">
                  <c:v>1.9674341880223483</c:v>
                </c:pt>
                <c:pt idx="5">
                  <c:v>1.0963748205098962</c:v>
                </c:pt>
                <c:pt idx="6">
                  <c:v>0.20349808045045975</c:v>
                </c:pt>
                <c:pt idx="7">
                  <c:v>-0.17243029123877485</c:v>
                </c:pt>
                <c:pt idx="8">
                  <c:v>-0.28498655451028787</c:v>
                </c:pt>
                <c:pt idx="9">
                  <c:v>4.3549388232511185E-2</c:v>
                </c:pt>
                <c:pt idx="10">
                  <c:v>0.10857439834797916</c:v>
                </c:pt>
                <c:pt idx="11">
                  <c:v>-4.4357258524668597E-2</c:v>
                </c:pt>
                <c:pt idx="12">
                  <c:v>-0.29841932612065714</c:v>
                </c:pt>
                <c:pt idx="13">
                  <c:v>0.17052757346205044</c:v>
                </c:pt>
                <c:pt idx="14">
                  <c:v>0.24837530551900097</c:v>
                </c:pt>
                <c:pt idx="15">
                  <c:v>0.47463908658070275</c:v>
                </c:pt>
                <c:pt idx="16">
                  <c:v>0.31346208071592174</c:v>
                </c:pt>
                <c:pt idx="17">
                  <c:v>-2.7070037219146748E-2</c:v>
                </c:pt>
                <c:pt idx="18">
                  <c:v>7.6019824256722407E-3</c:v>
                </c:pt>
                <c:pt idx="19">
                  <c:v>6.6255209321652866E-2</c:v>
                </c:pt>
                <c:pt idx="20">
                  <c:v>0.75290679140602379</c:v>
                </c:pt>
                <c:pt idx="21">
                  <c:v>0.67226511432320679</c:v>
                </c:pt>
                <c:pt idx="22">
                  <c:v>0.54833345272542156</c:v>
                </c:pt>
                <c:pt idx="23">
                  <c:v>0.60306506087882228</c:v>
                </c:pt>
                <c:pt idx="24">
                  <c:v>0.47015302744079318</c:v>
                </c:pt>
                <c:pt idx="25">
                  <c:v>0.40755679813878548</c:v>
                </c:pt>
                <c:pt idx="26">
                  <c:v>0.31596948470941366</c:v>
                </c:pt>
                <c:pt idx="27">
                  <c:v>0.29199641324976366</c:v>
                </c:pt>
                <c:pt idx="28">
                  <c:v>5.220321580774355E-2</c:v>
                </c:pt>
                <c:pt idx="29">
                  <c:v>0.22094717120640139</c:v>
                </c:pt>
                <c:pt idx="30">
                  <c:v>0.63911193214191342</c:v>
                </c:pt>
                <c:pt idx="31">
                  <c:v>1.0928908779827569</c:v>
                </c:pt>
                <c:pt idx="32">
                  <c:v>1.5269540684929521</c:v>
                </c:pt>
                <c:pt idx="33">
                  <c:v>1.8099980658246368</c:v>
                </c:pt>
                <c:pt idx="34">
                  <c:v>2.054243561786798</c:v>
                </c:pt>
                <c:pt idx="35">
                  <c:v>1.100801391467118</c:v>
                </c:pt>
                <c:pt idx="36">
                  <c:v>0.80182645949020359</c:v>
                </c:pt>
                <c:pt idx="37">
                  <c:v>0.70959200795240174</c:v>
                </c:pt>
                <c:pt idx="38">
                  <c:v>0.25564842008589306</c:v>
                </c:pt>
                <c:pt idx="39">
                  <c:v>0.88856501262994381</c:v>
                </c:pt>
                <c:pt idx="40">
                  <c:v>0.86042274302785393</c:v>
                </c:pt>
                <c:pt idx="41">
                  <c:v>0.96557259476994362</c:v>
                </c:pt>
                <c:pt idx="42">
                  <c:v>1.4008698013012655</c:v>
                </c:pt>
                <c:pt idx="43">
                  <c:v>0.99782268887950809</c:v>
                </c:pt>
                <c:pt idx="44">
                  <c:v>0.98363542850534968</c:v>
                </c:pt>
                <c:pt idx="45">
                  <c:v>0.90237476855140242</c:v>
                </c:pt>
                <c:pt idx="46">
                  <c:v>0.93597284469849007</c:v>
                </c:pt>
                <c:pt idx="47">
                  <c:v>0.86284044356795908</c:v>
                </c:pt>
                <c:pt idx="48">
                  <c:v>0.88593819947550245</c:v>
                </c:pt>
                <c:pt idx="49">
                  <c:v>0.57231287744078618</c:v>
                </c:pt>
                <c:pt idx="50">
                  <c:v>1.3593620624993842E-2</c:v>
                </c:pt>
                <c:pt idx="51">
                  <c:v>0.3588724859830813</c:v>
                </c:pt>
                <c:pt idx="52">
                  <c:v>7.3281398186789859E-2</c:v>
                </c:pt>
                <c:pt idx="53">
                  <c:v>3.963179615321475E-2</c:v>
                </c:pt>
                <c:pt idx="54">
                  <c:v>7.9433352331295157E-2</c:v>
                </c:pt>
                <c:pt idx="55">
                  <c:v>0.2912797885453427</c:v>
                </c:pt>
                <c:pt idx="56">
                  <c:v>0.25783802787215848</c:v>
                </c:pt>
                <c:pt idx="57">
                  <c:v>0.55127599153309748</c:v>
                </c:pt>
                <c:pt idx="58">
                  <c:v>0.73069739656378097</c:v>
                </c:pt>
                <c:pt idx="59">
                  <c:v>0.50256142568748863</c:v>
                </c:pt>
                <c:pt idx="60">
                  <c:v>1.0851954551907619</c:v>
                </c:pt>
                <c:pt idx="61">
                  <c:v>0.82606180547477814</c:v>
                </c:pt>
                <c:pt idx="62">
                  <c:v>0.68977627647275397</c:v>
                </c:pt>
                <c:pt idx="63">
                  <c:v>0.76788346927251228</c:v>
                </c:pt>
                <c:pt idx="64">
                  <c:v>0.57326250984577887</c:v>
                </c:pt>
                <c:pt idx="65">
                  <c:v>0.79048544054543779</c:v>
                </c:pt>
                <c:pt idx="66">
                  <c:v>0.84314558107666537</c:v>
                </c:pt>
                <c:pt idx="67">
                  <c:v>0.70228182803647787</c:v>
                </c:pt>
                <c:pt idx="68">
                  <c:v>0.97542429086978188</c:v>
                </c:pt>
                <c:pt idx="69">
                  <c:v>0.87017097758716244</c:v>
                </c:pt>
                <c:pt idx="70">
                  <c:v>1.0972287679761572</c:v>
                </c:pt>
                <c:pt idx="71">
                  <c:v>1.0840191327927764</c:v>
                </c:pt>
                <c:pt idx="72">
                  <c:v>0.46294174983018421</c:v>
                </c:pt>
                <c:pt idx="73">
                  <c:v>0.33514420224082442</c:v>
                </c:pt>
                <c:pt idx="74">
                  <c:v>4.8155450549019839E-2</c:v>
                </c:pt>
                <c:pt idx="75">
                  <c:v>-1.0196388560864234E-2</c:v>
                </c:pt>
                <c:pt idx="76">
                  <c:v>-0.1505595092892528</c:v>
                </c:pt>
                <c:pt idx="77">
                  <c:v>-0.16121692248317482</c:v>
                </c:pt>
                <c:pt idx="78">
                  <c:v>3.63390122896739E-2</c:v>
                </c:pt>
                <c:pt idx="79">
                  <c:v>-0.16564370536662368</c:v>
                </c:pt>
                <c:pt idx="80">
                  <c:v>9.5226342722694854E-2</c:v>
                </c:pt>
                <c:pt idx="81">
                  <c:v>0.14493188994781175</c:v>
                </c:pt>
                <c:pt idx="82">
                  <c:v>-0.14251121847477208</c:v>
                </c:pt>
                <c:pt idx="83">
                  <c:v>-0.19323369656783757</c:v>
                </c:pt>
                <c:pt idx="84">
                  <c:v>-0.19704083370464093</c:v>
                </c:pt>
                <c:pt idx="85">
                  <c:v>-3.0586810412854493E-2</c:v>
                </c:pt>
                <c:pt idx="86">
                  <c:v>-5.2241690032160892E-2</c:v>
                </c:pt>
                <c:pt idx="87">
                  <c:v>0.27805100552000467</c:v>
                </c:pt>
                <c:pt idx="88">
                  <c:v>0.18824926263942496</c:v>
                </c:pt>
                <c:pt idx="89">
                  <c:v>-6.9855347303034457E-2</c:v>
                </c:pt>
                <c:pt idx="90">
                  <c:v>-7.7753565896002338E-2</c:v>
                </c:pt>
                <c:pt idx="91">
                  <c:v>-0.27392239338045865</c:v>
                </c:pt>
                <c:pt idx="92">
                  <c:v>-0.43096124755915788</c:v>
                </c:pt>
                <c:pt idx="93">
                  <c:v>-0.17378006327631085</c:v>
                </c:pt>
                <c:pt idx="94">
                  <c:v>-6.4773296164717303E-2</c:v>
                </c:pt>
                <c:pt idx="95">
                  <c:v>8.8492361451324372E-2</c:v>
                </c:pt>
                <c:pt idx="96">
                  <c:v>0.32423598162835299</c:v>
                </c:pt>
                <c:pt idx="97">
                  <c:v>0.11939081563872844</c:v>
                </c:pt>
                <c:pt idx="98">
                  <c:v>0.24974298607479412</c:v>
                </c:pt>
                <c:pt idx="99">
                  <c:v>0.41770171156119462</c:v>
                </c:pt>
                <c:pt idx="100">
                  <c:v>0.21554626169874147</c:v>
                </c:pt>
                <c:pt idx="101">
                  <c:v>0.31654544995977291</c:v>
                </c:pt>
                <c:pt idx="102">
                  <c:v>0.10239999368894144</c:v>
                </c:pt>
                <c:pt idx="103">
                  <c:v>-6.6545689715014511E-2</c:v>
                </c:pt>
                <c:pt idx="104">
                  <c:v>0.44598207450092303</c:v>
                </c:pt>
                <c:pt idx="105">
                  <c:v>0.66612588308464216</c:v>
                </c:pt>
                <c:pt idx="106">
                  <c:v>0.96122845501593024</c:v>
                </c:pt>
                <c:pt idx="107">
                  <c:v>1.4805658759453044</c:v>
                </c:pt>
                <c:pt idx="108">
                  <c:v>1.7756177856634454</c:v>
                </c:pt>
                <c:pt idx="109">
                  <c:v>1.9860860785157031</c:v>
                </c:pt>
                <c:pt idx="110">
                  <c:v>2.2229201091866444</c:v>
                </c:pt>
                <c:pt idx="111">
                  <c:v>2.0538635483214391</c:v>
                </c:pt>
                <c:pt idx="112">
                  <c:v>1.7189882640851801</c:v>
                </c:pt>
                <c:pt idx="113">
                  <c:v>1.709114613547835</c:v>
                </c:pt>
                <c:pt idx="114">
                  <c:v>1.4828803336507645</c:v>
                </c:pt>
                <c:pt idx="115">
                  <c:v>1.3443531821308863</c:v>
                </c:pt>
                <c:pt idx="116">
                  <c:v>1.2572708693875292</c:v>
                </c:pt>
                <c:pt idx="117">
                  <c:v>0.86905473430858615</c:v>
                </c:pt>
                <c:pt idx="118">
                  <c:v>0.68815465192407765</c:v>
                </c:pt>
                <c:pt idx="119">
                  <c:v>0.337283389607132</c:v>
                </c:pt>
                <c:pt idx="120">
                  <c:v>0.11917787710943972</c:v>
                </c:pt>
                <c:pt idx="121">
                  <c:v>-0.14213015674702961</c:v>
                </c:pt>
                <c:pt idx="122">
                  <c:v>-0.17107979542036347</c:v>
                </c:pt>
                <c:pt idx="123">
                  <c:v>-0.27838301119166542</c:v>
                </c:pt>
                <c:pt idx="124">
                  <c:v>-0.19197034405761954</c:v>
                </c:pt>
                <c:pt idx="125">
                  <c:v>-0.20205982465532085</c:v>
                </c:pt>
                <c:pt idx="126">
                  <c:v>-0.27979631207065592</c:v>
                </c:pt>
                <c:pt idx="127">
                  <c:v>-6.0106340738792438E-2</c:v>
                </c:pt>
                <c:pt idx="128">
                  <c:v>-0.19275311450361537</c:v>
                </c:pt>
                <c:pt idx="129">
                  <c:v>-3.6145383970337716E-2</c:v>
                </c:pt>
                <c:pt idx="130">
                  <c:v>9.6301625907203481E-2</c:v>
                </c:pt>
                <c:pt idx="131">
                  <c:v>0.15675380969122923</c:v>
                </c:pt>
                <c:pt idx="132">
                  <c:v>0.36537615035729343</c:v>
                </c:pt>
                <c:pt idx="133">
                  <c:v>0.85430691404549031</c:v>
                </c:pt>
                <c:pt idx="134">
                  <c:v>1.2180726526778485</c:v>
                </c:pt>
                <c:pt idx="135">
                  <c:v>1.3620633371862554</c:v>
                </c:pt>
                <c:pt idx="136">
                  <c:v>1.8813840760351153</c:v>
                </c:pt>
                <c:pt idx="137">
                  <c:v>2.3607098347349109</c:v>
                </c:pt>
                <c:pt idx="138">
                  <c:v>2.7110714602812678</c:v>
                </c:pt>
                <c:pt idx="139">
                  <c:v>3.0225154180400957</c:v>
                </c:pt>
                <c:pt idx="140">
                  <c:v>2.7746323461860443</c:v>
                </c:pt>
                <c:pt idx="141">
                  <c:v>2.0976380178566747</c:v>
                </c:pt>
                <c:pt idx="142">
                  <c:v>1.5082861113762904</c:v>
                </c:pt>
                <c:pt idx="143">
                  <c:v>0.9551416697599503</c:v>
                </c:pt>
                <c:pt idx="144">
                  <c:v>0.14059409217981272</c:v>
                </c:pt>
                <c:pt idx="145">
                  <c:v>-0.34683057816155777</c:v>
                </c:pt>
                <c:pt idx="146">
                  <c:v>-0.84847926164311815</c:v>
                </c:pt>
                <c:pt idx="147">
                  <c:v>-1.0781865732148588</c:v>
                </c:pt>
                <c:pt idx="148">
                  <c:v>-0.9473964042919365</c:v>
                </c:pt>
                <c:pt idx="149">
                  <c:v>-0.98213248676407561</c:v>
                </c:pt>
                <c:pt idx="150">
                  <c:v>-0.64324364344311624</c:v>
                </c:pt>
                <c:pt idx="151">
                  <c:v>-0.80342795879157147</c:v>
                </c:pt>
                <c:pt idx="152">
                  <c:v>-0.89161767865674357</c:v>
                </c:pt>
                <c:pt idx="153">
                  <c:v>-0.93284488431758605</c:v>
                </c:pt>
                <c:pt idx="154">
                  <c:v>-1.0885207666767922</c:v>
                </c:pt>
                <c:pt idx="155">
                  <c:v>-1.0028201371454322</c:v>
                </c:pt>
                <c:pt idx="156">
                  <c:v>-0.76713982617322274</c:v>
                </c:pt>
                <c:pt idx="157">
                  <c:v>-0.59945745926506522</c:v>
                </c:pt>
              </c:numCache>
            </c:numRef>
          </c:val>
          <c:smooth val="0"/>
        </c:ser>
        <c:ser>
          <c:idx val="4"/>
          <c:order val="2"/>
          <c:tx>
            <c:v>Hutchins Center Neutral FIM</c:v>
          </c:tx>
          <c:spPr>
            <a:ln w="38100" cap="rnd" cmpd="sng" algn="ctr">
              <a:solidFill>
                <a:srgbClr val="B9CDE5"/>
              </a:solidFill>
              <a:prstDash val="solid"/>
              <a:round/>
              <a:headEnd type="none" w="med" len="med"/>
              <a:tailEnd type="none" w="med" len="med"/>
            </a:ln>
          </c:spPr>
          <c:marker>
            <c:symbol val="none"/>
          </c:marker>
          <c:cat>
            <c:numRef>
              <c:f>Calculations!$W$9:$FX$9</c:f>
              <c:numCache>
                <c:formatCode>mmm"-"yyyy</c:formatCode>
                <c:ptCount val="158"/>
                <c:pt idx="0">
                  <c:v>27484</c:v>
                </c:pt>
                <c:pt idx="1">
                  <c:v>27575</c:v>
                </c:pt>
                <c:pt idx="2">
                  <c:v>27667</c:v>
                </c:pt>
                <c:pt idx="3">
                  <c:v>27759</c:v>
                </c:pt>
                <c:pt idx="4">
                  <c:v>27850</c:v>
                </c:pt>
                <c:pt idx="5">
                  <c:v>27941</c:v>
                </c:pt>
                <c:pt idx="6">
                  <c:v>28033</c:v>
                </c:pt>
                <c:pt idx="7">
                  <c:v>28125</c:v>
                </c:pt>
                <c:pt idx="8">
                  <c:v>28215</c:v>
                </c:pt>
                <c:pt idx="9">
                  <c:v>28306</c:v>
                </c:pt>
                <c:pt idx="10">
                  <c:v>28398</c:v>
                </c:pt>
                <c:pt idx="11">
                  <c:v>28490</c:v>
                </c:pt>
                <c:pt idx="12">
                  <c:v>28580</c:v>
                </c:pt>
                <c:pt idx="13">
                  <c:v>28671</c:v>
                </c:pt>
                <c:pt idx="14">
                  <c:v>28763</c:v>
                </c:pt>
                <c:pt idx="15">
                  <c:v>28855</c:v>
                </c:pt>
                <c:pt idx="16">
                  <c:v>28945</c:v>
                </c:pt>
                <c:pt idx="17">
                  <c:v>29036</c:v>
                </c:pt>
                <c:pt idx="18">
                  <c:v>29128</c:v>
                </c:pt>
                <c:pt idx="19">
                  <c:v>29220</c:v>
                </c:pt>
                <c:pt idx="20">
                  <c:v>29311</c:v>
                </c:pt>
                <c:pt idx="21">
                  <c:v>29402</c:v>
                </c:pt>
                <c:pt idx="22">
                  <c:v>29494</c:v>
                </c:pt>
                <c:pt idx="23">
                  <c:v>29586</c:v>
                </c:pt>
                <c:pt idx="24">
                  <c:v>29676</c:v>
                </c:pt>
                <c:pt idx="25">
                  <c:v>29767</c:v>
                </c:pt>
                <c:pt idx="26">
                  <c:v>29859</c:v>
                </c:pt>
                <c:pt idx="27">
                  <c:v>29951</c:v>
                </c:pt>
                <c:pt idx="28">
                  <c:v>30041</c:v>
                </c:pt>
                <c:pt idx="29">
                  <c:v>30132</c:v>
                </c:pt>
                <c:pt idx="30">
                  <c:v>30224</c:v>
                </c:pt>
                <c:pt idx="31">
                  <c:v>30316</c:v>
                </c:pt>
                <c:pt idx="32">
                  <c:v>30406</c:v>
                </c:pt>
                <c:pt idx="33">
                  <c:v>30497</c:v>
                </c:pt>
                <c:pt idx="34">
                  <c:v>30589</c:v>
                </c:pt>
                <c:pt idx="35">
                  <c:v>30681</c:v>
                </c:pt>
                <c:pt idx="36">
                  <c:v>30772</c:v>
                </c:pt>
                <c:pt idx="37">
                  <c:v>30863</c:v>
                </c:pt>
                <c:pt idx="38">
                  <c:v>30955</c:v>
                </c:pt>
                <c:pt idx="39">
                  <c:v>31047</c:v>
                </c:pt>
                <c:pt idx="40">
                  <c:v>31137</c:v>
                </c:pt>
                <c:pt idx="41">
                  <c:v>31228</c:v>
                </c:pt>
                <c:pt idx="42">
                  <c:v>31320</c:v>
                </c:pt>
                <c:pt idx="43">
                  <c:v>31412</c:v>
                </c:pt>
                <c:pt idx="44">
                  <c:v>31502</c:v>
                </c:pt>
                <c:pt idx="45">
                  <c:v>31593</c:v>
                </c:pt>
                <c:pt idx="46">
                  <c:v>31685</c:v>
                </c:pt>
                <c:pt idx="47">
                  <c:v>31777</c:v>
                </c:pt>
                <c:pt idx="48">
                  <c:v>31867</c:v>
                </c:pt>
                <c:pt idx="49">
                  <c:v>31958</c:v>
                </c:pt>
                <c:pt idx="50">
                  <c:v>32050</c:v>
                </c:pt>
                <c:pt idx="51">
                  <c:v>32142</c:v>
                </c:pt>
                <c:pt idx="52">
                  <c:v>32233</c:v>
                </c:pt>
                <c:pt idx="53">
                  <c:v>32324</c:v>
                </c:pt>
                <c:pt idx="54">
                  <c:v>32416</c:v>
                </c:pt>
                <c:pt idx="55">
                  <c:v>32508</c:v>
                </c:pt>
                <c:pt idx="56">
                  <c:v>32598</c:v>
                </c:pt>
                <c:pt idx="57">
                  <c:v>32689</c:v>
                </c:pt>
                <c:pt idx="58">
                  <c:v>32781</c:v>
                </c:pt>
                <c:pt idx="59">
                  <c:v>32873</c:v>
                </c:pt>
                <c:pt idx="60">
                  <c:v>32963</c:v>
                </c:pt>
                <c:pt idx="61">
                  <c:v>33054</c:v>
                </c:pt>
                <c:pt idx="62">
                  <c:v>33146</c:v>
                </c:pt>
                <c:pt idx="63">
                  <c:v>33238</c:v>
                </c:pt>
                <c:pt idx="64">
                  <c:v>33328</c:v>
                </c:pt>
                <c:pt idx="65">
                  <c:v>33419</c:v>
                </c:pt>
                <c:pt idx="66">
                  <c:v>33511</c:v>
                </c:pt>
                <c:pt idx="67">
                  <c:v>33603</c:v>
                </c:pt>
                <c:pt idx="68">
                  <c:v>33694</c:v>
                </c:pt>
                <c:pt idx="69">
                  <c:v>33785</c:v>
                </c:pt>
                <c:pt idx="70">
                  <c:v>33877</c:v>
                </c:pt>
                <c:pt idx="71">
                  <c:v>33969</c:v>
                </c:pt>
                <c:pt idx="72">
                  <c:v>34059</c:v>
                </c:pt>
                <c:pt idx="73">
                  <c:v>34150</c:v>
                </c:pt>
                <c:pt idx="74">
                  <c:v>34242</c:v>
                </c:pt>
                <c:pt idx="75">
                  <c:v>34334</c:v>
                </c:pt>
                <c:pt idx="76">
                  <c:v>34424</c:v>
                </c:pt>
                <c:pt idx="77">
                  <c:v>34515</c:v>
                </c:pt>
                <c:pt idx="78">
                  <c:v>34607</c:v>
                </c:pt>
                <c:pt idx="79">
                  <c:v>34699</c:v>
                </c:pt>
                <c:pt idx="80">
                  <c:v>34789</c:v>
                </c:pt>
                <c:pt idx="81">
                  <c:v>34880</c:v>
                </c:pt>
                <c:pt idx="82">
                  <c:v>34972</c:v>
                </c:pt>
                <c:pt idx="83">
                  <c:v>35064</c:v>
                </c:pt>
                <c:pt idx="84">
                  <c:v>35155</c:v>
                </c:pt>
                <c:pt idx="85">
                  <c:v>35246</c:v>
                </c:pt>
                <c:pt idx="86">
                  <c:v>35338</c:v>
                </c:pt>
                <c:pt idx="87">
                  <c:v>35430</c:v>
                </c:pt>
                <c:pt idx="88">
                  <c:v>35520</c:v>
                </c:pt>
                <c:pt idx="89">
                  <c:v>35611</c:v>
                </c:pt>
                <c:pt idx="90">
                  <c:v>35703</c:v>
                </c:pt>
                <c:pt idx="91">
                  <c:v>35795</c:v>
                </c:pt>
                <c:pt idx="92">
                  <c:v>35885</c:v>
                </c:pt>
                <c:pt idx="93">
                  <c:v>35976</c:v>
                </c:pt>
                <c:pt idx="94">
                  <c:v>36068</c:v>
                </c:pt>
                <c:pt idx="95">
                  <c:v>36160</c:v>
                </c:pt>
                <c:pt idx="96">
                  <c:v>36250</c:v>
                </c:pt>
                <c:pt idx="97">
                  <c:v>36341</c:v>
                </c:pt>
                <c:pt idx="98">
                  <c:v>36433</c:v>
                </c:pt>
                <c:pt idx="99">
                  <c:v>36525</c:v>
                </c:pt>
                <c:pt idx="100">
                  <c:v>36616</c:v>
                </c:pt>
                <c:pt idx="101">
                  <c:v>36707</c:v>
                </c:pt>
                <c:pt idx="102">
                  <c:v>36799</c:v>
                </c:pt>
                <c:pt idx="103">
                  <c:v>36891</c:v>
                </c:pt>
                <c:pt idx="104">
                  <c:v>36981</c:v>
                </c:pt>
                <c:pt idx="105">
                  <c:v>37072</c:v>
                </c:pt>
                <c:pt idx="106">
                  <c:v>37164</c:v>
                </c:pt>
                <c:pt idx="107">
                  <c:v>37256</c:v>
                </c:pt>
                <c:pt idx="108">
                  <c:v>37346</c:v>
                </c:pt>
                <c:pt idx="109">
                  <c:v>37437</c:v>
                </c:pt>
                <c:pt idx="110">
                  <c:v>37529</c:v>
                </c:pt>
                <c:pt idx="111">
                  <c:v>37621</c:v>
                </c:pt>
                <c:pt idx="112">
                  <c:v>37711</c:v>
                </c:pt>
                <c:pt idx="113">
                  <c:v>37802</c:v>
                </c:pt>
                <c:pt idx="114">
                  <c:v>37894</c:v>
                </c:pt>
                <c:pt idx="115">
                  <c:v>37986</c:v>
                </c:pt>
                <c:pt idx="116">
                  <c:v>38077</c:v>
                </c:pt>
                <c:pt idx="117">
                  <c:v>38168</c:v>
                </c:pt>
                <c:pt idx="118">
                  <c:v>38260</c:v>
                </c:pt>
                <c:pt idx="119">
                  <c:v>38352</c:v>
                </c:pt>
                <c:pt idx="120">
                  <c:v>38442</c:v>
                </c:pt>
                <c:pt idx="121">
                  <c:v>38533</c:v>
                </c:pt>
                <c:pt idx="122">
                  <c:v>38625</c:v>
                </c:pt>
                <c:pt idx="123">
                  <c:v>38717</c:v>
                </c:pt>
                <c:pt idx="124">
                  <c:v>38807</c:v>
                </c:pt>
                <c:pt idx="125">
                  <c:v>38898</c:v>
                </c:pt>
                <c:pt idx="126">
                  <c:v>38990</c:v>
                </c:pt>
                <c:pt idx="127">
                  <c:v>39082</c:v>
                </c:pt>
                <c:pt idx="128">
                  <c:v>39172</c:v>
                </c:pt>
                <c:pt idx="129">
                  <c:v>39263</c:v>
                </c:pt>
                <c:pt idx="130">
                  <c:v>39355</c:v>
                </c:pt>
                <c:pt idx="131">
                  <c:v>39447</c:v>
                </c:pt>
                <c:pt idx="132">
                  <c:v>39538</c:v>
                </c:pt>
                <c:pt idx="133">
                  <c:v>39629</c:v>
                </c:pt>
                <c:pt idx="134">
                  <c:v>39721</c:v>
                </c:pt>
                <c:pt idx="135">
                  <c:v>39813</c:v>
                </c:pt>
                <c:pt idx="136">
                  <c:v>39903</c:v>
                </c:pt>
                <c:pt idx="137">
                  <c:v>39994</c:v>
                </c:pt>
                <c:pt idx="138">
                  <c:v>40086</c:v>
                </c:pt>
                <c:pt idx="139">
                  <c:v>40178</c:v>
                </c:pt>
                <c:pt idx="140">
                  <c:v>40268</c:v>
                </c:pt>
                <c:pt idx="141">
                  <c:v>40359</c:v>
                </c:pt>
                <c:pt idx="142">
                  <c:v>40451</c:v>
                </c:pt>
                <c:pt idx="143">
                  <c:v>40543</c:v>
                </c:pt>
                <c:pt idx="144">
                  <c:v>40633</c:v>
                </c:pt>
                <c:pt idx="145">
                  <c:v>40724</c:v>
                </c:pt>
                <c:pt idx="146">
                  <c:v>40816</c:v>
                </c:pt>
                <c:pt idx="147">
                  <c:v>40908</c:v>
                </c:pt>
                <c:pt idx="148">
                  <c:v>40999</c:v>
                </c:pt>
                <c:pt idx="149">
                  <c:v>41090</c:v>
                </c:pt>
                <c:pt idx="150">
                  <c:v>41182</c:v>
                </c:pt>
                <c:pt idx="151">
                  <c:v>41274</c:v>
                </c:pt>
                <c:pt idx="152">
                  <c:v>41364</c:v>
                </c:pt>
                <c:pt idx="153">
                  <c:v>41455</c:v>
                </c:pt>
                <c:pt idx="154">
                  <c:v>41547</c:v>
                </c:pt>
                <c:pt idx="155">
                  <c:v>41639</c:v>
                </c:pt>
                <c:pt idx="156">
                  <c:v>41729</c:v>
                </c:pt>
                <c:pt idx="157">
                  <c:v>41820</c:v>
                </c:pt>
              </c:numCache>
            </c:numRef>
          </c:cat>
          <c:val>
            <c:numRef>
              <c:f>Calculations!$W$62:$FX$62</c:f>
              <c:numCache>
                <c:formatCode>General</c:formatCode>
                <c:ptCount val="158"/>
                <c:pt idx="0">
                  <c:v>0.80889092549606512</c:v>
                </c:pt>
                <c:pt idx="1">
                  <c:v>0.79199639878106343</c:v>
                </c:pt>
                <c:pt idx="2">
                  <c:v>0.76461535517145252</c:v>
                </c:pt>
                <c:pt idx="3">
                  <c:v>0.74647663745118675</c:v>
                </c:pt>
                <c:pt idx="4">
                  <c:v>0.7263044334931037</c:v>
                </c:pt>
                <c:pt idx="5">
                  <c:v>0.70087451418621971</c:v>
                </c:pt>
                <c:pt idx="6">
                  <c:v>0.68988245754832722</c:v>
                </c:pt>
                <c:pt idx="7">
                  <c:v>0.69166908217134548</c:v>
                </c:pt>
                <c:pt idx="8">
                  <c:v>0.71404377752526427</c:v>
                </c:pt>
                <c:pt idx="9">
                  <c:v>0.73856699496863554</c:v>
                </c:pt>
                <c:pt idx="10">
                  <c:v>0.74866458121121249</c:v>
                </c:pt>
                <c:pt idx="11">
                  <c:v>0.75425634863904112</c:v>
                </c:pt>
                <c:pt idx="12">
                  <c:v>0.77440688707715155</c:v>
                </c:pt>
                <c:pt idx="13">
                  <c:v>0.81289873920614775</c:v>
                </c:pt>
                <c:pt idx="14">
                  <c:v>0.79722743361675241</c:v>
                </c:pt>
                <c:pt idx="15">
                  <c:v>0.77837990297821558</c:v>
                </c:pt>
                <c:pt idx="16">
                  <c:v>0.74091620622842524</c:v>
                </c:pt>
                <c:pt idx="17">
                  <c:v>0.68809553460686901</c:v>
                </c:pt>
                <c:pt idx="18">
                  <c:v>0.65002856563836631</c:v>
                </c:pt>
                <c:pt idx="19">
                  <c:v>0.60284222888979888</c:v>
                </c:pt>
                <c:pt idx="20">
                  <c:v>0.53350463345382537</c:v>
                </c:pt>
                <c:pt idx="21">
                  <c:v>0.46006376314947234</c:v>
                </c:pt>
                <c:pt idx="22">
                  <c:v>0.44370481230448372</c:v>
                </c:pt>
                <c:pt idx="23">
                  <c:v>0.42684503239904814</c:v>
                </c:pt>
                <c:pt idx="24">
                  <c:v>0.44171989383063837</c:v>
                </c:pt>
                <c:pt idx="25">
                  <c:v>0.48217944381966249</c:v>
                </c:pt>
                <c:pt idx="26">
                  <c:v>0.50960011076600342</c:v>
                </c:pt>
                <c:pt idx="27">
                  <c:v>0.52670015026576023</c:v>
                </c:pt>
                <c:pt idx="28">
                  <c:v>0.60631913506136847</c:v>
                </c:pt>
                <c:pt idx="29">
                  <c:v>0.63127811424010283</c:v>
                </c:pt>
                <c:pt idx="30">
                  <c:v>0.64406098969190828</c:v>
                </c:pt>
                <c:pt idx="31">
                  <c:v>0.6557290056416909</c:v>
                </c:pt>
                <c:pt idx="32">
                  <c:v>0.64075156662937438</c:v>
                </c:pt>
                <c:pt idx="33">
                  <c:v>0.63383142851220198</c:v>
                </c:pt>
                <c:pt idx="34">
                  <c:v>0.62948208164778618</c:v>
                </c:pt>
                <c:pt idx="35">
                  <c:v>0.63555960732407202</c:v>
                </c:pt>
                <c:pt idx="36">
                  <c:v>0.62746382881106655</c:v>
                </c:pt>
                <c:pt idx="37">
                  <c:v>0.64395349689332793</c:v>
                </c:pt>
                <c:pt idx="38">
                  <c:v>0.65810174510936315</c:v>
                </c:pt>
                <c:pt idx="39">
                  <c:v>0.66982568565980627</c:v>
                </c:pt>
                <c:pt idx="40">
                  <c:v>0.69458726751343314</c:v>
                </c:pt>
                <c:pt idx="41">
                  <c:v>0.71005578926709789</c:v>
                </c:pt>
                <c:pt idx="42">
                  <c:v>0.72472486763458077</c:v>
                </c:pt>
                <c:pt idx="43">
                  <c:v>0.73395474277451744</c:v>
                </c:pt>
                <c:pt idx="44">
                  <c:v>0.72921000195967467</c:v>
                </c:pt>
                <c:pt idx="45">
                  <c:v>0.72338568286291394</c:v>
                </c:pt>
                <c:pt idx="46">
                  <c:v>0.72953306555598274</c:v>
                </c:pt>
                <c:pt idx="47">
                  <c:v>0.73331498416202479</c:v>
                </c:pt>
                <c:pt idx="48">
                  <c:v>0.71302940652111779</c:v>
                </c:pt>
                <c:pt idx="49">
                  <c:v>0.7020702687940148</c:v>
                </c:pt>
                <c:pt idx="50">
                  <c:v>0.69340527967179055</c:v>
                </c:pt>
                <c:pt idx="51">
                  <c:v>0.68291653805280539</c:v>
                </c:pt>
                <c:pt idx="52">
                  <c:v>0.66829303910385807</c:v>
                </c:pt>
                <c:pt idx="53">
                  <c:v>0.65705275038449518</c:v>
                </c:pt>
                <c:pt idx="54">
                  <c:v>0.64455551485625362</c:v>
                </c:pt>
                <c:pt idx="55">
                  <c:v>0.63292602043688739</c:v>
                </c:pt>
                <c:pt idx="56">
                  <c:v>0.63479468132106587</c:v>
                </c:pt>
                <c:pt idx="57">
                  <c:v>0.62461031101594733</c:v>
                </c:pt>
                <c:pt idx="58">
                  <c:v>0.62557350036706527</c:v>
                </c:pt>
                <c:pt idx="59">
                  <c:v>0.62259296004320985</c:v>
                </c:pt>
                <c:pt idx="60">
                  <c:v>0.62052555911029172</c:v>
                </c:pt>
                <c:pt idx="61">
                  <c:v>0.62074844039796839</c:v>
                </c:pt>
                <c:pt idx="62">
                  <c:v>0.61287955540427508</c:v>
                </c:pt>
                <c:pt idx="63">
                  <c:v>0.60580259258953173</c:v>
                </c:pt>
                <c:pt idx="64">
                  <c:v>0.61274856666427002</c:v>
                </c:pt>
                <c:pt idx="65">
                  <c:v>0.60268896251510884</c:v>
                </c:pt>
                <c:pt idx="66">
                  <c:v>0.59130078470736691</c:v>
                </c:pt>
                <c:pt idx="67">
                  <c:v>0.58456854414341808</c:v>
                </c:pt>
                <c:pt idx="68">
                  <c:v>0.57852132446503801</c:v>
                </c:pt>
                <c:pt idx="69">
                  <c:v>0.58417350669560242</c:v>
                </c:pt>
                <c:pt idx="70">
                  <c:v>0.58144726593508456</c:v>
                </c:pt>
                <c:pt idx="71">
                  <c:v>0.5859389654104824</c:v>
                </c:pt>
                <c:pt idx="72">
                  <c:v>0.59076136731059747</c:v>
                </c:pt>
                <c:pt idx="73">
                  <c:v>0.58503571938597632</c:v>
                </c:pt>
                <c:pt idx="74">
                  <c:v>0.58624471407653511</c:v>
                </c:pt>
                <c:pt idx="75">
                  <c:v>0.58641191235978207</c:v>
                </c:pt>
                <c:pt idx="76">
                  <c:v>0.57837315907971365</c:v>
                </c:pt>
                <c:pt idx="77">
                  <c:v>0.56675024443119437</c:v>
                </c:pt>
                <c:pt idx="78">
                  <c:v>0.56597606238265097</c:v>
                </c:pt>
                <c:pt idx="79">
                  <c:v>0.57772057076781014</c:v>
                </c:pt>
                <c:pt idx="80">
                  <c:v>0.57303310013533315</c:v>
                </c:pt>
                <c:pt idx="81">
                  <c:v>0.58204976480467685</c:v>
                </c:pt>
                <c:pt idx="82">
                  <c:v>0.58996716821041884</c:v>
                </c:pt>
                <c:pt idx="83">
                  <c:v>0.58959240208402963</c:v>
                </c:pt>
                <c:pt idx="84">
                  <c:v>0.58983585082422807</c:v>
                </c:pt>
                <c:pt idx="85">
                  <c:v>0.59452545531077516</c:v>
                </c:pt>
                <c:pt idx="86">
                  <c:v>0.59517976070097178</c:v>
                </c:pt>
                <c:pt idx="87">
                  <c:v>0.59705506654431872</c:v>
                </c:pt>
                <c:pt idx="88">
                  <c:v>0.59963985564762767</c:v>
                </c:pt>
                <c:pt idx="89">
                  <c:v>0.60172176375000586</c:v>
                </c:pt>
                <c:pt idx="90">
                  <c:v>0.60484569158183177</c:v>
                </c:pt>
                <c:pt idx="91">
                  <c:v>0.60505324526754034</c:v>
                </c:pt>
                <c:pt idx="92">
                  <c:v>0.61069811255533435</c:v>
                </c:pt>
                <c:pt idx="93">
                  <c:v>0.61123573089933614</c:v>
                </c:pt>
                <c:pt idx="94">
                  <c:v>0.6236415871253479</c:v>
                </c:pt>
                <c:pt idx="95">
                  <c:v>0.62800433408639555</c:v>
                </c:pt>
                <c:pt idx="96">
                  <c:v>0.63028225238180635</c:v>
                </c:pt>
                <c:pt idx="97">
                  <c:v>0.63042432825863171</c:v>
                </c:pt>
                <c:pt idx="98">
                  <c:v>0.63724333000091338</c:v>
                </c:pt>
                <c:pt idx="99">
                  <c:v>0.64412863954315469</c:v>
                </c:pt>
                <c:pt idx="100">
                  <c:v>0.64784465015980919</c:v>
                </c:pt>
                <c:pt idx="101">
                  <c:v>0.65690244936246112</c:v>
                </c:pt>
                <c:pt idx="102">
                  <c:v>0.65564013932282283</c:v>
                </c:pt>
                <c:pt idx="103">
                  <c:v>0.65633061795793812</c:v>
                </c:pt>
                <c:pt idx="104">
                  <c:v>0.65679289954873987</c:v>
                </c:pt>
                <c:pt idx="105">
                  <c:v>0.66298377940688002</c:v>
                </c:pt>
                <c:pt idx="106">
                  <c:v>0.66300564399309181</c:v>
                </c:pt>
                <c:pt idx="107">
                  <c:v>0.65457016729425399</c:v>
                </c:pt>
                <c:pt idx="108">
                  <c:v>0.64117959222905851</c:v>
                </c:pt>
                <c:pt idx="109">
                  <c:v>0.64576414390681736</c:v>
                </c:pt>
                <c:pt idx="110">
                  <c:v>0.63426623612087463</c:v>
                </c:pt>
                <c:pt idx="111">
                  <c:v>0.61942523245321235</c:v>
                </c:pt>
                <c:pt idx="112">
                  <c:v>0.60612308572412366</c:v>
                </c:pt>
                <c:pt idx="113">
                  <c:v>0.57762804514584565</c:v>
                </c:pt>
                <c:pt idx="114">
                  <c:v>0.55805097892239952</c:v>
                </c:pt>
                <c:pt idx="115">
                  <c:v>0.52697429672203666</c:v>
                </c:pt>
                <c:pt idx="116">
                  <c:v>0.4941053748531859</c:v>
                </c:pt>
                <c:pt idx="117">
                  <c:v>0.47606936266220762</c:v>
                </c:pt>
                <c:pt idx="118">
                  <c:v>0.46250186620491529</c:v>
                </c:pt>
                <c:pt idx="119">
                  <c:v>0.45456065272268054</c:v>
                </c:pt>
                <c:pt idx="120">
                  <c:v>0.45463591070649528</c:v>
                </c:pt>
                <c:pt idx="121">
                  <c:v>0.44899047645732948</c:v>
                </c:pt>
                <c:pt idx="122">
                  <c:v>0.44690156838165379</c:v>
                </c:pt>
                <c:pt idx="123">
                  <c:v>0.44841308451055534</c:v>
                </c:pt>
                <c:pt idx="124">
                  <c:v>0.4503768632473929</c:v>
                </c:pt>
                <c:pt idx="125">
                  <c:v>0.4541840312505917</c:v>
                </c:pt>
                <c:pt idx="126">
                  <c:v>0.45692782368605811</c:v>
                </c:pt>
                <c:pt idx="127">
                  <c:v>0.45755284940718483</c:v>
                </c:pt>
                <c:pt idx="128">
                  <c:v>0.45886910524876051</c:v>
                </c:pt>
                <c:pt idx="129">
                  <c:v>0.46946533317032563</c:v>
                </c:pt>
                <c:pt idx="130">
                  <c:v>0.46521761494781666</c:v>
                </c:pt>
                <c:pt idx="131">
                  <c:v>0.45723056105918308</c:v>
                </c:pt>
                <c:pt idx="132">
                  <c:v>0.44377775211735232</c:v>
                </c:pt>
                <c:pt idx="133">
                  <c:v>0.43470055479454478</c:v>
                </c:pt>
                <c:pt idx="134">
                  <c:v>0.41799120708199183</c:v>
                </c:pt>
                <c:pt idx="135">
                  <c:v>0.4015346883683848</c:v>
                </c:pt>
                <c:pt idx="136">
                  <c:v>0.37134550881979017</c:v>
                </c:pt>
                <c:pt idx="137">
                  <c:v>0.33339334897831407</c:v>
                </c:pt>
                <c:pt idx="138">
                  <c:v>0.3167434885056043</c:v>
                </c:pt>
                <c:pt idx="139">
                  <c:v>0.30093363528770495</c:v>
                </c:pt>
                <c:pt idx="140">
                  <c:v>0.28536589995748513</c:v>
                </c:pt>
                <c:pt idx="141">
                  <c:v>0.27626206276131049</c:v>
                </c:pt>
                <c:pt idx="142">
                  <c:v>0.27384884996328052</c:v>
                </c:pt>
                <c:pt idx="143">
                  <c:v>0.27484133544102313</c:v>
                </c:pt>
                <c:pt idx="144">
                  <c:v>0.29029961464724086</c:v>
                </c:pt>
                <c:pt idx="145">
                  <c:v>0.2958880797832189</c:v>
                </c:pt>
                <c:pt idx="146">
                  <c:v>0.30226196131101957</c:v>
                </c:pt>
                <c:pt idx="147">
                  <c:v>0.30633025493601024</c:v>
                </c:pt>
                <c:pt idx="148">
                  <c:v>0.30890224171300584</c:v>
                </c:pt>
                <c:pt idx="149">
                  <c:v>0.31646441077167059</c:v>
                </c:pt>
                <c:pt idx="150">
                  <c:v>0.31813189903402134</c:v>
                </c:pt>
                <c:pt idx="151">
                  <c:v>0.32105345809472713</c:v>
                </c:pt>
                <c:pt idx="152">
                  <c:v>0.31703995620445252</c:v>
                </c:pt>
                <c:pt idx="153">
                  <c:v>0.30761873541657769</c:v>
                </c:pt>
                <c:pt idx="154">
                  <c:v>0.3071902893721129</c:v>
                </c:pt>
                <c:pt idx="155">
                  <c:v>0.30529647301487278</c:v>
                </c:pt>
                <c:pt idx="156">
                  <c:v>0.29924515769086613</c:v>
                </c:pt>
                <c:pt idx="157">
                  <c:v>0.30143608927702603</c:v>
                </c:pt>
              </c:numCache>
            </c:numRef>
          </c:val>
          <c:smooth val="0"/>
        </c:ser>
        <c:dLbls>
          <c:showLegendKey val="0"/>
          <c:showVal val="0"/>
          <c:showCatName val="0"/>
          <c:showSerName val="0"/>
          <c:showPercent val="0"/>
          <c:showBubbleSize val="0"/>
        </c:dLbls>
        <c:marker val="1"/>
        <c:smooth val="0"/>
        <c:axId val="135113344"/>
        <c:axId val="36336768"/>
      </c:lineChart>
      <c:dateAx>
        <c:axId val="135113344"/>
        <c:scaling>
          <c:orientation val="minMax"/>
          <c:min val="36586"/>
        </c:scaling>
        <c:delete val="0"/>
        <c:axPos val="b"/>
        <c:numFmt formatCode="yyyy" sourceLinked="0"/>
        <c:majorTickMark val="out"/>
        <c:minorTickMark val="none"/>
        <c:tickLblPos val="low"/>
        <c:crossAx val="36336768"/>
        <c:crosses val="autoZero"/>
        <c:auto val="1"/>
        <c:lblOffset val="100"/>
        <c:baseTimeUnit val="months"/>
        <c:majorUnit val="12"/>
        <c:majorTimeUnit val="months"/>
      </c:dateAx>
      <c:valAx>
        <c:axId val="36336768"/>
        <c:scaling>
          <c:orientation val="minMax"/>
        </c:scaling>
        <c:delete val="0"/>
        <c:axPos val="l"/>
        <c:majorGridlines>
          <c:spPr>
            <a:ln>
              <a:solidFill>
                <a:schemeClr val="bg1">
                  <a:lumMod val="85000"/>
                </a:schemeClr>
              </a:solidFill>
              <a:prstDash val="dash"/>
            </a:ln>
          </c:spPr>
        </c:majorGridlines>
        <c:title>
          <c:tx>
            <c:rich>
              <a:bodyPr rot="-5400000" vert="horz"/>
              <a:lstStyle/>
              <a:p>
                <a:pPr>
                  <a:defRPr/>
                </a:pPr>
                <a:r>
                  <a:rPr lang="en-US" b="0">
                    <a:latin typeface="Georgia" panose="02040502050405020303" pitchFamily="18" charset="0"/>
                  </a:rPr>
                  <a:t>Percentage Points</a:t>
                </a:r>
              </a:p>
            </c:rich>
          </c:tx>
          <c:layout/>
          <c:overlay val="0"/>
        </c:title>
        <c:numFmt formatCode="General" sourceLinked="1"/>
        <c:majorTickMark val="none"/>
        <c:minorTickMark val="none"/>
        <c:tickLblPos val="nextTo"/>
        <c:crossAx val="135113344"/>
        <c:crosses val="autoZero"/>
        <c:crossBetween val="between"/>
      </c:valAx>
      <c:valAx>
        <c:axId val="36338688"/>
        <c:scaling>
          <c:orientation val="minMax"/>
          <c:max val="1"/>
          <c:min val="0"/>
        </c:scaling>
        <c:delete val="0"/>
        <c:axPos val="r"/>
        <c:numFmt formatCode="General" sourceLinked="1"/>
        <c:majorTickMark val="none"/>
        <c:minorTickMark val="none"/>
        <c:tickLblPos val="none"/>
        <c:crossAx val="36344576"/>
        <c:crosses val="max"/>
        <c:crossBetween val="between"/>
      </c:valAx>
      <c:catAx>
        <c:axId val="36344576"/>
        <c:scaling>
          <c:orientation val="minMax"/>
        </c:scaling>
        <c:delete val="1"/>
        <c:axPos val="b"/>
        <c:majorTickMark val="out"/>
        <c:minorTickMark val="none"/>
        <c:tickLblPos val="nextTo"/>
        <c:crossAx val="36338688"/>
        <c:crosses val="autoZero"/>
        <c:auto val="1"/>
        <c:lblAlgn val="ctr"/>
        <c:lblOffset val="100"/>
        <c:noMultiLvlLbl val="0"/>
      </c:catAx>
    </c:plotArea>
    <c:legend>
      <c:legendPos val="b"/>
      <c:legendEntry>
        <c:idx val="0"/>
        <c:delete val="1"/>
      </c:legendEntry>
      <c:layout>
        <c:manualLayout>
          <c:xMode val="edge"/>
          <c:yMode val="edge"/>
          <c:x val="0.15253859850433266"/>
          <c:y val="0.11075614291932101"/>
          <c:w val="0.72685838642029044"/>
          <c:h val="5.9904346576273429E-2"/>
        </c:manualLayout>
      </c:layout>
      <c:overlay val="0"/>
    </c:legend>
    <c:plotVisOnly val="1"/>
    <c:dispBlanksAs val="gap"/>
    <c:showDLblsOverMax val="0"/>
  </c:chart>
  <c:spPr>
    <a:solidFill>
      <a:sysClr val="window" lastClr="FFFFFF">
        <a:lumMod val="100000"/>
      </a:sysClr>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txPr>
    <a:bodyPr/>
    <a:lstStyle/>
    <a:p>
      <a:pPr>
        <a:defRPr sz="900">
          <a:latin typeface="Arial"/>
          <a:cs typeface="Arial"/>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2" Type="http://schemas.openxmlformats.org/officeDocument/2006/relationships/image" Target="file:///N:\Hutchins\Administration\Chart%20Templates\HutchinsLogo.png" TargetMode="External"/><Relationship Id="rId1" Type="http://schemas.openxmlformats.org/officeDocument/2006/relationships/image" Target="file:///N:\Hutchins\Administration\Chart%20Templates\BrookingsLogo.png" TargetMode="External"/></Relationships>
</file>

<file path=word/drawings/drawing1.xml><?xml version="1.0" encoding="utf-8"?>
<c:userShapes xmlns:c="http://schemas.openxmlformats.org/drawingml/2006/chart">
  <cdr:relSizeAnchor xmlns:cdr="http://schemas.openxmlformats.org/drawingml/2006/chartDrawing">
    <cdr:from>
      <cdr:x>0</cdr:x>
      <cdr:y>0.04525</cdr:y>
    </cdr:from>
    <cdr:to>
      <cdr:x>0.55129</cdr:x>
      <cdr:y>0.13785</cdr:y>
    </cdr:to>
    <cdr:sp macro="" textlink="">
      <cdr:nvSpPr>
        <cdr:cNvPr id="2" name="TextBox 1"/>
        <cdr:cNvSpPr txBox="1"/>
      </cdr:nvSpPr>
      <cdr:spPr>
        <a:xfrm xmlns:a="http://schemas.openxmlformats.org/drawingml/2006/main">
          <a:off x="0" y="171527"/>
          <a:ext cx="3483188" cy="351042"/>
        </a:xfrm>
        <a:prstGeom xmlns:a="http://schemas.openxmlformats.org/drawingml/2006/main" prst="rect">
          <a:avLst/>
        </a:prstGeom>
      </cdr:spPr>
      <cdr:txBody>
        <a:bodyPr xmlns:a="http://schemas.openxmlformats.org/drawingml/2006/main" vertOverflow="clip" vert="horz" rtlCol="0"/>
        <a:lstStyle xmlns:a="http://schemas.openxmlformats.org/drawingml/2006/main"/>
        <a:p xmlns:a="http://schemas.openxmlformats.org/drawingml/2006/main">
          <a:r>
            <a:rPr lang="en-US" sz="1100" b="0" i="0" u="none">
              <a:effectLst/>
              <a:latin typeface="Arial" panose="020B0604020202020204" pitchFamily="34" charset="0"/>
              <a:ea typeface="+mn-ea"/>
              <a:cs typeface="Arial" panose="020B0604020202020204" pitchFamily="34" charset="0"/>
            </a:rPr>
            <a:t>The Contribution of Fiscal Policy to GDP Growth</a:t>
          </a:r>
          <a:endParaRPr lang="en-US" sz="900" i="0" u="none">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0.00995</cdr:x>
      <cdr:y>0.89698</cdr:y>
    </cdr:from>
    <cdr:to>
      <cdr:x>0.59225</cdr:x>
      <cdr:y>1</cdr:y>
    </cdr:to>
    <cdr:sp macro="" textlink="">
      <cdr:nvSpPr>
        <cdr:cNvPr id="3" name="TextBox 2"/>
        <cdr:cNvSpPr txBox="1"/>
      </cdr:nvSpPr>
      <cdr:spPr>
        <a:xfrm xmlns:a="http://schemas.openxmlformats.org/drawingml/2006/main">
          <a:off x="62867" y="3400425"/>
          <a:ext cx="3679117" cy="390525"/>
        </a:xfrm>
        <a:prstGeom xmlns:a="http://schemas.openxmlformats.org/drawingml/2006/main" prst="rect">
          <a:avLst/>
        </a:prstGeom>
      </cdr:spPr>
      <cdr:txBody>
        <a:bodyPr xmlns:a="http://schemas.openxmlformats.org/drawingml/2006/main" vertOverflow="clip" vert="horz" rtlCol="0"/>
        <a:lstStyle xmlns:a="http://schemas.openxmlformats.org/drawingml/2006/main"/>
        <a:p xmlns:a="http://schemas.openxmlformats.org/drawingml/2006/main">
          <a:r>
            <a:rPr lang="en-US" sz="900">
              <a:latin typeface="Arial"/>
            </a:rPr>
            <a:t>Source: Hutchins Center Calculations based on BEA data; four-quarter moving average; shaded areas indicate recessions</a:t>
          </a:r>
        </a:p>
      </cdr:txBody>
    </cdr:sp>
  </cdr:relSizeAnchor>
  <cdr:relSizeAnchor xmlns:cdr="http://schemas.openxmlformats.org/drawingml/2006/chartDrawing">
    <cdr:from>
      <cdr:x>0.69901</cdr:x>
      <cdr:y>0.92147</cdr:y>
    </cdr:from>
    <cdr:to>
      <cdr:x>0.93281</cdr:x>
      <cdr:y>0.9693</cdr:y>
    </cdr:to>
    <cdr:pic>
      <cdr:nvPicPr>
        <cdr:cNvPr id="4" name="Picture 3"/>
        <cdr:cNvPicPr>
          <a:picLocks xmlns:a="http://schemas.openxmlformats.org/drawingml/2006/main"/>
        </cdr:cNvPicPr>
      </cdr:nvPicPr>
      <cdr:blipFill>
        <a:blip xmlns:a="http://schemas.openxmlformats.org/drawingml/2006/main" xmlns:r="http://schemas.openxmlformats.org/officeDocument/2006/relationships" r:link="rId1"/>
        <a:stretch xmlns:a="http://schemas.openxmlformats.org/drawingml/2006/main">
          <a:fillRect/>
        </a:stretch>
      </cdr:blipFill>
      <cdr:spPr>
        <a:xfrm xmlns:a="http://schemas.openxmlformats.org/drawingml/2006/main">
          <a:off x="4154636" y="3286125"/>
          <a:ext cx="1389614" cy="170554"/>
        </a:xfrm>
        <a:prstGeom xmlns:a="http://schemas.openxmlformats.org/drawingml/2006/main" prst="rect">
          <a:avLst/>
        </a:prstGeom>
      </cdr:spPr>
    </cdr:pic>
  </cdr:relSizeAnchor>
  <cdr:relSizeAnchor xmlns:cdr="http://schemas.openxmlformats.org/drawingml/2006/chartDrawing">
    <cdr:from>
      <cdr:x>0.94444</cdr:x>
      <cdr:y>0.87959</cdr:y>
    </cdr:from>
    <cdr:to>
      <cdr:x>0.97917</cdr:x>
      <cdr:y>0.96755</cdr:y>
    </cdr:to>
    <cdr:pic>
      <cdr:nvPicPr>
        <cdr:cNvPr id="5" name="Picture 4"/>
        <cdr:cNvPicPr>
          <a:picLocks xmlns:a="http://schemas.openxmlformats.org/drawingml/2006/main"/>
        </cdr:cNvPicPr>
      </cdr:nvPicPr>
      <cdr:blipFill>
        <a:blip xmlns:a="http://schemas.openxmlformats.org/drawingml/2006/main" xmlns:r="http://schemas.openxmlformats.org/officeDocument/2006/relationships" r:link="rId2"/>
        <a:stretch xmlns:a="http://schemas.openxmlformats.org/drawingml/2006/main">
          <a:fillRect/>
        </a:stretch>
      </cdr:blipFill>
      <cdr:spPr>
        <a:xfrm xmlns:a="http://schemas.openxmlformats.org/drawingml/2006/main">
          <a:off x="5181600" y="2412887"/>
          <a:ext cx="190500" cy="2413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92354-2362-422F-8D62-28004A5ADDFC}">
  <ds:schemaRefs>
    <ds:schemaRef ds:uri="http://schemas.openxmlformats.org/officeDocument/2006/bibliography"/>
  </ds:schemaRefs>
</ds:datastoreItem>
</file>

<file path=customXml/itemProps2.xml><?xml version="1.0" encoding="utf-8"?>
<ds:datastoreItem xmlns:ds="http://schemas.openxmlformats.org/officeDocument/2006/customXml" ds:itemID="{BF7CE692-5251-446C-8557-8808647AB930}"/>
</file>

<file path=customXml/itemProps3.xml><?xml version="1.0" encoding="utf-8"?>
<ds:datastoreItem xmlns:ds="http://schemas.openxmlformats.org/officeDocument/2006/customXml" ds:itemID="{3F2985BA-5924-4620-B511-D867522DB70C}"/>
</file>

<file path=customXml/itemProps4.xml><?xml version="1.0" encoding="utf-8"?>
<ds:datastoreItem xmlns:ds="http://schemas.openxmlformats.org/officeDocument/2006/customXml" ds:itemID="{73E23AD6-C1A4-4197-849C-750166D4C1EE}"/>
</file>

<file path=docProps/app.xml><?xml version="1.0" encoding="utf-8"?>
<Properties xmlns="http://schemas.openxmlformats.org/officeDocument/2006/extended-properties" xmlns:vt="http://schemas.openxmlformats.org/officeDocument/2006/docPropsVTypes">
  <Template>Normal</Template>
  <TotalTime>21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Louise Sheiner</dc:creator>
  <cp:lastModifiedBy>Emily Parker</cp:lastModifiedBy>
  <cp:revision>4</cp:revision>
  <cp:lastPrinted>2014-09-03T22:30:00Z</cp:lastPrinted>
  <dcterms:created xsi:type="dcterms:W3CDTF">2014-09-26T14:12:00Z</dcterms:created>
  <dcterms:modified xsi:type="dcterms:W3CDTF">2014-09-30T17:06:00Z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