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AF" w:rsidRPr="00B21550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04/27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:rsidR="001733B3" w:rsidRPr="00B21550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:rsidR="001733B3" w:rsidRPr="00B21550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:rsidR="00314ACA" w:rsidRPr="00B21550" w:rsidRDefault="001733B3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growth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According to t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he latest reading on the Hutchins’ Fiscal Impact Measure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72108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spending at all levels of government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added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less than 1/10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  <w:vertAlign w:val="superscript"/>
        </w:rPr>
        <w:t>th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</w:t>
      </w:r>
      <w:r w:rsidR="0072108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is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cal policy’s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contribut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ion to growth has trended upwards over the last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year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but its effects 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remain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small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72108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compared to th</w:t>
      </w:r>
      <w:r w:rsidR="007F0B5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ose witnessed between 2008 and 2013. </w:t>
      </w:r>
      <w:r w:rsidR="0072108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grew 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2.3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</w:p>
    <w:p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:rsidR="003F7E7D" w:rsidRPr="00B21550" w:rsidRDefault="002119DC" w:rsidP="007F0B53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 in state and local spending on construction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turned downwards in the first months of the year, after rising briefly at the end of 2017. The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trending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slowdown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in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state and local i</w:t>
      </w:r>
      <w:r w:rsidR="0071651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nvestment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prevented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760D29">
        <w:rPr>
          <w:rFonts w:asciiTheme="majorHAnsi" w:eastAsia="Times New Roman" w:hAnsiTheme="majorHAnsi" w:cs="Arial"/>
          <w:color w:val="101010"/>
          <w:sz w:val="24"/>
          <w:szCs w:val="24"/>
        </w:rPr>
        <w:t>the sector from</w:t>
      </w:r>
      <w:r w:rsidR="0071651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con</w:t>
      </w:r>
      <w:bookmarkStart w:id="0" w:name="_GoBack"/>
      <w:bookmarkEnd w:id="0"/>
      <w:r w:rsidR="0071651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tributing significantly to GDP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for some time</w:t>
      </w:r>
      <w:r w:rsidR="0071651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Growth in state and local government employment has remained weak as well, suggesting states and localities continue to face fiscal constraints. </w:t>
      </w:r>
    </w:p>
    <w:p w:rsidR="00786074" w:rsidRPr="00B21550" w:rsidRDefault="00314ACA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Federal 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government spending</w:t>
      </w:r>
      <w:r w:rsidR="002065E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B713A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 slowed at the beginning of 2018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contributed </w:t>
      </w:r>
      <w:r w:rsidR="00B713A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GDP growth. </w:t>
      </w:r>
      <w:r w:rsidR="00A164FA"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="00A164FA"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due primarily to growth in 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defense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outlays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(which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are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highly variable quarter-to-quarter).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As the funds from the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omnibus spending bill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get disbursed to the economy over the remainder of the current fiscal year,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:rsidR="003F75BE" w:rsidRPr="00B21550" w:rsidRDefault="003F75BE" w:rsidP="003B327A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detracted slightly from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any effects of the 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recently enacted tax bill have yet to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>show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through in </w:t>
      </w:r>
      <w:r w:rsidR="00786074" w:rsidRPr="00B21550">
        <w:rPr>
          <w:rFonts w:asciiTheme="majorHAnsi" w:hAnsiTheme="majorHAnsi" w:cs="Arial"/>
          <w:color w:val="101010"/>
          <w:sz w:val="24"/>
          <w:szCs w:val="24"/>
        </w:rPr>
        <w:t>broader measures of the economy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Tax Cuts and Jobs Act, the FIM will provide a measure of how those tax cuts translate into economic growth over the coming quarters. 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074" w:rsidRDefault="00786074" w:rsidP="00786074">
      <w:pPr>
        <w:spacing w:after="0" w:line="240" w:lineRule="auto"/>
      </w:pPr>
      <w:r>
        <w:separator/>
      </w:r>
    </w:p>
  </w:endnote>
  <w:endnote w:type="continuationSeparator" w:id="0">
    <w:p w:rsidR="00786074" w:rsidRDefault="0078607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074" w:rsidRDefault="00786074" w:rsidP="00786074">
      <w:pPr>
        <w:spacing w:after="0" w:line="240" w:lineRule="auto"/>
      </w:pPr>
      <w:r>
        <w:separator/>
      </w:r>
    </w:p>
  </w:footnote>
  <w:footnote w:type="continuationSeparator" w:id="0">
    <w:p w:rsidR="00786074" w:rsidRDefault="0078607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60D29"/>
    <w:rsid w:val="007670B4"/>
    <w:rsid w:val="00777E69"/>
    <w:rsid w:val="00786074"/>
    <w:rsid w:val="007970D4"/>
    <w:rsid w:val="007A7464"/>
    <w:rsid w:val="007F0B53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21550"/>
    <w:rsid w:val="00B57FA4"/>
    <w:rsid w:val="00B713AD"/>
    <w:rsid w:val="00B75ECE"/>
    <w:rsid w:val="00BA3AF3"/>
    <w:rsid w:val="00BD610F"/>
    <w:rsid w:val="00BE35C0"/>
    <w:rsid w:val="00C11279"/>
    <w:rsid w:val="00C13D82"/>
    <w:rsid w:val="00C23090"/>
    <w:rsid w:val="00C24255"/>
    <w:rsid w:val="00C3624A"/>
    <w:rsid w:val="00C41F41"/>
    <w:rsid w:val="00C723A7"/>
    <w:rsid w:val="00C74E22"/>
    <w:rsid w:val="00CE7BC6"/>
    <w:rsid w:val="00D05E59"/>
    <w:rsid w:val="00D26993"/>
    <w:rsid w:val="00D40A3E"/>
    <w:rsid w:val="00D61C70"/>
    <w:rsid w:val="00E5212D"/>
    <w:rsid w:val="00E575E6"/>
    <w:rsid w:val="00E61624"/>
    <w:rsid w:val="00E87088"/>
    <w:rsid w:val="00EB000F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58310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B08296-9003-4177-A653-4B79558CB0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D73085-1AC9-417A-A83C-A22F323A5FDB}"/>
</file>

<file path=customXml/itemProps3.xml><?xml version="1.0" encoding="utf-8"?>
<ds:datastoreItem xmlns:ds="http://schemas.openxmlformats.org/officeDocument/2006/customXml" ds:itemID="{7B18B4F7-F7C7-4481-9B5F-D98FE85EFA14}"/>
</file>

<file path=customXml/itemProps4.xml><?xml version="1.0" encoding="utf-8"?>
<ds:datastoreItem xmlns:ds="http://schemas.openxmlformats.org/officeDocument/2006/customXml" ds:itemID="{159F07DB-59B5-4153-B2D3-350FFBD836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5</cp:revision>
  <dcterms:created xsi:type="dcterms:W3CDTF">2018-03-28T14:23:00Z</dcterms:created>
  <dcterms:modified xsi:type="dcterms:W3CDTF">2018-04-27T17:09:00Z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