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77777777"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C41F41" w:rsidRPr="00B21550">
        <w:rPr>
          <w:rFonts w:asciiTheme="majorHAnsi" w:eastAsia="Times New Roman" w:hAnsiTheme="majorHAnsi" w:cs="Arial"/>
          <w:b/>
          <w:bCs/>
          <w:color w:val="101010"/>
          <w:sz w:val="24"/>
          <w:szCs w:val="24"/>
          <w:bdr w:val="none" w:sz="0" w:space="0" w:color="auto" w:frame="1"/>
        </w:rPr>
        <w:t>FIRST</w:t>
      </w:r>
      <w:r w:rsidR="00522B1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r w:rsidR="00457B93">
        <w:rPr>
          <w:rFonts w:asciiTheme="majorHAnsi" w:eastAsia="Times New Roman" w:hAnsiTheme="majorHAnsi" w:cs="Arial"/>
          <w:b/>
          <w:bCs/>
          <w:color w:val="101010"/>
          <w:sz w:val="24"/>
          <w:szCs w:val="24"/>
          <w:bdr w:val="none" w:sz="0" w:space="0" w:color="auto" w:frame="1"/>
        </w:rPr>
        <w:t>7</w:t>
      </w:r>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27</w:t>
      </w:r>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6EC48C42"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0.6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4.1</w:t>
      </w:r>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w:t>
      </w:r>
      <w:commentRangeStart w:id="0"/>
      <w:r>
        <w:rPr>
          <w:rFonts w:asciiTheme="majorHAnsi" w:eastAsia="Times New Roman" w:hAnsiTheme="majorHAnsi" w:cs="Arial"/>
          <w:color w:val="101010"/>
          <w:sz w:val="24"/>
          <w:szCs w:val="24"/>
        </w:rPr>
        <w:t xml:space="preserve">federal policies are providing additional stimulus </w:t>
      </w:r>
      <w:commentRangeEnd w:id="0"/>
      <w:r w:rsidR="00FD4B3E">
        <w:rPr>
          <w:rStyle w:val="CommentReference"/>
        </w:rPr>
        <w:commentReference w:id="0"/>
      </w:r>
      <w:r>
        <w:rPr>
          <w:rFonts w:asciiTheme="majorHAnsi" w:eastAsia="Times New Roman" w:hAnsiTheme="majorHAnsi" w:cs="Arial"/>
          <w:color w:val="101010"/>
          <w:sz w:val="24"/>
          <w:szCs w:val="24"/>
        </w:rPr>
        <w:t xml:space="preserve">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7A6AF5BB"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During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subtracted from economic growth. Over the last eight quarters, however, the FIM has rebounded and hovered above zero</w:t>
      </w:r>
      <w:r w:rsidR="00DF2A8A">
        <w:rPr>
          <w:rFonts w:asciiTheme="majorHAnsi" w:eastAsia="Times New Roman" w:hAnsiTheme="majorHAnsi" w:cs="Arial"/>
          <w:color w:val="101010"/>
          <w:sz w:val="24"/>
          <w:szCs w:val="24"/>
        </w:rPr>
        <w:t>.</w:t>
      </w:r>
      <w:bookmarkStart w:id="1" w:name="_GoBack"/>
      <w:bookmarkEnd w:id="1"/>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5AEC28C5"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In the second quarter, f</w:t>
      </w:r>
      <w:r w:rsidR="00792790">
        <w:rPr>
          <w:rFonts w:asciiTheme="majorHAnsi" w:eastAsia="Times New Roman" w:hAnsiTheme="majorHAnsi" w:cs="Arial"/>
          <w:color w:val="101010"/>
          <w:sz w:val="24"/>
          <w:szCs w:val="24"/>
        </w:rPr>
        <w:t>ederal spending increased at an annual rate of 3½ 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4C0D7D">
        <w:rPr>
          <w:rFonts w:asciiTheme="majorHAnsi" w:eastAsia="Times New Roman" w:hAnsiTheme="majorHAnsi" w:cs="Arial"/>
          <w:color w:val="101010"/>
          <w:sz w:val="24"/>
          <w:szCs w:val="24"/>
        </w:rPr>
        <w:t xml:space="preserve">State and local spending rose about 1½ percent in the second quarter, continuing the pattern of sluggish grown observed in recent years.  </w:t>
      </w:r>
      <w:r w:rsidR="00792790">
        <w:rPr>
          <w:rFonts w:asciiTheme="majorHAnsi" w:eastAsia="Times New Roman" w:hAnsiTheme="majorHAnsi" w:cs="Arial"/>
          <w:color w:val="101010"/>
          <w:sz w:val="24"/>
          <w:szCs w:val="24"/>
        </w:rPr>
        <w:t>Real state and local construction has grown by less than 5 percent since 2016, and remains 25 percent lower than its level in 2008. Employment in the sector has registered almost zero growth in the last year, and continues to sit below its pre-recession levels.</w:t>
      </w:r>
      <w:r w:rsidR="004C0D7D">
        <w:rPr>
          <w:rFonts w:asciiTheme="majorHAnsi" w:eastAsia="Times New Roman" w:hAnsiTheme="majorHAnsi" w:cs="Arial"/>
          <w:color w:val="101010"/>
          <w:sz w:val="24"/>
          <w:szCs w:val="24"/>
        </w:rPr>
        <w:t xml:space="preserve"> Historically, </w:t>
      </w:r>
      <w:r w:rsidR="00A92A30">
        <w:rPr>
          <w:rFonts w:asciiTheme="majorHAnsi" w:eastAsia="Times New Roman" w:hAnsiTheme="majorHAnsi" w:cs="Arial"/>
          <w:color w:val="101010"/>
          <w:sz w:val="24"/>
          <w:szCs w:val="24"/>
        </w:rPr>
        <w:t xml:space="preserve">state and local expenditures make up a bigger part of the economy (11 percent on average) than </w:t>
      </w:r>
      <w:r w:rsidR="004C0D7D">
        <w:rPr>
          <w:rFonts w:asciiTheme="majorHAnsi" w:eastAsia="Times New Roman" w:hAnsiTheme="majorHAnsi" w:cs="Arial"/>
          <w:color w:val="101010"/>
          <w:sz w:val="24"/>
          <w:szCs w:val="24"/>
        </w:rPr>
        <w:t xml:space="preserve">federal spending </w:t>
      </w:r>
      <w:r w:rsidR="00A92A30">
        <w:rPr>
          <w:rFonts w:asciiTheme="majorHAnsi" w:eastAsia="Times New Roman" w:hAnsiTheme="majorHAnsi" w:cs="Arial"/>
          <w:color w:val="101010"/>
          <w:sz w:val="24"/>
          <w:szCs w:val="24"/>
        </w:rPr>
        <w:t xml:space="preserve">(about 7 percent on average) </w:t>
      </w:r>
      <w:r w:rsidR="004C0D7D">
        <w:rPr>
          <w:rFonts w:asciiTheme="majorHAnsi" w:eastAsia="Times New Roman" w:hAnsiTheme="majorHAnsi" w:cs="Arial"/>
          <w:color w:val="101010"/>
          <w:sz w:val="24"/>
          <w:szCs w:val="24"/>
        </w:rPr>
        <w:t>.</w:t>
      </w:r>
    </w:p>
    <w:p w14:paraId="500D7150" w14:textId="77777777"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lastRenderedPageBreak/>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8306F63" w14:textId="77777777" w:rsidR="00A76466" w:rsidRPr="00B21550" w:rsidRDefault="00062EE1">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The comprehensive revisions to the national accounts released</w:t>
      </w:r>
      <w:r w:rsidR="002B7975">
        <w:rPr>
          <w:rFonts w:asciiTheme="majorHAnsi" w:eastAsia="Times New Roman" w:hAnsiTheme="majorHAnsi" w:cs="Arial"/>
          <w:color w:val="101010"/>
          <w:sz w:val="24"/>
          <w:szCs w:val="24"/>
        </w:rPr>
        <w:t xml:space="preserve"> </w:t>
      </w:r>
      <w:r w:rsidR="005B5314">
        <w:rPr>
          <w:rFonts w:asciiTheme="majorHAnsi" w:eastAsia="Times New Roman" w:hAnsiTheme="majorHAnsi" w:cs="Arial"/>
          <w:color w:val="101010"/>
          <w:sz w:val="24"/>
          <w:szCs w:val="24"/>
        </w:rPr>
        <w:t xml:space="preserve">with the second quarter GDP estimates </w:t>
      </w:r>
      <w:r w:rsidR="002B7975">
        <w:rPr>
          <w:rFonts w:asciiTheme="majorHAnsi" w:eastAsia="Times New Roman" w:hAnsiTheme="majorHAnsi" w:cs="Arial"/>
          <w:color w:val="101010"/>
          <w:sz w:val="24"/>
          <w:szCs w:val="24"/>
        </w:rPr>
        <w:t xml:space="preserve">had little effect on </w:t>
      </w:r>
      <w:r w:rsidR="005B5314">
        <w:rPr>
          <w:rFonts w:asciiTheme="majorHAnsi" w:eastAsia="Times New Roman" w:hAnsiTheme="majorHAnsi" w:cs="Arial"/>
          <w:color w:val="101010"/>
          <w:sz w:val="24"/>
          <w:szCs w:val="24"/>
        </w:rPr>
        <w:t xml:space="preserve">previous values of the FIM. </w:t>
      </w: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ge Belz" w:date="2018-07-27T15:48:00Z" w:initials="SB">
    <w:p w14:paraId="33FCA714" w14:textId="77777777" w:rsidR="00FD4B3E" w:rsidRDefault="00FD4B3E" w:rsidP="00FD4B3E">
      <w:pPr>
        <w:pStyle w:val="CommentText"/>
      </w:pPr>
      <w:r>
        <w:rPr>
          <w:rStyle w:val="CommentReference"/>
        </w:rPr>
        <w:annotationRef/>
      </w:r>
      <w:r>
        <w:t xml:space="preserve">Following the methodology we use to calculate “neutral FIM”, I calculate neutral Federal FIM to be around 0.13 and neutral S&amp;L FIM to be around 0.22. The most recent observed values for the fed and s&amp;L FIM are 0.22 and 0.15 respectively. So the two have “switched” places.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FCA7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0413D" w14:textId="77777777" w:rsidR="003A12C2" w:rsidRDefault="003A12C2" w:rsidP="00786074">
      <w:pPr>
        <w:spacing w:after="0" w:line="240" w:lineRule="auto"/>
      </w:pPr>
      <w:r>
        <w:separator/>
      </w:r>
    </w:p>
  </w:endnote>
  <w:endnote w:type="continuationSeparator" w:id="0">
    <w:p w14:paraId="7B5DCFCD" w14:textId="77777777" w:rsidR="003A12C2" w:rsidRDefault="003A12C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6E" w14:textId="77777777" w:rsidR="003A12C2" w:rsidRDefault="003A12C2" w:rsidP="00786074">
      <w:pPr>
        <w:spacing w:after="0" w:line="240" w:lineRule="auto"/>
      </w:pPr>
      <w:r>
        <w:separator/>
      </w:r>
    </w:p>
  </w:footnote>
  <w:footnote w:type="continuationSeparator" w:id="0">
    <w:p w14:paraId="799319A3" w14:textId="77777777" w:rsidR="003A12C2" w:rsidRDefault="003A12C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7467F"/>
    <w:rsid w:val="00294305"/>
    <w:rsid w:val="002A1B5B"/>
    <w:rsid w:val="002B7975"/>
    <w:rsid w:val="002E0901"/>
    <w:rsid w:val="002E09E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A3B8C"/>
    <w:rsid w:val="006D4A28"/>
    <w:rsid w:val="006E0FB3"/>
    <w:rsid w:val="006F60A7"/>
    <w:rsid w:val="00702FAF"/>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088C2-6DDC-4211-B167-F95935896E25}">
  <ds:schemaRefs>
    <ds:schemaRef ds:uri="http://schemas.openxmlformats.org/officeDocument/2006/bibliography"/>
  </ds:schemaRefs>
</ds:datastoreItem>
</file>

<file path=customXml/itemProps2.xml><?xml version="1.0" encoding="utf-8"?>
<ds:datastoreItem xmlns:ds="http://schemas.openxmlformats.org/officeDocument/2006/customXml" ds:itemID="{DD3B1429-C2AC-47BE-B01A-4E6D4D9A1D14}"/>
</file>

<file path=customXml/itemProps3.xml><?xml version="1.0" encoding="utf-8"?>
<ds:datastoreItem xmlns:ds="http://schemas.openxmlformats.org/officeDocument/2006/customXml" ds:itemID="{991142DF-2050-4041-A7E2-8906FCAD8A77}"/>
</file>

<file path=customXml/itemProps4.xml><?xml version="1.0" encoding="utf-8"?>
<ds:datastoreItem xmlns:ds="http://schemas.openxmlformats.org/officeDocument/2006/customXml" ds:itemID="{07E2A042-16C3-498D-B4EF-45B4CC76B6DB}"/>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2018-07-30T12:37:00Z</dcterms:created>
  <dcterms:modified xsi:type="dcterms:W3CDTF">2018-07-30T12:37:00Z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