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rawings/drawing2.xml" ContentType="application/vnd.openxmlformats-officedocument.drawingml.chartshapes+xml"/>
  <Override PartName="/word/drawings/drawing3.xml" ContentType="application/vnd.openxmlformats-officedocument.drawingml.chartshapes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3.xml" ContentType="application/vnd.ms-office.chartsty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69861761" w:rsidR="00BA3AF3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="00522B14"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A3AF3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r w:rsidRPr="00BA3AF3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 Louise Sheiner and David Wessel</w:t>
      </w:r>
    </w:p>
    <w:p w14:paraId="5BB26735" w14:textId="77777777" w:rsidR="00C74E22" w:rsidRPr="00BA3AF3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4785E2CB" w14:textId="73B10381" w:rsidR="00522B14" w:rsidRDefault="00522B14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spending and tax policies of federal, state, and local governments—which significantly restrained overall economic growth from 2011 through 2014—had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a small positive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effect on growth in Gross Domestic Product in the second quarter of 2017, according to the latest reading on the Hutchins’ Fiscal Impact Measure.  (The GDP grew at a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first estimate.)</w:t>
      </w:r>
    </w:p>
    <w:p w14:paraId="0BC3BBF3" w14:textId="093737D9" w:rsidR="00C3624A" w:rsidRDefault="00C74E22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Smoothing through quarterly ups and downs, t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domestic product.</w:t>
      </w:r>
    </w:p>
    <w:p w14:paraId="45751B30" w14:textId="1AB6D41D" w:rsidR="00662157" w:rsidRDefault="00C11279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A</w:t>
      </w:r>
      <w:r w:rsidR="00C3624A">
        <w:rPr>
          <w:color w:val="101010"/>
          <w:sz w:val="27"/>
          <w:szCs w:val="27"/>
        </w:rPr>
        <w:t xml:space="preserve"> boost in </w:t>
      </w:r>
      <w:r>
        <w:rPr>
          <w:color w:val="101010"/>
          <w:sz w:val="27"/>
          <w:szCs w:val="27"/>
        </w:rPr>
        <w:t xml:space="preserve">federal spending this quarter contributed to GDP gains. But those gains were </w:t>
      </w:r>
      <w:r w:rsidR="00C3624A">
        <w:rPr>
          <w:color w:val="101010"/>
          <w:sz w:val="27"/>
          <w:szCs w:val="27"/>
        </w:rPr>
        <w:t>offset by a</w:t>
      </w:r>
      <w:r>
        <w:rPr>
          <w:color w:val="101010"/>
          <w:sz w:val="27"/>
          <w:szCs w:val="27"/>
        </w:rPr>
        <w:t xml:space="preserve"> decline</w:t>
      </w:r>
      <w:r w:rsidR="00C3624A">
        <w:rPr>
          <w:color w:val="101010"/>
          <w:sz w:val="27"/>
          <w:szCs w:val="27"/>
        </w:rPr>
        <w:t xml:space="preserve"> in spending at the state and local levels</w:t>
      </w:r>
      <w:r>
        <w:rPr>
          <w:color w:val="101010"/>
          <w:sz w:val="27"/>
          <w:szCs w:val="27"/>
        </w:rPr>
        <w:t>, which, after recovering slightly last year, have turned down again.</w:t>
      </w:r>
      <w:r w:rsidR="00C3624A">
        <w:rPr>
          <w:color w:val="101010"/>
          <w:sz w:val="27"/>
          <w:szCs w:val="27"/>
        </w:rPr>
        <w:t xml:space="preserve"> </w:t>
      </w:r>
      <w:r>
        <w:rPr>
          <w:color w:val="101010"/>
          <w:sz w:val="27"/>
          <w:szCs w:val="27"/>
        </w:rPr>
        <w:t xml:space="preserve">While state and local employment has </w:t>
      </w:r>
      <w:r w:rsidR="00662157">
        <w:rPr>
          <w:color w:val="101010"/>
          <w:sz w:val="27"/>
          <w:szCs w:val="27"/>
        </w:rPr>
        <w:t>crept back towards its pre-recession levels, it remains 1.4% lower than its peak in 2008 and has fallen over the last two quarters.</w:t>
      </w:r>
    </w:p>
    <w:p w14:paraId="2EEB6F07" w14:textId="3BAAE1CA" w:rsidR="00C11279" w:rsidRDefault="00C11279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noProof/>
        </w:rPr>
        <w:drawing>
          <wp:inline distT="0" distB="0" distL="0" distR="0" wp14:anchorId="64BA2E44" wp14:editId="526421F2">
            <wp:extent cx="54864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A4D422" w14:textId="538E5E99" w:rsidR="00662157" w:rsidRDefault="00662157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BA8F611" wp14:editId="33014A5B">
            <wp:extent cx="5591572" cy="2781300"/>
            <wp:effectExtent l="0" t="0" r="9525" b="0"/>
            <wp:docPr id="4" name="Picture 4" descr="cid:image006.png@01D306F7.9695B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2" descr="cid:image006.png@01D306F7.9695BA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19" cy="278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2C17" w14:textId="4319D555" w:rsidR="00662157" w:rsidRDefault="00662157" w:rsidP="00C3624A">
      <w:pPr>
        <w:pStyle w:val="NormalWeb"/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State and local gross investment, despite picking up in 2016, has turned south again</w:t>
      </w:r>
      <w:r w:rsidR="00E5212D">
        <w:rPr>
          <w:color w:val="101010"/>
          <w:sz w:val="27"/>
          <w:szCs w:val="27"/>
        </w:rPr>
        <w:t xml:space="preserve">. Real construction spending </w:t>
      </w:r>
      <w:r>
        <w:rPr>
          <w:color w:val="101010"/>
          <w:sz w:val="27"/>
          <w:szCs w:val="27"/>
        </w:rPr>
        <w:t xml:space="preserve">fell to levels 25 percent </w:t>
      </w:r>
      <w:r w:rsidR="00E5212D">
        <w:rPr>
          <w:color w:val="101010"/>
          <w:sz w:val="27"/>
          <w:szCs w:val="27"/>
        </w:rPr>
        <w:t>below its level</w:t>
      </w:r>
      <w:r>
        <w:rPr>
          <w:color w:val="101010"/>
          <w:sz w:val="27"/>
          <w:szCs w:val="27"/>
        </w:rPr>
        <w:t xml:space="preserve"> in 2008. </w:t>
      </w:r>
    </w:p>
    <w:p w14:paraId="279F969B" w14:textId="6F07EFA9" w:rsidR="00C3624A" w:rsidRDefault="00E61624" w:rsidP="00E5212D">
      <w:pPr>
        <w:pStyle w:val="NormalWeb"/>
        <w:spacing w:before="0" w:beforeAutospacing="0" w:after="480" w:afterAutospacing="0"/>
      </w:pPr>
      <w:r>
        <w:rPr>
          <w:noProof/>
        </w:rPr>
        <w:drawing>
          <wp:inline distT="0" distB="0" distL="0" distR="0" wp14:anchorId="1E820BED" wp14:editId="4FC26ECC">
            <wp:extent cx="5486400" cy="2869866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785BD8" w14:textId="326F036D" w:rsidR="00C74E22" w:rsidRDefault="00E5212D" w:rsidP="00E5212D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States face growing pressure to rein in spending (a</w:t>
      </w:r>
      <w:r w:rsidRPr="00E5212D">
        <w:rPr>
          <w:rFonts w:ascii="inherit" w:eastAsia="Times New Roman" w:hAnsi="inherit" w:cs="Times New Roman"/>
          <w:color w:val="101010"/>
          <w:sz w:val="27"/>
          <w:szCs w:val="27"/>
        </w:rPr>
        <w:t>lready in 2017, 23 states have made mid-year budget cuts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), as well </w:t>
      </w:r>
      <w:r w:rsidR="00E61624">
        <w:rPr>
          <w:rFonts w:ascii="inherit" w:eastAsia="Times New Roman" w:hAnsi="inherit" w:cs="Times New Roman"/>
          <w:color w:val="101010"/>
          <w:sz w:val="27"/>
          <w:szCs w:val="27"/>
        </w:rPr>
        <w:t>as sluggish revenue growth. But 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he need to divert tax dollars to shoring up pensions and negative revenue surprises this year has certainly played a role in the continued downturn of state spending. </w:t>
      </w:r>
      <w:r w:rsidR="00E61624">
        <w:rPr>
          <w:rFonts w:ascii="inherit" w:eastAsia="Times New Roman" w:hAnsi="inherit" w:cs="Times New Roman"/>
          <w:color w:val="101010"/>
          <w:sz w:val="27"/>
          <w:szCs w:val="27"/>
        </w:rPr>
        <w:t xml:space="preserve">Pension contributions as a share of payroll, for example, have increased by 5.7 percent since 2008. </w:t>
      </w:r>
      <w:bookmarkStart w:id="0" w:name="_GoBack"/>
      <w:bookmarkEnd w:id="0"/>
    </w:p>
    <w:p w14:paraId="1BBF2DE2" w14:textId="1962AA44" w:rsidR="00E61624" w:rsidRPr="00E5212D" w:rsidRDefault="00E61624" w:rsidP="00E5212D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noProof/>
        </w:rPr>
        <w:drawing>
          <wp:inline distT="0" distB="0" distL="0" distR="0" wp14:anchorId="792AB337" wp14:editId="62AA5B29">
            <wp:extent cx="6076950" cy="280098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682B10" w14:textId="77777777" w:rsidR="00BA3AF3" w:rsidRPr="00BA3AF3" w:rsidRDefault="00BA3AF3" w:rsidP="00BA3AF3">
      <w:pPr>
        <w:spacing w:after="133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</w:pPr>
      <w:r w:rsidRPr="00BA3AF3"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  <w:t>RELATED TOPICS</w:t>
      </w:r>
    </w:p>
    <w:p w14:paraId="6E48C420" w14:textId="77777777" w:rsidR="00941737" w:rsidRDefault="00125452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96E07"/>
    <w:rsid w:val="001548D7"/>
    <w:rsid w:val="001815C4"/>
    <w:rsid w:val="00195E64"/>
    <w:rsid w:val="00294305"/>
    <w:rsid w:val="002E0901"/>
    <w:rsid w:val="003400A6"/>
    <w:rsid w:val="003649AC"/>
    <w:rsid w:val="0037674F"/>
    <w:rsid w:val="00431E0D"/>
    <w:rsid w:val="00456756"/>
    <w:rsid w:val="004860DB"/>
    <w:rsid w:val="00492283"/>
    <w:rsid w:val="00522B14"/>
    <w:rsid w:val="005C0D86"/>
    <w:rsid w:val="005D5CC5"/>
    <w:rsid w:val="00662157"/>
    <w:rsid w:val="008F3406"/>
    <w:rsid w:val="00B06D80"/>
    <w:rsid w:val="00B75ECE"/>
    <w:rsid w:val="00BA3AF3"/>
    <w:rsid w:val="00C11279"/>
    <w:rsid w:val="00C13D82"/>
    <w:rsid w:val="00C3624A"/>
    <w:rsid w:val="00C74E22"/>
    <w:rsid w:val="00CE7BC6"/>
    <w:rsid w:val="00E5212D"/>
    <w:rsid w:val="00E61624"/>
    <w:rsid w:val="00F80DE5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chartTrackingRefBased/>
  <w15:docId w15:val="{CC715DB0-0466-44FD-BB3C-D9CD78B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cid:image006.png@01D306F7.9695BA00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pnas01\files_es\users\SBelz\Fiscal%20Barometer%20Copy.xlsm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pnas01\files_es\users\SBelz\Fiscal%20Barometer%20Copy.xlsm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Belz\AppData\Local\Microsoft\Windows\Temporary%20Internet%20Files\Content.Outlook\C00JOKQW\stateandlocalpensioncontribution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State and Local Employment </a:t>
            </a:r>
          </a:p>
        </c:rich>
      </c:tx>
      <c:layout>
        <c:manualLayout>
          <c:xMode val="edge"/>
          <c:yMode val="edge"/>
          <c:x val="1.871296296296296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2.5462962962962962E-2"/>
          <c:y val="0.19275462962962964"/>
          <c:w val="0.94907407407407407"/>
          <c:h val="0.62238425925925922"/>
        </c:manualLayout>
      </c:layout>
      <c:areaChart>
        <c:grouping val="standard"/>
        <c:varyColors val="0"/>
        <c:ser>
          <c:idx val="1"/>
          <c:order val="1"/>
          <c:spPr>
            <a:solidFill>
              <a:schemeClr val="bg1">
                <a:lumMod val="85000"/>
              </a:schemeClr>
            </a:solidFill>
            <a:ln w="0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c:spPr>
          <c:val>
            <c:numRef>
              <c:f>Sheet1!$E$6:$E$75</c:f>
              <c:numCache>
                <c:formatCode>0</c:formatCode>
                <c:ptCount val="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51-419D-AD27-82140F1CE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4129648"/>
        <c:axId val="724130960"/>
      </c:areaChart>
      <c:lineChart>
        <c:grouping val="standar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Total</c:v>
                </c:pt>
              </c:strCache>
            </c:strRef>
          </c:tx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Sheet1!$H$6:$H$75</c:f>
              <c:numCache>
                <c:formatCode>0</c:formatCode>
                <c:ptCount val="70"/>
                <c:pt idx="0">
                  <c:v>17818.333333333336</c:v>
                </c:pt>
                <c:pt idx="1">
                  <c:v>17892.333333333332</c:v>
                </c:pt>
                <c:pt idx="2">
                  <c:v>17961.333333333332</c:v>
                </c:pt>
                <c:pt idx="3">
                  <c:v>18029.666666666664</c:v>
                </c:pt>
                <c:pt idx="4">
                  <c:v>18142</c:v>
                </c:pt>
                <c:pt idx="5">
                  <c:v>18288.333333333332</c:v>
                </c:pt>
                <c:pt idx="6">
                  <c:v>18437.333333333332</c:v>
                </c:pt>
                <c:pt idx="7">
                  <c:v>18561</c:v>
                </c:pt>
                <c:pt idx="8">
                  <c:v>18643.333333333332</c:v>
                </c:pt>
                <c:pt idx="9">
                  <c:v>18738.333333333336</c:v>
                </c:pt>
                <c:pt idx="10">
                  <c:v>18797.333333333332</c:v>
                </c:pt>
                <c:pt idx="11">
                  <c:v>18795.666666666668</c:v>
                </c:pt>
                <c:pt idx="12">
                  <c:v>18830.333333333332</c:v>
                </c:pt>
                <c:pt idx="13">
                  <c:v>18827.666666666668</c:v>
                </c:pt>
                <c:pt idx="14">
                  <c:v>18811</c:v>
                </c:pt>
                <c:pt idx="15">
                  <c:v>18809.666666666668</c:v>
                </c:pt>
                <c:pt idx="16">
                  <c:v>18827.333333333332</c:v>
                </c:pt>
                <c:pt idx="17">
                  <c:v>18872</c:v>
                </c:pt>
                <c:pt idx="18">
                  <c:v>18893.333333333336</c:v>
                </c:pt>
                <c:pt idx="19">
                  <c:v>18954</c:v>
                </c:pt>
                <c:pt idx="20">
                  <c:v>19010.333333333332</c:v>
                </c:pt>
                <c:pt idx="21">
                  <c:v>19035.333333333332</c:v>
                </c:pt>
                <c:pt idx="22">
                  <c:v>19124.666666666668</c:v>
                </c:pt>
                <c:pt idx="23">
                  <c:v>19120</c:v>
                </c:pt>
                <c:pt idx="24">
                  <c:v>19145</c:v>
                </c:pt>
                <c:pt idx="25">
                  <c:v>19188</c:v>
                </c:pt>
                <c:pt idx="26">
                  <c:v>19287</c:v>
                </c:pt>
                <c:pt idx="27">
                  <c:v>19349.666666666668</c:v>
                </c:pt>
                <c:pt idx="28">
                  <c:v>19393.666666666668</c:v>
                </c:pt>
                <c:pt idx="29">
                  <c:v>19460.333333333332</c:v>
                </c:pt>
                <c:pt idx="30">
                  <c:v>19491.333333333336</c:v>
                </c:pt>
                <c:pt idx="31">
                  <c:v>19591</c:v>
                </c:pt>
                <c:pt idx="32">
                  <c:v>19670.333333333332</c:v>
                </c:pt>
                <c:pt idx="33">
                  <c:v>19726.333333333336</c:v>
                </c:pt>
                <c:pt idx="34">
                  <c:v>19790.333333333332</c:v>
                </c:pt>
                <c:pt idx="35">
                  <c:v>19780</c:v>
                </c:pt>
                <c:pt idx="36">
                  <c:v>19779</c:v>
                </c:pt>
                <c:pt idx="37">
                  <c:v>19758</c:v>
                </c:pt>
                <c:pt idx="38">
                  <c:v>19677.333333333332</c:v>
                </c:pt>
                <c:pt idx="39">
                  <c:v>19674.333333333332</c:v>
                </c:pt>
                <c:pt idx="40">
                  <c:v>19610</c:v>
                </c:pt>
                <c:pt idx="41">
                  <c:v>19570.666666666668</c:v>
                </c:pt>
                <c:pt idx="42">
                  <c:v>19457</c:v>
                </c:pt>
                <c:pt idx="43">
                  <c:v>19416</c:v>
                </c:pt>
                <c:pt idx="44">
                  <c:v>19346</c:v>
                </c:pt>
                <c:pt idx="45">
                  <c:v>19292</c:v>
                </c:pt>
                <c:pt idx="46">
                  <c:v>19163.666666666668</c:v>
                </c:pt>
                <c:pt idx="47">
                  <c:v>19131.666666666664</c:v>
                </c:pt>
                <c:pt idx="48">
                  <c:v>19115.666666666664</c:v>
                </c:pt>
                <c:pt idx="49">
                  <c:v>19099.666666666668</c:v>
                </c:pt>
                <c:pt idx="50">
                  <c:v>19099</c:v>
                </c:pt>
                <c:pt idx="51">
                  <c:v>19078</c:v>
                </c:pt>
                <c:pt idx="52">
                  <c:v>19073.333333333332</c:v>
                </c:pt>
                <c:pt idx="53">
                  <c:v>19076</c:v>
                </c:pt>
                <c:pt idx="54">
                  <c:v>19073</c:v>
                </c:pt>
                <c:pt idx="55">
                  <c:v>19092</c:v>
                </c:pt>
                <c:pt idx="56">
                  <c:v>19086.666666666668</c:v>
                </c:pt>
                <c:pt idx="57">
                  <c:v>19142.666666666664</c:v>
                </c:pt>
                <c:pt idx="58">
                  <c:v>19148</c:v>
                </c:pt>
                <c:pt idx="59">
                  <c:v>19192.666666666664</c:v>
                </c:pt>
                <c:pt idx="60">
                  <c:v>19214.333333333332</c:v>
                </c:pt>
                <c:pt idx="61">
                  <c:v>19251.333333333332</c:v>
                </c:pt>
                <c:pt idx="62">
                  <c:v>19294.666666666664</c:v>
                </c:pt>
                <c:pt idx="63">
                  <c:v>19313</c:v>
                </c:pt>
                <c:pt idx="64">
                  <c:v>19360.333333333332</c:v>
                </c:pt>
                <c:pt idx="65">
                  <c:v>19401.666666666668</c:v>
                </c:pt>
                <c:pt idx="66">
                  <c:v>19481.666666666664</c:v>
                </c:pt>
                <c:pt idx="67">
                  <c:v>19484.666666666668</c:v>
                </c:pt>
                <c:pt idx="68">
                  <c:v>19499.666666666664</c:v>
                </c:pt>
                <c:pt idx="69">
                  <c:v>19519.333333333336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51-419D-AD27-82140F1CE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070952"/>
        <c:axId val="836071280"/>
      </c:lineChart>
      <c:catAx>
        <c:axId val="836070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6071280"/>
        <c:crosses val="autoZero"/>
        <c:auto val="1"/>
        <c:lblAlgn val="ctr"/>
        <c:lblOffset val="100"/>
        <c:noMultiLvlLbl val="0"/>
      </c:catAx>
      <c:valAx>
        <c:axId val="83607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6070952"/>
        <c:crossesAt val="1"/>
        <c:crossBetween val="between"/>
      </c:valAx>
      <c:valAx>
        <c:axId val="724130960"/>
        <c:scaling>
          <c:orientation val="minMax"/>
          <c:max val="1"/>
        </c:scaling>
        <c:delete val="0"/>
        <c:axPos val="r"/>
        <c:numFmt formatCode="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24129648"/>
        <c:crosses val="max"/>
        <c:crossBetween val="between"/>
      </c:valAx>
      <c:catAx>
        <c:axId val="724129648"/>
        <c:scaling>
          <c:orientation val="minMax"/>
        </c:scaling>
        <c:delete val="1"/>
        <c:axPos val="b"/>
        <c:majorTickMark val="out"/>
        <c:minorTickMark val="none"/>
        <c:tickLblPos val="nextTo"/>
        <c:crossAx val="7241309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State and Local Government Spending on Structures</a:t>
            </a:r>
          </a:p>
        </c:rich>
      </c:tx>
      <c:layout>
        <c:manualLayout>
          <c:xMode val="edge"/>
          <c:yMode val="edge"/>
          <c:x val="1.8712962962962962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xMode val="edge"/>
          <c:yMode val="edge"/>
          <c:x val="2.5325327121830051E-2"/>
          <c:y val="0.19275462962962964"/>
          <c:w val="0.94934934575633989"/>
          <c:h val="0.62238425925925922"/>
        </c:manualLayout>
      </c:layout>
      <c:areaChart>
        <c:grouping val="standard"/>
        <c:varyColors val="0"/>
        <c:ser>
          <c:idx val="1"/>
          <c:order val="1"/>
          <c:spPr>
            <a:solidFill>
              <a:schemeClr val="bg1">
                <a:lumMod val="85000"/>
              </a:schemeClr>
            </a:solidFill>
            <a:ln w="0" cap="flat" cmpd="sng" algn="ctr">
              <a:noFill/>
              <a:prstDash val="solid"/>
              <a:round/>
              <a:headEnd type="none" w="med" len="med"/>
              <a:tailEnd type="none" w="med" len="med"/>
            </a:ln>
            <a:effectLst/>
          </c:spPr>
          <c:val>
            <c:numRef>
              <c:f>Sheet1!$E$6:$E$75</c:f>
              <c:numCache>
                <c:formatCode>0</c:formatCode>
                <c:ptCount val="7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96-40C1-90EE-9DEF8EF4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42128"/>
        <c:axId val="445741800"/>
      </c:areaChart>
      <c:lineChart>
        <c:grouping val="standard"/>
        <c:varyColors val="0"/>
        <c:ser>
          <c:idx val="0"/>
          <c:order val="0"/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Sheet1!$D$6:$D$75</c:f>
              <c:numCache>
                <c:formatCode>0.0</c:formatCode>
                <c:ptCount val="70"/>
                <c:pt idx="0">
                  <c:v>289.39999999999998</c:v>
                </c:pt>
                <c:pt idx="1">
                  <c:v>280.39999999999998</c:v>
                </c:pt>
                <c:pt idx="2">
                  <c:v>282.89999999999998</c:v>
                </c:pt>
                <c:pt idx="3">
                  <c:v>286.2</c:v>
                </c:pt>
                <c:pt idx="4">
                  <c:v>291.60000000000002</c:v>
                </c:pt>
                <c:pt idx="5">
                  <c:v>314.8</c:v>
                </c:pt>
                <c:pt idx="6">
                  <c:v>287</c:v>
                </c:pt>
                <c:pt idx="7">
                  <c:v>309.7</c:v>
                </c:pt>
                <c:pt idx="8">
                  <c:v>314.8</c:v>
                </c:pt>
                <c:pt idx="9">
                  <c:v>310</c:v>
                </c:pt>
                <c:pt idx="10">
                  <c:v>311.8</c:v>
                </c:pt>
                <c:pt idx="11">
                  <c:v>316.10000000000002</c:v>
                </c:pt>
                <c:pt idx="12">
                  <c:v>312.5</c:v>
                </c:pt>
                <c:pt idx="13">
                  <c:v>309.10000000000002</c:v>
                </c:pt>
                <c:pt idx="14">
                  <c:v>319.5</c:v>
                </c:pt>
                <c:pt idx="15">
                  <c:v>314.39999999999998</c:v>
                </c:pt>
                <c:pt idx="16">
                  <c:v>312.60000000000002</c:v>
                </c:pt>
                <c:pt idx="17">
                  <c:v>315.5</c:v>
                </c:pt>
                <c:pt idx="18">
                  <c:v>306</c:v>
                </c:pt>
                <c:pt idx="19">
                  <c:v>298</c:v>
                </c:pt>
                <c:pt idx="20">
                  <c:v>295.89999999999998</c:v>
                </c:pt>
                <c:pt idx="21">
                  <c:v>296.8</c:v>
                </c:pt>
                <c:pt idx="22">
                  <c:v>293.7</c:v>
                </c:pt>
                <c:pt idx="23">
                  <c:v>298.39999999999998</c:v>
                </c:pt>
                <c:pt idx="24">
                  <c:v>294.89999999999998</c:v>
                </c:pt>
                <c:pt idx="25">
                  <c:v>302.2</c:v>
                </c:pt>
                <c:pt idx="26">
                  <c:v>298.10000000000002</c:v>
                </c:pt>
                <c:pt idx="27">
                  <c:v>290.60000000000002</c:v>
                </c:pt>
                <c:pt idx="28">
                  <c:v>292.89999999999998</c:v>
                </c:pt>
                <c:pt idx="29">
                  <c:v>293.39999999999998</c:v>
                </c:pt>
                <c:pt idx="30">
                  <c:v>291.89999999999998</c:v>
                </c:pt>
                <c:pt idx="31">
                  <c:v>292.10000000000002</c:v>
                </c:pt>
                <c:pt idx="32">
                  <c:v>290.10000000000002</c:v>
                </c:pt>
                <c:pt idx="33">
                  <c:v>294</c:v>
                </c:pt>
                <c:pt idx="34">
                  <c:v>294.2</c:v>
                </c:pt>
                <c:pt idx="35">
                  <c:v>289.2</c:v>
                </c:pt>
                <c:pt idx="36">
                  <c:v>288.7</c:v>
                </c:pt>
                <c:pt idx="37">
                  <c:v>294.7</c:v>
                </c:pt>
                <c:pt idx="38">
                  <c:v>293.3</c:v>
                </c:pt>
                <c:pt idx="39">
                  <c:v>282.39999999999998</c:v>
                </c:pt>
                <c:pt idx="40">
                  <c:v>273.60000000000002</c:v>
                </c:pt>
                <c:pt idx="41">
                  <c:v>284.2</c:v>
                </c:pt>
                <c:pt idx="42">
                  <c:v>285.60000000000002</c:v>
                </c:pt>
                <c:pt idx="43">
                  <c:v>274.5</c:v>
                </c:pt>
                <c:pt idx="44">
                  <c:v>265.7</c:v>
                </c:pt>
                <c:pt idx="45">
                  <c:v>261.39999999999998</c:v>
                </c:pt>
                <c:pt idx="46">
                  <c:v>258.60000000000002</c:v>
                </c:pt>
                <c:pt idx="47">
                  <c:v>257.89999999999998</c:v>
                </c:pt>
                <c:pt idx="48">
                  <c:v>248.9</c:v>
                </c:pt>
                <c:pt idx="49">
                  <c:v>246.1</c:v>
                </c:pt>
                <c:pt idx="50">
                  <c:v>238.5</c:v>
                </c:pt>
                <c:pt idx="51">
                  <c:v>230.3</c:v>
                </c:pt>
                <c:pt idx="52">
                  <c:v>228.3</c:v>
                </c:pt>
                <c:pt idx="53">
                  <c:v>228.8</c:v>
                </c:pt>
                <c:pt idx="54">
                  <c:v>228.8</c:v>
                </c:pt>
                <c:pt idx="55">
                  <c:v>225.7</c:v>
                </c:pt>
                <c:pt idx="56">
                  <c:v>222.8</c:v>
                </c:pt>
                <c:pt idx="57">
                  <c:v>227.6</c:v>
                </c:pt>
                <c:pt idx="58">
                  <c:v>228.3</c:v>
                </c:pt>
                <c:pt idx="59">
                  <c:v>229.9</c:v>
                </c:pt>
                <c:pt idx="60">
                  <c:v>228.4</c:v>
                </c:pt>
                <c:pt idx="61">
                  <c:v>239.2</c:v>
                </c:pt>
                <c:pt idx="62">
                  <c:v>239.8</c:v>
                </c:pt>
                <c:pt idx="63">
                  <c:v>229.9</c:v>
                </c:pt>
                <c:pt idx="64">
                  <c:v>239.5</c:v>
                </c:pt>
                <c:pt idx="65">
                  <c:v>229.4</c:v>
                </c:pt>
                <c:pt idx="66">
                  <c:v>222.2</c:v>
                </c:pt>
                <c:pt idx="67">
                  <c:v>224.7</c:v>
                </c:pt>
                <c:pt idx="68">
                  <c:v>223.4</c:v>
                </c:pt>
                <c:pt idx="69">
                  <c:v>218.8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96-40C1-90EE-9DEF8EF4B06F}"/>
            </c:ext>
          </c:extLst>
        </c:ser>
        <c:ser>
          <c:idx val="2"/>
          <c:order val="2"/>
          <c:spPr>
            <a:ln w="38100" cap="rnd" cmpd="sng" algn="ctr">
              <a:solidFill>
                <a:srgbClr val="999999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Sheet1!$J$4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96-40C1-90EE-9DEF8EF4B06F}"/>
            </c:ext>
          </c:extLst>
        </c:ser>
        <c:ser>
          <c:idx val="3"/>
          <c:order val="3"/>
          <c:spPr>
            <a:ln w="38100" cap="rnd" cmpd="sng" algn="ctr">
              <a:solidFill>
                <a:srgbClr val="000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strRef>
              <c:f>Sheet1!$A$6:$A$75</c:f>
              <c:strCache>
                <c:ptCount val="70"/>
                <c:pt idx="0">
                  <c:v>2000:Q1</c:v>
                </c:pt>
                <c:pt idx="1">
                  <c:v>2000:Q2</c:v>
                </c:pt>
                <c:pt idx="2">
                  <c:v>2000:Q3</c:v>
                </c:pt>
                <c:pt idx="3">
                  <c:v>2000:Q4</c:v>
                </c:pt>
                <c:pt idx="4">
                  <c:v>2001:Q1</c:v>
                </c:pt>
                <c:pt idx="5">
                  <c:v>2001:Q2</c:v>
                </c:pt>
                <c:pt idx="6">
                  <c:v>2001:Q3</c:v>
                </c:pt>
                <c:pt idx="7">
                  <c:v>2001:Q4</c:v>
                </c:pt>
                <c:pt idx="8">
                  <c:v>2002:Q1</c:v>
                </c:pt>
                <c:pt idx="9">
                  <c:v>2002:Q2</c:v>
                </c:pt>
                <c:pt idx="10">
                  <c:v>2002:Q3</c:v>
                </c:pt>
                <c:pt idx="11">
                  <c:v>2002:Q4</c:v>
                </c:pt>
                <c:pt idx="12">
                  <c:v>2003:Q1</c:v>
                </c:pt>
                <c:pt idx="13">
                  <c:v>2003:Q2</c:v>
                </c:pt>
                <c:pt idx="14">
                  <c:v>2003:Q3</c:v>
                </c:pt>
                <c:pt idx="15">
                  <c:v>2003:Q4</c:v>
                </c:pt>
                <c:pt idx="16">
                  <c:v>2004:Q1</c:v>
                </c:pt>
                <c:pt idx="17">
                  <c:v>2004:Q2</c:v>
                </c:pt>
                <c:pt idx="18">
                  <c:v>2004:Q3</c:v>
                </c:pt>
                <c:pt idx="19">
                  <c:v>2004:Q4</c:v>
                </c:pt>
                <c:pt idx="20">
                  <c:v>2005:Q1</c:v>
                </c:pt>
                <c:pt idx="21">
                  <c:v>2005:Q2</c:v>
                </c:pt>
                <c:pt idx="22">
                  <c:v>2005:Q3</c:v>
                </c:pt>
                <c:pt idx="23">
                  <c:v>2005:Q4</c:v>
                </c:pt>
                <c:pt idx="24">
                  <c:v>2006:Q1</c:v>
                </c:pt>
                <c:pt idx="25">
                  <c:v>2006:Q2</c:v>
                </c:pt>
                <c:pt idx="26">
                  <c:v>2006:Q3</c:v>
                </c:pt>
                <c:pt idx="27">
                  <c:v>2006:Q4</c:v>
                </c:pt>
                <c:pt idx="28">
                  <c:v>2007:Q1</c:v>
                </c:pt>
                <c:pt idx="29">
                  <c:v>2007:Q2</c:v>
                </c:pt>
                <c:pt idx="30">
                  <c:v>2007:Q3</c:v>
                </c:pt>
                <c:pt idx="31">
                  <c:v>2007:Q4</c:v>
                </c:pt>
                <c:pt idx="32">
                  <c:v>2008:Q1</c:v>
                </c:pt>
                <c:pt idx="33">
                  <c:v>2008:Q2</c:v>
                </c:pt>
                <c:pt idx="34">
                  <c:v>2008:Q3</c:v>
                </c:pt>
                <c:pt idx="35">
                  <c:v>2008:Q4</c:v>
                </c:pt>
                <c:pt idx="36">
                  <c:v>2009:Q1</c:v>
                </c:pt>
                <c:pt idx="37">
                  <c:v>2009:Q2</c:v>
                </c:pt>
                <c:pt idx="38">
                  <c:v>2009:Q3</c:v>
                </c:pt>
                <c:pt idx="39">
                  <c:v>2009:Q4</c:v>
                </c:pt>
                <c:pt idx="40">
                  <c:v>2010:Q1</c:v>
                </c:pt>
                <c:pt idx="41">
                  <c:v>2010:Q2</c:v>
                </c:pt>
                <c:pt idx="42">
                  <c:v>2010:Q3</c:v>
                </c:pt>
                <c:pt idx="43">
                  <c:v>2010:Q4</c:v>
                </c:pt>
                <c:pt idx="44">
                  <c:v>2011:Q1</c:v>
                </c:pt>
                <c:pt idx="45">
                  <c:v>2011:Q2</c:v>
                </c:pt>
                <c:pt idx="46">
                  <c:v>2011:Q3</c:v>
                </c:pt>
                <c:pt idx="47">
                  <c:v>2011:Q4</c:v>
                </c:pt>
                <c:pt idx="48">
                  <c:v>2012:Q1</c:v>
                </c:pt>
                <c:pt idx="49">
                  <c:v>2012:Q2</c:v>
                </c:pt>
                <c:pt idx="50">
                  <c:v>2012:Q3</c:v>
                </c:pt>
                <c:pt idx="51">
                  <c:v>2012:Q4</c:v>
                </c:pt>
                <c:pt idx="52">
                  <c:v>2013:Q1</c:v>
                </c:pt>
                <c:pt idx="53">
                  <c:v>2013:Q2</c:v>
                </c:pt>
                <c:pt idx="54">
                  <c:v>2013:Q3</c:v>
                </c:pt>
                <c:pt idx="55">
                  <c:v>2013:Q4</c:v>
                </c:pt>
                <c:pt idx="56">
                  <c:v>2014:Q1</c:v>
                </c:pt>
                <c:pt idx="57">
                  <c:v>2014:Q2</c:v>
                </c:pt>
                <c:pt idx="58">
                  <c:v>2014:Q3</c:v>
                </c:pt>
                <c:pt idx="59">
                  <c:v>2014:Q4</c:v>
                </c:pt>
                <c:pt idx="60">
                  <c:v>2015:Q1</c:v>
                </c:pt>
                <c:pt idx="61">
                  <c:v>2015:Q2</c:v>
                </c:pt>
                <c:pt idx="62">
                  <c:v>2015:Q3</c:v>
                </c:pt>
                <c:pt idx="63">
                  <c:v>2015:Q4</c:v>
                </c:pt>
                <c:pt idx="64">
                  <c:v>2016:Q1</c:v>
                </c:pt>
                <c:pt idx="65">
                  <c:v>2016:Q2</c:v>
                </c:pt>
                <c:pt idx="66">
                  <c:v>2016:Q3</c:v>
                </c:pt>
                <c:pt idx="67">
                  <c:v>2016:Q4</c:v>
                </c:pt>
                <c:pt idx="68">
                  <c:v>2017:Q1</c:v>
                </c:pt>
                <c:pt idx="69">
                  <c:v>2017:Q2</c:v>
                </c:pt>
              </c:strCache>
            </c:strRef>
          </c:cat>
          <c:val>
            <c:numRef>
              <c:f>Sheet1!$J$4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96-40C1-90EE-9DEF8EF4B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2836888"/>
        <c:axId val="832855912"/>
      </c:lineChart>
      <c:dateAx>
        <c:axId val="832836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2855912"/>
        <c:crosses val="autoZero"/>
        <c:auto val="0"/>
        <c:lblOffset val="100"/>
        <c:baseTimeUnit val="days"/>
        <c:majorUnit val="4"/>
      </c:dateAx>
      <c:valAx>
        <c:axId val="832855912"/>
        <c:scaling>
          <c:orientation val="minMax"/>
          <c:min val="210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32836888"/>
        <c:crossesAt val="1"/>
        <c:crossBetween val="between"/>
      </c:valAx>
      <c:valAx>
        <c:axId val="445741800"/>
        <c:scaling>
          <c:orientation val="minMax"/>
          <c:max val="1"/>
        </c:scaling>
        <c:delete val="0"/>
        <c:axPos val="r"/>
        <c:numFmt formatCode="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5742128"/>
        <c:crosses val="max"/>
        <c:crossBetween val="between"/>
        <c:minorUnit val="1"/>
      </c:valAx>
      <c:dateAx>
        <c:axId val="445742128"/>
        <c:scaling>
          <c:orientation val="minMax"/>
        </c:scaling>
        <c:delete val="1"/>
        <c:axPos val="b"/>
        <c:majorTickMark val="out"/>
        <c:minorTickMark val="none"/>
        <c:tickLblPos val="nextTo"/>
        <c:crossAx val="445741800"/>
        <c:crosses val="autoZero"/>
        <c:auto val="0"/>
        <c:lblOffset val="100"/>
        <c:baseTimeUnit val="days"/>
      </c:date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/>
                <a:ea typeface="Georgia"/>
                <a:cs typeface="Georgia"/>
              </a:defRPr>
            </a:pPr>
            <a:r>
              <a:rPr lang="en-US"/>
              <a:t>Pension Contributions of  state and local governments, share of payroll</a:t>
            </a:r>
          </a:p>
        </c:rich>
      </c:tx>
      <c:layout>
        <c:manualLayout>
          <c:xMode val="edge"/>
          <c:yMode val="edge"/>
          <c:x val="1.5833816618277218E-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Georgia"/>
              <a:ea typeface="Georgia"/>
              <a:cs typeface="Georgia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2715097354361593E-2"/>
          <c:y val="0.21377473095559552"/>
          <c:w val="0.77308182271608572"/>
          <c:h val="0.51778560307349453"/>
        </c:manualLayout>
      </c:layout>
      <c:lineChart>
        <c:grouping val="standard"/>
        <c:varyColors val="0"/>
        <c:ser>
          <c:idx val="0"/>
          <c:order val="0"/>
          <c:spPr>
            <a:ln w="38100" cap="rnd" cmpd="sng" algn="ctr">
              <a:solidFill>
                <a:srgbClr val="1F497D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[1]Sheet4!$A$3:$A$18</c:f>
              <c:numCache>
                <c:formatCode>General</c:formatCode>
                <c:ptCount val="16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</c:numCache>
            </c:numRef>
          </c:cat>
          <c:val>
            <c:numRef>
              <c:f>[1]Sheet4!$D$3:$D$18</c:f>
              <c:numCache>
                <c:formatCode>General</c:formatCode>
                <c:ptCount val="16"/>
                <c:pt idx="0">
                  <c:v>4.9980000000000002</c:v>
                </c:pt>
                <c:pt idx="1">
                  <c:v>4.6992000000000003</c:v>
                </c:pt>
                <c:pt idx="2">
                  <c:v>5.7013999999999996</c:v>
                </c:pt>
                <c:pt idx="3">
                  <c:v>6.6974999999999998</c:v>
                </c:pt>
                <c:pt idx="4">
                  <c:v>8.0959999999999983</c:v>
                </c:pt>
                <c:pt idx="5">
                  <c:v>8.6038999999999994</c:v>
                </c:pt>
                <c:pt idx="6">
                  <c:v>9.5991999999999997</c:v>
                </c:pt>
                <c:pt idx="7">
                  <c:v>9.799100000000001</c:v>
                </c:pt>
                <c:pt idx="8">
                  <c:v>9.6012000000000004</c:v>
                </c:pt>
                <c:pt idx="9">
                  <c:v>9.8057999999999996</c:v>
                </c:pt>
                <c:pt idx="10">
                  <c:v>11.300699999999999</c:v>
                </c:pt>
                <c:pt idx="11">
                  <c:v>11.995200000000001</c:v>
                </c:pt>
                <c:pt idx="12">
                  <c:v>13.0045</c:v>
                </c:pt>
                <c:pt idx="13">
                  <c:v>14.2074</c:v>
                </c:pt>
                <c:pt idx="14">
                  <c:v>15.196499999999999</c:v>
                </c:pt>
                <c:pt idx="15">
                  <c:v>15.592499999999999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5-4C6F-B392-758C170D0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7912616"/>
        <c:axId val="627913928"/>
      </c:lineChart>
      <c:catAx>
        <c:axId val="627912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27913928"/>
        <c:crosses val="autoZero"/>
        <c:auto val="1"/>
        <c:lblAlgn val="ctr"/>
        <c:lblOffset val="100"/>
        <c:noMultiLvlLbl val="0"/>
      </c:catAx>
      <c:valAx>
        <c:axId val="62791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0000">
                  <a:lumMod val="100000"/>
                  <a:alpha val="30000"/>
                </a:srgbClr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2791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>
        <a:lumMod val="100000"/>
      </a:sysClr>
    </a:solidFill>
    <a:ln w="9525" cap="flat" cmpd="sng" algn="ctr">
      <a:noFill/>
      <a:round/>
    </a:ln>
    <a:effectLst/>
    <a:extLst>
      <a:ext uri="{91240B29-F687-4F45-9708-019B960494DF}">
        <a14:hiddenLine xmlns:a14="http://schemas.microsoft.com/office/drawing/2010/main" w="9525" cap="flat" cmpd="sng" algn="ctr">
          <a:solidFill>
            <a:sysClr val="windowText" lastClr="000000">
              <a:lumMod val="15000"/>
              <a:lumOff val="85000"/>
            </a:sysClr>
          </a:solidFill>
          <a:round/>
        </a14:hiddenLine>
      </a:ext>
    </a:extLst>
  </c:spPr>
  <c:txPr>
    <a:bodyPr/>
    <a:lstStyle/>
    <a:p>
      <a:pPr>
        <a:defRPr sz="9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_rels/drawing3.xml.rels><?xml version="1.0" encoding="UTF-8" standalone="yes"?>
<Relationships xmlns="http://schemas.openxmlformats.org/package/2006/relationships"><Relationship Id="rId2" Type="http://schemas.openxmlformats.org/officeDocument/2006/relationships/image" Target="file:///N:\Hutchins\Communications\Chart%20Templates\HutchinsLogo.png" TargetMode="External"/><Relationship Id="rId1" Type="http://schemas.openxmlformats.org/officeDocument/2006/relationships/image" Target="file:///N:\Hutchins\Communications\Chart%20Templates\BrookingsLogo.png" TargetMode="External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Quarterly, thousands of</a:t>
          </a:r>
          <a:r>
            <a:rPr lang="en-US" sz="900" baseline="0">
              <a:latin typeface="Arial" panose="020B0604020202020204" pitchFamily="34" charset="0"/>
            </a:rPr>
            <a:t> jobs</a:t>
          </a:r>
        </a:p>
        <a:p xmlns:a="http://schemas.openxmlformats.org/drawingml/2006/main"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BLS; seasonally adjusted</a:t>
          </a:r>
        </a:p>
        <a:p xmlns:a="http://schemas.openxmlformats.org/drawingml/2006/main"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0.69901</cdr:x>
      <cdr:y>0.91374</cdr:y>
    </cdr:from>
    <cdr:to>
      <cdr:x>0.93281</cdr:x>
      <cdr:y>0.9693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35066" y="2506579"/>
          <a:ext cx="1282700" cy="1524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0.94444</cdr:x>
      <cdr:y>0.87959</cdr:y>
    </cdr:from>
    <cdr:to>
      <cdr:x>0.97917</cdr:x>
      <cdr:y>0.96755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1600" y="2412887"/>
          <a:ext cx="190500" cy="24130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Billions of Chained 2009 Dollars,  Annual Rate</a:t>
          </a: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BEA</a:t>
          </a:r>
        </a:p>
      </cdr:txBody>
    </cdr:sp>
  </cdr:relSizeAnchor>
  <cdr:relSizeAnchor xmlns:cdr="http://schemas.openxmlformats.org/drawingml/2006/chartDrawing">
    <cdr:from>
      <cdr:x>0.69901</cdr:x>
      <cdr:y>0.91374</cdr:y>
    </cdr:from>
    <cdr:to>
      <cdr:x>0.93281</cdr:x>
      <cdr:y>0.9693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35066" y="2506579"/>
          <a:ext cx="1282700" cy="1524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0.94444</cdr:x>
      <cdr:y>0.87959</cdr:y>
    </cdr:from>
    <cdr:to>
      <cdr:x>0.97917</cdr:x>
      <cdr:y>0.96755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1600" y="2412887"/>
          <a:ext cx="190500" cy="2413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0.00995</cdr:x>
      <cdr:y>0.08796</cdr:y>
    </cdr:from>
    <cdr:to>
      <cdr:x>0.47292</cdr:x>
      <cdr:y>0.18056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4610" y="2413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Percent</a:t>
          </a:r>
        </a:p>
      </cdr:txBody>
    </cdr:sp>
  </cdr:relSizeAnchor>
  <cdr:relSizeAnchor xmlns:cdr="http://schemas.openxmlformats.org/drawingml/2006/chartDrawing">
    <cdr:from>
      <cdr:x>0.00995</cdr:x>
      <cdr:y>0.90741</cdr:y>
    </cdr:from>
    <cdr:to>
      <cdr:x>0.47292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4610" y="2489200"/>
          <a:ext cx="2540000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sz="900">
              <a:latin typeface="Arial" panose="020B0604020202020204" pitchFamily="34" charset="0"/>
            </a:rPr>
            <a:t>Source: Public</a:t>
          </a:r>
          <a:r>
            <a:rPr lang="en-US" sz="900" baseline="0">
              <a:latin typeface="Arial" panose="020B0604020202020204" pitchFamily="34" charset="0"/>
            </a:rPr>
            <a:t> Plans National Data</a:t>
          </a:r>
          <a:endParaRPr lang="en-US" sz="9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0.61219</cdr:x>
      <cdr:y>0.89436</cdr:y>
    </cdr:from>
    <cdr:to>
      <cdr:x>0.84599</cdr:x>
      <cdr:y>0.9489</cdr:y>
    </cdr:to>
    <cdr:pic>
      <cdr:nvPicPr>
        <cdr:cNvPr id="4" name="Picture 3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761055" y="2505075"/>
          <a:ext cx="1436380" cy="15277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0.85917</cdr:x>
      <cdr:y>0.85919</cdr:y>
    </cdr:from>
    <cdr:to>
      <cdr:x>0.8939</cdr:x>
      <cdr:y>0.94715</cdr:y>
    </cdr:to>
    <cdr:pic>
      <cdr:nvPicPr>
        <cdr:cNvPr id="5" name="Picture 4"/>
        <cdr:cNvPicPr>
          <a:picLocks xmlns:a="http://schemas.openxmlformats.org/drawingml/2006/main"/>
        </cdr:cNvPicPr>
      </cdr:nvPicPr>
      <cdr:blipFill>
        <a:blip xmlns:a="http://schemas.openxmlformats.org/drawingml/2006/main" xmlns:r="http://schemas.openxmlformats.org/officeDocument/2006/relationships" r:link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278410" y="2406568"/>
          <a:ext cx="213368" cy="2463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815CD-5293-4DDE-AD75-37D2880F0D3F}"/>
</file>

<file path=customXml/itemProps2.xml><?xml version="1.0" encoding="utf-8"?>
<ds:datastoreItem xmlns:ds="http://schemas.openxmlformats.org/officeDocument/2006/customXml" ds:itemID="{1DDFAB48-52D3-456E-B298-4F79D4C06964}"/>
</file>

<file path=customXml/itemProps3.xml><?xml version="1.0" encoding="utf-8"?>
<ds:datastoreItem xmlns:ds="http://schemas.openxmlformats.org/officeDocument/2006/customXml" ds:itemID="{AD1CDD77-B96A-4C1E-B046-9CEC2E1A90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2017-07-28T15:59:00Z</dcterms:created>
  <dcterms:modified xsi:type="dcterms:W3CDTF">2017-07-28T15:59:00Z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