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301CAB4B"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ins w:id="0" w:author="Sage Belz" w:date="2018-09-27T08:58:00Z">
        <w:r w:rsidR="0026067B">
          <w:rPr>
            <w:rFonts w:asciiTheme="majorHAnsi" w:eastAsia="Times New Roman" w:hAnsiTheme="majorHAnsi" w:cs="Arial"/>
            <w:b/>
            <w:bCs/>
            <w:color w:val="101010"/>
            <w:sz w:val="24"/>
            <w:szCs w:val="24"/>
            <w:bdr w:val="none" w:sz="0" w:space="0" w:color="auto" w:frame="1"/>
          </w:rPr>
          <w:t>9</w:t>
        </w:r>
      </w:ins>
      <w:del w:id="1" w:author="Sage Belz" w:date="2018-09-27T08:58:00Z">
        <w:r w:rsidR="002719F6" w:rsidDel="0026067B">
          <w:rPr>
            <w:rFonts w:asciiTheme="majorHAnsi" w:eastAsia="Times New Roman" w:hAnsiTheme="majorHAnsi" w:cs="Arial"/>
            <w:b/>
            <w:bCs/>
            <w:color w:val="101010"/>
            <w:sz w:val="24"/>
            <w:szCs w:val="24"/>
            <w:bdr w:val="none" w:sz="0" w:space="0" w:color="auto" w:frame="1"/>
          </w:rPr>
          <w:delText>8</w:delText>
        </w:r>
      </w:del>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ins w:id="2" w:author="Sage Belz" w:date="2018-09-27T08:58:00Z">
        <w:r w:rsidR="0026067B">
          <w:rPr>
            <w:rFonts w:asciiTheme="majorHAnsi" w:eastAsia="Times New Roman" w:hAnsiTheme="majorHAnsi" w:cs="Arial"/>
            <w:b/>
            <w:bCs/>
            <w:color w:val="101010"/>
            <w:sz w:val="24"/>
            <w:szCs w:val="24"/>
            <w:bdr w:val="none" w:sz="0" w:space="0" w:color="auto" w:frame="1"/>
          </w:rPr>
          <w:t>7</w:t>
        </w:r>
      </w:ins>
      <w:del w:id="3" w:author="Sage Belz" w:date="2018-09-27T08:58:00Z">
        <w:r w:rsidR="002719F6" w:rsidDel="0026067B">
          <w:rPr>
            <w:rFonts w:asciiTheme="majorHAnsi" w:eastAsia="Times New Roman" w:hAnsiTheme="majorHAnsi" w:cs="Arial"/>
            <w:b/>
            <w:bCs/>
            <w:color w:val="101010"/>
            <w:sz w:val="24"/>
            <w:szCs w:val="24"/>
            <w:bdr w:val="none" w:sz="0" w:space="0" w:color="auto" w:frame="1"/>
          </w:rPr>
          <w:delText>9</w:delText>
        </w:r>
      </w:del>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5F004D8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r w:rsidR="002719F6">
        <w:rPr>
          <w:rFonts w:asciiTheme="majorHAnsi" w:eastAsia="Times New Roman" w:hAnsiTheme="majorHAnsi" w:cs="Arial"/>
          <w:color w:val="101010"/>
          <w:sz w:val="24"/>
          <w:szCs w:val="24"/>
        </w:rPr>
        <w:t>7</w:t>
      </w:r>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r w:rsidR="002719F6">
        <w:rPr>
          <w:rFonts w:asciiTheme="majorHAnsi" w:eastAsia="Times New Roman" w:hAnsiTheme="majorHAnsi" w:cs="Arial"/>
          <w:color w:val="101010"/>
          <w:sz w:val="24"/>
          <w:szCs w:val="24"/>
        </w:rPr>
        <w:t>2</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29AC0B24"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77CE1BCC"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ederal spending increased at an annual rate of 3</w:t>
      </w:r>
      <w:ins w:id="4" w:author="Sage Belz" w:date="2018-09-27T09:01:00Z">
        <w:r w:rsidR="0026067B">
          <w:rPr>
            <w:rFonts w:asciiTheme="majorHAnsi" w:eastAsia="Times New Roman" w:hAnsiTheme="majorHAnsi" w:cs="Arial"/>
            <w:color w:val="101010"/>
            <w:sz w:val="24"/>
            <w:szCs w:val="24"/>
          </w:rPr>
          <w:t>.7</w:t>
        </w:r>
      </w:ins>
      <w:del w:id="5" w:author="Sage Belz" w:date="2018-09-27T09:01:00Z">
        <w:r w:rsidR="00792790" w:rsidDel="0026067B">
          <w:rPr>
            <w:rFonts w:asciiTheme="majorHAnsi" w:eastAsia="Times New Roman" w:hAnsiTheme="majorHAnsi" w:cs="Arial"/>
            <w:color w:val="101010"/>
            <w:sz w:val="24"/>
            <w:szCs w:val="24"/>
          </w:rPr>
          <w:delText>½</w:delText>
        </w:r>
      </w:del>
      <w:r w:rsidR="00792790">
        <w:rPr>
          <w:rFonts w:asciiTheme="majorHAnsi" w:eastAsia="Times New Roman" w:hAnsiTheme="majorHAnsi" w:cs="Arial"/>
          <w:color w:val="101010"/>
          <w:sz w:val="24"/>
          <w:szCs w:val="24"/>
        </w:rPr>
        <w:t xml:space="preserve">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w:t>
      </w:r>
      <w:ins w:id="6" w:author="Sage Belz" w:date="2018-09-27T09:01:00Z">
        <w:r w:rsidR="0026067B">
          <w:rPr>
            <w:rFonts w:asciiTheme="majorHAnsi" w:eastAsia="Times New Roman" w:hAnsiTheme="majorHAnsi" w:cs="Arial"/>
            <w:color w:val="101010"/>
            <w:sz w:val="24"/>
            <w:szCs w:val="24"/>
          </w:rPr>
          <w:t>2</w:t>
        </w:r>
      </w:ins>
      <w:del w:id="7" w:author="Sage Belz" w:date="2018-09-27T09:01:00Z">
        <w:r w:rsidR="004C0D7D" w:rsidDel="0026067B">
          <w:rPr>
            <w:rFonts w:asciiTheme="majorHAnsi" w:eastAsia="Times New Roman" w:hAnsiTheme="majorHAnsi" w:cs="Arial"/>
            <w:color w:val="101010"/>
            <w:sz w:val="24"/>
            <w:szCs w:val="24"/>
          </w:rPr>
          <w:delText>1½</w:delText>
        </w:r>
      </w:del>
      <w:r w:rsidR="004C0D7D">
        <w:rPr>
          <w:rFonts w:asciiTheme="majorHAnsi" w:eastAsia="Times New Roman" w:hAnsiTheme="majorHAnsi" w:cs="Arial"/>
          <w:color w:val="101010"/>
          <w:sz w:val="24"/>
          <w:szCs w:val="24"/>
        </w:rPr>
        <w:t xml:space="preserve"> percent in the second quarter,</w:t>
      </w:r>
      <w:del w:id="8" w:author="Sage Belz" w:date="2018-09-27T10:39:00Z">
        <w:r w:rsidR="004C0D7D" w:rsidDel="00475758">
          <w:rPr>
            <w:rFonts w:asciiTheme="majorHAnsi" w:eastAsia="Times New Roman" w:hAnsiTheme="majorHAnsi" w:cs="Arial"/>
            <w:color w:val="101010"/>
            <w:sz w:val="24"/>
            <w:szCs w:val="24"/>
          </w:rPr>
          <w:delText xml:space="preserve"> continuing the pattern of </w:delText>
        </w:r>
        <w:commentRangeStart w:id="9"/>
        <w:r w:rsidR="004C0D7D" w:rsidDel="00475758">
          <w:rPr>
            <w:rFonts w:asciiTheme="majorHAnsi" w:eastAsia="Times New Roman" w:hAnsiTheme="majorHAnsi" w:cs="Arial"/>
            <w:color w:val="101010"/>
            <w:sz w:val="24"/>
            <w:szCs w:val="24"/>
          </w:rPr>
          <w:delText xml:space="preserve">sluggish </w:delText>
        </w:r>
        <w:commentRangeEnd w:id="9"/>
        <w:r w:rsidR="0026067B" w:rsidDel="00475758">
          <w:rPr>
            <w:rStyle w:val="CommentReference"/>
          </w:rPr>
          <w:commentReference w:id="9"/>
        </w:r>
        <w:r w:rsidR="004C0D7D" w:rsidDel="00475758">
          <w:rPr>
            <w:rFonts w:asciiTheme="majorHAnsi" w:eastAsia="Times New Roman" w:hAnsiTheme="majorHAnsi" w:cs="Arial"/>
            <w:color w:val="101010"/>
            <w:sz w:val="24"/>
            <w:szCs w:val="24"/>
          </w:rPr>
          <w:delText>grown observed in recent years</w:delText>
        </w:r>
      </w:del>
      <w:r w:rsidR="004C0D7D">
        <w:rPr>
          <w:rFonts w:asciiTheme="majorHAnsi" w:eastAsia="Times New Roman" w:hAnsiTheme="majorHAnsi" w:cs="Arial"/>
          <w:color w:val="101010"/>
          <w:sz w:val="24"/>
          <w:szCs w:val="24"/>
        </w:rPr>
        <w:t xml:space="preserve">.  </w:t>
      </w:r>
      <w:r w:rsidR="00792790">
        <w:rPr>
          <w:rFonts w:asciiTheme="majorHAnsi" w:eastAsia="Times New Roman" w:hAnsiTheme="majorHAnsi" w:cs="Arial"/>
          <w:color w:val="101010"/>
          <w:sz w:val="24"/>
          <w:szCs w:val="24"/>
        </w:rPr>
        <w:t>Real state and local construction has grown by less than 5 percent si</w:t>
      </w:r>
      <w:bookmarkStart w:id="10" w:name="_GoBack"/>
      <w:bookmarkEnd w:id="10"/>
      <w:r w:rsidR="00792790">
        <w:rPr>
          <w:rFonts w:asciiTheme="majorHAnsi" w:eastAsia="Times New Roman" w:hAnsiTheme="majorHAnsi" w:cs="Arial"/>
          <w:color w:val="101010"/>
          <w:sz w:val="24"/>
          <w:szCs w:val="24"/>
        </w:rPr>
        <w:t>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w:t>
      </w:r>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age Belz" w:date="2018-09-27T09:03:00Z" w:initials="SB">
    <w:p w14:paraId="23990C54" w14:textId="4227965E" w:rsidR="0026067B" w:rsidRDefault="0026067B">
      <w:pPr>
        <w:pStyle w:val="CommentText"/>
      </w:pPr>
      <w:r>
        <w:rPr>
          <w:rStyle w:val="CommentReference"/>
        </w:rPr>
        <w:annotationRef/>
      </w:r>
      <w:r>
        <w:rPr>
          <w:rStyle w:val="CommentReference"/>
        </w:rPr>
        <w:t>Would we say 2 percent is sluggish? Maybe modest?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990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6067B"/>
    <w:rsid w:val="002719F6"/>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758"/>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138EE4-2AB7-4BCA-ACB7-005233B399D5}">
  <ds:schemaRefs>
    <ds:schemaRef ds:uri="http://schemas.openxmlformats.org/officeDocument/2006/bibliography"/>
  </ds:schemaRefs>
</ds:datastoreItem>
</file>

<file path=customXml/itemProps2.xml><?xml version="1.0" encoding="utf-8"?>
<ds:datastoreItem xmlns:ds="http://schemas.openxmlformats.org/officeDocument/2006/customXml" ds:itemID="{D62281C4-CEC2-42F4-A66C-0003CA10B041}"/>
</file>

<file path=customXml/itemProps3.xml><?xml version="1.0" encoding="utf-8"?>
<ds:datastoreItem xmlns:ds="http://schemas.openxmlformats.org/officeDocument/2006/customXml" ds:itemID="{EE904BD6-875B-4610-A29C-5B1D9B32D203}"/>
</file>

<file path=customXml/itemProps4.xml><?xml version="1.0" encoding="utf-8"?>
<ds:datastoreItem xmlns:ds="http://schemas.openxmlformats.org/officeDocument/2006/customXml" ds:itemID="{705837C6-96EE-4492-A1A2-81999E675577}"/>
</file>

<file path=docProps/app.xml><?xml version="1.0" encoding="utf-8"?>
<Properties xmlns="http://schemas.openxmlformats.org/officeDocument/2006/extended-properties" xmlns:vt="http://schemas.openxmlformats.org/officeDocument/2006/docPropsVTypes">
  <Template>Normal</Template>
  <TotalTime>27</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5</cp:revision>
  <dcterms:created xsi:type="dcterms:W3CDTF">2018-08-29T13:35:00Z</dcterms:created>
  <dcterms:modified xsi:type="dcterms:W3CDTF">2018-09-27T14:47:00Z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