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7777777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4A84A765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verall GDP grew at an inflation-adjusted rate of 2.6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450B26DB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3.5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6423BFF0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average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spending and tax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policies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on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>was just 1/10 percentage point</w:t>
      </w:r>
      <w:r w:rsidR="002F7F3E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greater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this quarter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than 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fourth quarter of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2016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 according to the FIM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F7F3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29307448" w14:textId="77777777" w:rsidR="00941737" w:rsidRPr="003B327A" w:rsidRDefault="003C2E12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42915-3E88-4899-BD99-AB057FAD7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CD882-332F-4F72-9B6B-EA1C87C70B1F}"/>
</file>

<file path=customXml/itemProps3.xml><?xml version="1.0" encoding="utf-8"?>
<ds:datastoreItem xmlns:ds="http://schemas.openxmlformats.org/officeDocument/2006/customXml" ds:itemID="{5E2B965B-D3D4-4396-A7C5-A4407DD5C9F2}"/>
</file>

<file path=customXml/itemProps4.xml><?xml version="1.0" encoding="utf-8"?>
<ds:datastoreItem xmlns:ds="http://schemas.openxmlformats.org/officeDocument/2006/customXml" ds:itemID="{033573E0-997B-4D24-A9DC-4AF247349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2018-01-26T18:12:00Z</dcterms:created>
  <dcterms:modified xsi:type="dcterms:W3CDTF">2018-01-26T18:12:00Z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