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charts/chart6.xml" ContentType="application/vnd.openxmlformats-officedocument.drawingml.chart+xml"/>
  <Override PartName="/word/theme/theme1.xml" ContentType="application/vnd.openxmlformats-officedocument.theme+xml"/>
  <Override PartName="/word/charts/chart5.xml" ContentType="application/vnd.openxmlformats-officedocument.drawingml.chart+xml"/>
  <Override PartName="/word/charts/chart4.xml" ContentType="application/vnd.openxmlformats-officedocument.drawingml.chart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.xml" ContentType="application/vnd.ms-word.stylesWithEffect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1DAA" w:rsidRDefault="00C624AB">
      <w:r>
        <w:t>Fiscal Dashboard Proposal</w:t>
      </w:r>
      <w:r w:rsidR="001968CB">
        <w:t xml:space="preserve"> (Fiscal Landscape; Fiscal Gauges; Fiscal Barometer)</w:t>
      </w:r>
    </w:p>
    <w:p w:rsidR="00C624AB" w:rsidRDefault="00C624AB" w:rsidP="00C624AB">
      <w:pPr>
        <w:pStyle w:val="ListParagraph"/>
        <w:numPr>
          <w:ilvl w:val="0"/>
          <w:numId w:val="4"/>
        </w:numPr>
      </w:pPr>
      <w:r>
        <w:t>CBO 10-year Outlook</w:t>
      </w:r>
    </w:p>
    <w:p w:rsidR="00C624AB" w:rsidRDefault="00C624AB" w:rsidP="00C624AB">
      <w:pPr>
        <w:pStyle w:val="ListParagraph"/>
        <w:numPr>
          <w:ilvl w:val="0"/>
          <w:numId w:val="5"/>
        </w:numPr>
      </w:pPr>
      <w:r>
        <w:t>Revenues by type (stacked line chart?) as share of GDP</w:t>
      </w:r>
    </w:p>
    <w:p w:rsidR="00C624AB" w:rsidRDefault="00C624AB" w:rsidP="00C624AB">
      <w:pPr>
        <w:pStyle w:val="ListParagraph"/>
        <w:numPr>
          <w:ilvl w:val="0"/>
          <w:numId w:val="5"/>
        </w:numPr>
      </w:pPr>
      <w:r>
        <w:t>Outlays – Discretionary, Mandatory as share of GDP</w:t>
      </w:r>
    </w:p>
    <w:p w:rsidR="00C624AB" w:rsidRDefault="00C36280" w:rsidP="00C624AB">
      <w:pPr>
        <w:pStyle w:val="ListParagraph"/>
        <w:numPr>
          <w:ilvl w:val="0"/>
          <w:numId w:val="5"/>
        </w:numPr>
      </w:pPr>
      <w:r>
        <w:t>Revenues/Outlays as a share of GDP History and ten-year projections</w:t>
      </w:r>
    </w:p>
    <w:p w:rsidR="00EA24DC" w:rsidRDefault="00EA24DC" w:rsidP="00C624AB">
      <w:pPr>
        <w:pStyle w:val="ListParagraph"/>
        <w:numPr>
          <w:ilvl w:val="0"/>
          <w:numId w:val="5"/>
        </w:numPr>
      </w:pPr>
      <w:r>
        <w:t>Deficits, share of GDP</w:t>
      </w:r>
    </w:p>
    <w:p w:rsidR="00C624AB" w:rsidRDefault="00C624AB" w:rsidP="00C624AB">
      <w:pPr>
        <w:pStyle w:val="ListParagraph"/>
      </w:pPr>
    </w:p>
    <w:p w:rsidR="00C624AB" w:rsidRDefault="00C624AB" w:rsidP="00C624AB">
      <w:pPr>
        <w:pStyle w:val="ListParagraph"/>
        <w:numPr>
          <w:ilvl w:val="0"/>
          <w:numId w:val="1"/>
        </w:numPr>
      </w:pPr>
      <w:r>
        <w:t>Long-term Federal Budget Outlook</w:t>
      </w:r>
    </w:p>
    <w:p w:rsidR="00C624AB" w:rsidRDefault="00C624AB" w:rsidP="00C624AB">
      <w:pPr>
        <w:pStyle w:val="ListParagraph"/>
        <w:numPr>
          <w:ilvl w:val="0"/>
          <w:numId w:val="2"/>
        </w:numPr>
      </w:pPr>
      <w:r>
        <w:t>CBO Baseline Deficit Through 2035</w:t>
      </w:r>
    </w:p>
    <w:p w:rsidR="00C624AB" w:rsidRDefault="00C624AB" w:rsidP="00C624AB">
      <w:pPr>
        <w:pStyle w:val="ListParagraph"/>
        <w:numPr>
          <w:ilvl w:val="0"/>
          <w:numId w:val="2"/>
        </w:numPr>
      </w:pPr>
      <w:r>
        <w:t>Chart with CBO and SSA OASDI Expenditures (and revenues?) as share of GDP</w:t>
      </w:r>
    </w:p>
    <w:p w:rsidR="00C624AB" w:rsidRDefault="00C624AB" w:rsidP="006E3BA7">
      <w:pPr>
        <w:pStyle w:val="ListParagraph"/>
        <w:numPr>
          <w:ilvl w:val="0"/>
          <w:numId w:val="2"/>
        </w:numPr>
      </w:pPr>
      <w:r>
        <w:t>Chart with CBO and CMS Medicare Expenditures as share of GDP</w:t>
      </w:r>
    </w:p>
    <w:p w:rsidR="006E3BA7" w:rsidRDefault="006E3BA7" w:rsidP="00C624AB">
      <w:pPr>
        <w:pStyle w:val="ListParagraph"/>
      </w:pPr>
    </w:p>
    <w:p w:rsidR="00C624AB" w:rsidRDefault="006E3BA7" w:rsidP="00C624AB">
      <w:pPr>
        <w:pStyle w:val="ListParagraph"/>
        <w:numPr>
          <w:ilvl w:val="0"/>
          <w:numId w:val="1"/>
        </w:numPr>
      </w:pPr>
      <w:r>
        <w:t>Near-Term Macroeconomic Effects of Fiscal Policy (Hutchins FI)</w:t>
      </w:r>
    </w:p>
    <w:p w:rsidR="00C624AB" w:rsidRDefault="00C624AB" w:rsidP="006E3BA7">
      <w:pPr>
        <w:pStyle w:val="ListParagraph"/>
        <w:numPr>
          <w:ilvl w:val="0"/>
          <w:numId w:val="3"/>
        </w:numPr>
      </w:pPr>
      <w:r>
        <w:t xml:space="preserve">Picture of Employment Growth and Real Construction Growth </w:t>
      </w:r>
    </w:p>
    <w:p w:rsidR="007E259D" w:rsidRDefault="007E259D" w:rsidP="007E259D">
      <w:pPr>
        <w:pStyle w:val="ListParagraph"/>
      </w:pPr>
    </w:p>
    <w:p w:rsidR="006E3BA7" w:rsidRDefault="00C624AB" w:rsidP="006E3BA7">
      <w:pPr>
        <w:pStyle w:val="ListParagraph"/>
        <w:numPr>
          <w:ilvl w:val="0"/>
          <w:numId w:val="3"/>
        </w:numPr>
      </w:pPr>
      <w:r>
        <w:t>Fiscal Condition of the States (</w:t>
      </w:r>
      <w:r w:rsidR="002D3E89">
        <w:t>from NASBO or NCSL</w:t>
      </w:r>
      <w:r>
        <w:t>)</w:t>
      </w:r>
    </w:p>
    <w:p w:rsidR="00C624AB" w:rsidRDefault="00C624AB" w:rsidP="006E3BA7">
      <w:pPr>
        <w:pStyle w:val="ListParagraph"/>
        <w:numPr>
          <w:ilvl w:val="0"/>
          <w:numId w:val="3"/>
        </w:numPr>
      </w:pPr>
      <w:r>
        <w:t>Defici</w:t>
      </w:r>
      <w:r w:rsidR="002D3E89">
        <w:t>ts past 12 months compared to previous, or FY to date (Table best?</w:t>
      </w:r>
      <w:r>
        <w:t>) – Updated Monthly with CBO Monthly Budget Review</w:t>
      </w:r>
    </w:p>
    <w:p w:rsidR="002D3E89" w:rsidRDefault="000E3D75" w:rsidP="0025403A">
      <w:pPr>
        <w:pStyle w:val="ListParagraph"/>
        <w:numPr>
          <w:ilvl w:val="0"/>
          <w:numId w:val="3"/>
        </w:numPr>
      </w:pPr>
      <w:r>
        <w:t xml:space="preserve">Fiscal Impetus </w:t>
      </w:r>
      <w:r w:rsidR="002D3E89">
        <w:t>f</w:t>
      </w:r>
      <w:r>
        <w:t>or b</w:t>
      </w:r>
      <w:r w:rsidR="002D3E89">
        <w:t>oth state and local and federal</w:t>
      </w:r>
      <w:r>
        <w:t xml:space="preserve">.  </w:t>
      </w:r>
      <w:r w:rsidR="002D3E89">
        <w:t>[This will take some work but might be most useful component.]</w:t>
      </w:r>
      <w:r w:rsidR="00B0796A">
        <w:t xml:space="preserve"> /  </w:t>
      </w:r>
    </w:p>
    <w:p w:rsidR="00B0796A" w:rsidRDefault="00B0796A" w:rsidP="0025403A">
      <w:pPr>
        <w:pStyle w:val="ListParagraph"/>
        <w:numPr>
          <w:ilvl w:val="0"/>
          <w:numId w:val="3"/>
        </w:numPr>
      </w:pPr>
      <w:r>
        <w:t xml:space="preserve">Cyclically adjusted and actual deficits? </w:t>
      </w:r>
      <w:bookmarkStart w:id="0" w:name="_GoBack"/>
      <w:bookmarkEnd w:id="0"/>
    </w:p>
    <w:p w:rsidR="0025403A" w:rsidRDefault="0025403A" w:rsidP="0025403A">
      <w:pPr>
        <w:pStyle w:val="ListParagraph"/>
      </w:pPr>
    </w:p>
    <w:p w:rsidR="0025403A" w:rsidRDefault="0025403A" w:rsidP="0025403A">
      <w:pPr>
        <w:pStyle w:val="ListParagraph"/>
        <w:numPr>
          <w:ilvl w:val="0"/>
          <w:numId w:val="8"/>
        </w:numPr>
        <w:tabs>
          <w:tab w:val="left" w:pos="0"/>
          <w:tab w:val="left" w:pos="450"/>
        </w:tabs>
        <w:ind w:left="0" w:firstLine="0"/>
      </w:pPr>
      <w:r>
        <w:t>Health Costs</w:t>
      </w:r>
    </w:p>
    <w:p w:rsidR="002D3E89" w:rsidRDefault="002D3E89" w:rsidP="002D3E89">
      <w:pPr>
        <w:pStyle w:val="ListParagraph"/>
        <w:numPr>
          <w:ilvl w:val="0"/>
          <w:numId w:val="9"/>
        </w:numPr>
        <w:tabs>
          <w:tab w:val="left" w:pos="0"/>
          <w:tab w:val="left" w:pos="450"/>
        </w:tabs>
      </w:pPr>
      <w:r>
        <w:t>CBO’s health cost assumptions for private/Medicare</w:t>
      </w:r>
    </w:p>
    <w:p w:rsidR="002D3E89" w:rsidRDefault="002D3E89" w:rsidP="002D3E89">
      <w:pPr>
        <w:pStyle w:val="ListParagraph"/>
        <w:numPr>
          <w:ilvl w:val="0"/>
          <w:numId w:val="9"/>
        </w:numPr>
        <w:tabs>
          <w:tab w:val="left" w:pos="0"/>
          <w:tab w:val="left" w:pos="450"/>
        </w:tabs>
      </w:pPr>
      <w:r>
        <w:t xml:space="preserve">Recent trends in the growth of health </w:t>
      </w:r>
      <w:r w:rsidRPr="002D3E89">
        <w:rPr>
          <w:u w:val="single"/>
        </w:rPr>
        <w:t>expenditures</w:t>
      </w:r>
      <w:r w:rsidR="00647C4A">
        <w:rPr>
          <w:u w:val="single"/>
        </w:rPr>
        <w:t xml:space="preserve"> (NIPA, </w:t>
      </w:r>
      <w:proofErr w:type="gramStart"/>
      <w:r w:rsidR="00647C4A">
        <w:rPr>
          <w:u w:val="single"/>
        </w:rPr>
        <w:t>CMS ?)</w:t>
      </w:r>
      <w:proofErr w:type="gramEnd"/>
    </w:p>
    <w:p w:rsidR="00121858" w:rsidRDefault="002D3E89" w:rsidP="002D3E89">
      <w:pPr>
        <w:pStyle w:val="ListParagraph"/>
        <w:numPr>
          <w:ilvl w:val="0"/>
          <w:numId w:val="9"/>
        </w:numPr>
        <w:tabs>
          <w:tab w:val="left" w:pos="0"/>
          <w:tab w:val="left" w:pos="450"/>
        </w:tabs>
        <w:rPr>
          <w:u w:val="single"/>
        </w:rPr>
      </w:pPr>
      <w:r>
        <w:t xml:space="preserve">Recent trends in measured health </w:t>
      </w:r>
      <w:r w:rsidRPr="002D3E89">
        <w:rPr>
          <w:u w:val="single"/>
        </w:rPr>
        <w:t>prices</w:t>
      </w:r>
    </w:p>
    <w:p w:rsidR="00EA24DC" w:rsidRDefault="00EA24DC" w:rsidP="00EA24DC">
      <w:pPr>
        <w:pStyle w:val="ListParagraph"/>
        <w:tabs>
          <w:tab w:val="left" w:pos="0"/>
          <w:tab w:val="left" w:pos="450"/>
        </w:tabs>
        <w:rPr>
          <w:u w:val="single"/>
        </w:rPr>
      </w:pPr>
    </w:p>
    <w:p w:rsidR="00B0796A" w:rsidRDefault="007E259D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15877B5" wp14:editId="0B2F6817">
            <wp:extent cx="4572000" cy="2743200"/>
            <wp:effectExtent l="0" t="0" r="19050" b="1905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 w:rsidR="00EA24DC">
        <w:rPr>
          <w:noProof/>
        </w:rPr>
        <w:drawing>
          <wp:inline distT="0" distB="0" distL="0" distR="0" wp14:anchorId="40F5A630" wp14:editId="2AF568F0">
            <wp:extent cx="4572000" cy="2743200"/>
            <wp:effectExtent l="0" t="0" r="19050" b="190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 w:rsidRPr="007E259D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385D2285" wp14:editId="68020CE0">
            <wp:extent cx="4572000" cy="2743200"/>
            <wp:effectExtent l="0" t="0" r="19050" b="1905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 w:rsidR="00BE43BD" w:rsidRPr="00BE43BD">
        <w:rPr>
          <w:noProof/>
        </w:rPr>
        <w:t xml:space="preserve"> </w:t>
      </w:r>
      <w:r w:rsidR="00BE43BD">
        <w:rPr>
          <w:noProof/>
        </w:rPr>
        <w:drawing>
          <wp:inline distT="0" distB="0" distL="0" distR="0" wp14:anchorId="536AF262" wp14:editId="0D6118DB">
            <wp:extent cx="4572000" cy="2743200"/>
            <wp:effectExtent l="0" t="0" r="19050" b="1905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 w:rsidR="00BE43BD">
        <w:rPr>
          <w:noProof/>
        </w:rPr>
        <w:lastRenderedPageBreak/>
        <w:drawing>
          <wp:inline distT="0" distB="0" distL="0" distR="0" wp14:anchorId="1498DEDD" wp14:editId="47AA700B">
            <wp:extent cx="4572000" cy="2743200"/>
            <wp:effectExtent l="0" t="0" r="19050" b="1905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121858" w:rsidRDefault="00B0796A">
      <w:pPr>
        <w:rPr>
          <w:u w:val="single"/>
        </w:rPr>
      </w:pPr>
      <w:r>
        <w:rPr>
          <w:noProof/>
        </w:rPr>
        <w:drawing>
          <wp:inline distT="0" distB="0" distL="0" distR="0" wp14:anchorId="073F6EA3" wp14:editId="10256476">
            <wp:extent cx="4572000" cy="2743200"/>
            <wp:effectExtent l="0" t="0" r="19050" b="1905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r w:rsidR="00121858">
        <w:rPr>
          <w:u w:val="single"/>
        </w:rPr>
        <w:br w:type="page"/>
      </w:r>
    </w:p>
    <w:p w:rsidR="00121858" w:rsidRDefault="00121858" w:rsidP="00121858">
      <w:pPr>
        <w:tabs>
          <w:tab w:val="left" w:pos="0"/>
          <w:tab w:val="left" w:pos="450"/>
        </w:tabs>
        <w:ind w:left="360"/>
      </w:pPr>
      <w:r>
        <w:lastRenderedPageBreak/>
        <w:t>Guide to FI (Fiscal Impetus)</w:t>
      </w:r>
    </w:p>
    <w:p w:rsidR="00121858" w:rsidRDefault="00121858" w:rsidP="00121858">
      <w:pPr>
        <w:tabs>
          <w:tab w:val="left" w:pos="0"/>
          <w:tab w:val="left" w:pos="450"/>
        </w:tabs>
        <w:ind w:left="360"/>
      </w:pPr>
      <w:r>
        <w:t>See, Glenn Follette and Byron Lutz, FEDS WP 2010-43</w:t>
      </w:r>
      <w:proofErr w:type="gramStart"/>
      <w:r>
        <w:t>,“</w:t>
      </w:r>
      <w:proofErr w:type="gramEnd"/>
      <w:r>
        <w:t xml:space="preserve">Fiscal Policy in the United States, Automatic Stabilizers, Discretionary Fiscal Policy Actions, and the Economy” </w:t>
      </w:r>
      <w:hyperlink r:id="rId12" w:history="1">
        <w:r w:rsidRPr="00B86065">
          <w:rPr>
            <w:rStyle w:val="Hyperlink"/>
          </w:rPr>
          <w:t>http://www.federalreserve.gov/pubs/feds/2010/201043/201043pap.pdf</w:t>
        </w:r>
      </w:hyperlink>
    </w:p>
    <w:p w:rsidR="00121858" w:rsidRDefault="00121858" w:rsidP="00121858">
      <w:pPr>
        <w:pStyle w:val="ListParagraph"/>
        <w:numPr>
          <w:ilvl w:val="0"/>
          <w:numId w:val="8"/>
        </w:numPr>
        <w:tabs>
          <w:tab w:val="left" w:pos="0"/>
          <w:tab w:val="left" w:pos="450"/>
        </w:tabs>
      </w:pPr>
      <w:r>
        <w:t>Fiscal policy can be thought of as having two components: an automatic component (automatic stabilizers) and a discretionary component</w:t>
      </w:r>
    </w:p>
    <w:p w:rsidR="00121858" w:rsidRDefault="00121858" w:rsidP="00121858">
      <w:pPr>
        <w:pStyle w:val="ListParagraph"/>
        <w:numPr>
          <w:ilvl w:val="0"/>
          <w:numId w:val="8"/>
        </w:numPr>
        <w:tabs>
          <w:tab w:val="left" w:pos="0"/>
          <w:tab w:val="left" w:pos="450"/>
        </w:tabs>
      </w:pPr>
      <w:r>
        <w:t>Automatic stabilizers increase people’s income during recessions</w:t>
      </w:r>
    </w:p>
    <w:p w:rsidR="00121858" w:rsidRDefault="00121858" w:rsidP="00121858">
      <w:pPr>
        <w:pStyle w:val="ListParagraph"/>
        <w:numPr>
          <w:ilvl w:val="1"/>
          <w:numId w:val="8"/>
        </w:numPr>
        <w:tabs>
          <w:tab w:val="left" w:pos="0"/>
          <w:tab w:val="left" w:pos="450"/>
        </w:tabs>
      </w:pPr>
      <w:r>
        <w:t>e.g., with progressive taxation, tax rates decline when income declines</w:t>
      </w:r>
    </w:p>
    <w:p w:rsidR="00121858" w:rsidRDefault="00121858" w:rsidP="00121858">
      <w:pPr>
        <w:pStyle w:val="ListParagraph"/>
        <w:numPr>
          <w:ilvl w:val="1"/>
          <w:numId w:val="8"/>
        </w:numPr>
        <w:tabs>
          <w:tab w:val="left" w:pos="0"/>
          <w:tab w:val="left" w:pos="450"/>
        </w:tabs>
      </w:pPr>
      <w:r>
        <w:t>Unemployment benefits, food stamps, Medicaid, etc. typically increase during recessions</w:t>
      </w:r>
    </w:p>
    <w:p w:rsidR="00121858" w:rsidRDefault="00121858" w:rsidP="00121858">
      <w:pPr>
        <w:pStyle w:val="ListParagraph"/>
        <w:numPr>
          <w:ilvl w:val="0"/>
          <w:numId w:val="8"/>
        </w:numPr>
        <w:tabs>
          <w:tab w:val="left" w:pos="0"/>
          <w:tab w:val="left" w:pos="450"/>
        </w:tabs>
      </w:pPr>
      <w:r>
        <w:t xml:space="preserve">Discretionary fiscal policy represents changes to legislation (tax increases, spending cuts, etc.) </w:t>
      </w:r>
    </w:p>
    <w:p w:rsidR="00766656" w:rsidRDefault="00766656" w:rsidP="00121858">
      <w:pPr>
        <w:pStyle w:val="ListParagraph"/>
        <w:numPr>
          <w:ilvl w:val="0"/>
          <w:numId w:val="8"/>
        </w:numPr>
        <w:tabs>
          <w:tab w:val="left" w:pos="0"/>
          <w:tab w:val="left" w:pos="450"/>
        </w:tabs>
      </w:pPr>
    </w:p>
    <w:p w:rsidR="00121858" w:rsidRDefault="00121858" w:rsidP="00121858">
      <w:pPr>
        <w:pStyle w:val="ListParagraph"/>
        <w:numPr>
          <w:ilvl w:val="0"/>
          <w:numId w:val="8"/>
        </w:numPr>
        <w:tabs>
          <w:tab w:val="left" w:pos="0"/>
          <w:tab w:val="left" w:pos="450"/>
        </w:tabs>
      </w:pPr>
      <w:r>
        <w:t>FI only measures DISCRETIONARY fiscal policy</w:t>
      </w:r>
    </w:p>
    <w:p w:rsidR="00121858" w:rsidRDefault="00121858" w:rsidP="00121858">
      <w:pPr>
        <w:pStyle w:val="ListParagraph"/>
        <w:numPr>
          <w:ilvl w:val="0"/>
          <w:numId w:val="8"/>
        </w:numPr>
        <w:tabs>
          <w:tab w:val="left" w:pos="0"/>
          <w:tab w:val="left" w:pos="450"/>
        </w:tabs>
      </w:pPr>
      <w:r>
        <w:t xml:space="preserve">Why? </w:t>
      </w:r>
    </w:p>
    <w:sectPr w:rsidR="001218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B462E2"/>
    <w:multiLevelType w:val="hybridMultilevel"/>
    <w:tmpl w:val="5A9CAE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2D3796"/>
    <w:multiLevelType w:val="hybridMultilevel"/>
    <w:tmpl w:val="6AAA8C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CA4A4F"/>
    <w:multiLevelType w:val="hybridMultilevel"/>
    <w:tmpl w:val="031A591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0737715"/>
    <w:multiLevelType w:val="hybridMultilevel"/>
    <w:tmpl w:val="8AC643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E6239C"/>
    <w:multiLevelType w:val="multilevel"/>
    <w:tmpl w:val="0984806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40B944A7"/>
    <w:multiLevelType w:val="hybridMultilevel"/>
    <w:tmpl w:val="ED6E19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CC1408"/>
    <w:multiLevelType w:val="hybridMultilevel"/>
    <w:tmpl w:val="1170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40C1ADD"/>
    <w:multiLevelType w:val="multilevel"/>
    <w:tmpl w:val="0984806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>
    <w:nsid w:val="6D051A94"/>
    <w:multiLevelType w:val="hybridMultilevel"/>
    <w:tmpl w:val="11626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7"/>
  </w:num>
  <w:num w:numId="5">
    <w:abstractNumId w:val="3"/>
  </w:num>
  <w:num w:numId="6">
    <w:abstractNumId w:val="2"/>
  </w:num>
  <w:num w:numId="7">
    <w:abstractNumId w:val="6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24AB"/>
    <w:rsid w:val="000E3D75"/>
    <w:rsid w:val="00121858"/>
    <w:rsid w:val="001968CB"/>
    <w:rsid w:val="0025403A"/>
    <w:rsid w:val="002D3E89"/>
    <w:rsid w:val="002E0F86"/>
    <w:rsid w:val="00647C4A"/>
    <w:rsid w:val="006840A5"/>
    <w:rsid w:val="006D25FD"/>
    <w:rsid w:val="006E3BA7"/>
    <w:rsid w:val="00766656"/>
    <w:rsid w:val="007E259D"/>
    <w:rsid w:val="0089473D"/>
    <w:rsid w:val="0098403F"/>
    <w:rsid w:val="00B0796A"/>
    <w:rsid w:val="00BE43BD"/>
    <w:rsid w:val="00C36280"/>
    <w:rsid w:val="00C624AB"/>
    <w:rsid w:val="00EA2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24A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218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24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24D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24A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218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24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24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chart" Target="charts/chart2.xml"/><Relationship Id="rId12" Type="http://schemas.openxmlformats.org/officeDocument/2006/relationships/hyperlink" Target="http://www.federalreserve.gov/pubs/feds/2010/201043/201043pap.pdf" TargetMode="External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11" Type="http://schemas.openxmlformats.org/officeDocument/2006/relationships/chart" Target="charts/chart6.xml"/><Relationship Id="rId5" Type="http://schemas.openxmlformats.org/officeDocument/2006/relationships/webSettings" Target="webSettings.xml"/><Relationship Id="rId15" Type="http://schemas.openxmlformats.org/officeDocument/2006/relationships/customXml" Target="../customXml/item1.xml"/><Relationship Id="rId10" Type="http://schemas.openxmlformats.org/officeDocument/2006/relationships/chart" Target="charts/chart5.xml"/><Relationship Id="rId4" Type="http://schemas.openxmlformats.org/officeDocument/2006/relationships/settings" Target="settings.xml"/><Relationship Id="rId9" Type="http://schemas.openxmlformats.org/officeDocument/2006/relationships/chart" Target="charts/chart4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Lsheiner\AppData\Local\Temp\45229-FigureData_0-1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Lsheiner\AppData\Local\Temp\45249-2014-04-HistoricalBudgetData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Lsheiner\AppData\Local\Temp\SeriesReport-20140623165701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Lsheiner\AppData\Local\Temp\download-4.xls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Revenues and Outlays</a:t>
            </a:r>
          </a:p>
        </c:rich>
      </c:tx>
      <c:layout/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Revenues</c:v>
          </c:tx>
          <c:marker>
            <c:symbol val="none"/>
          </c:marker>
          <c:cat>
            <c:numRef>
              <c:f>'Figure 2'!$A$11:$A$61</c:f>
              <c:numCache>
                <c:formatCode>General</c:formatCode>
                <c:ptCount val="51"/>
                <c:pt idx="0">
                  <c:v>1974</c:v>
                </c:pt>
                <c:pt idx="1">
                  <c:v>1975</c:v>
                </c:pt>
                <c:pt idx="2">
                  <c:v>1976</c:v>
                </c:pt>
                <c:pt idx="3">
                  <c:v>1977</c:v>
                </c:pt>
                <c:pt idx="4">
                  <c:v>1978</c:v>
                </c:pt>
                <c:pt idx="5">
                  <c:v>1979</c:v>
                </c:pt>
                <c:pt idx="6">
                  <c:v>1980</c:v>
                </c:pt>
                <c:pt idx="7">
                  <c:v>1981</c:v>
                </c:pt>
                <c:pt idx="8">
                  <c:v>1982</c:v>
                </c:pt>
                <c:pt idx="9">
                  <c:v>1983</c:v>
                </c:pt>
                <c:pt idx="10">
                  <c:v>1984</c:v>
                </c:pt>
                <c:pt idx="11">
                  <c:v>1985</c:v>
                </c:pt>
                <c:pt idx="12">
                  <c:v>1986</c:v>
                </c:pt>
                <c:pt idx="13">
                  <c:v>1987</c:v>
                </c:pt>
                <c:pt idx="14">
                  <c:v>1988</c:v>
                </c:pt>
                <c:pt idx="15">
                  <c:v>1989</c:v>
                </c:pt>
                <c:pt idx="16">
                  <c:v>1990</c:v>
                </c:pt>
                <c:pt idx="17">
                  <c:v>1991</c:v>
                </c:pt>
                <c:pt idx="18">
                  <c:v>1992</c:v>
                </c:pt>
                <c:pt idx="19">
                  <c:v>1993</c:v>
                </c:pt>
                <c:pt idx="20">
                  <c:v>1994</c:v>
                </c:pt>
                <c:pt idx="21">
                  <c:v>1995</c:v>
                </c:pt>
                <c:pt idx="22">
                  <c:v>1996</c:v>
                </c:pt>
                <c:pt idx="23">
                  <c:v>1997</c:v>
                </c:pt>
                <c:pt idx="24">
                  <c:v>1998</c:v>
                </c:pt>
                <c:pt idx="25">
                  <c:v>1999</c:v>
                </c:pt>
                <c:pt idx="26">
                  <c:v>2000</c:v>
                </c:pt>
                <c:pt idx="27">
                  <c:v>2001</c:v>
                </c:pt>
                <c:pt idx="28">
                  <c:v>2002</c:v>
                </c:pt>
                <c:pt idx="29">
                  <c:v>2003</c:v>
                </c:pt>
                <c:pt idx="30">
                  <c:v>2004</c:v>
                </c:pt>
                <c:pt idx="31">
                  <c:v>2005</c:v>
                </c:pt>
                <c:pt idx="32">
                  <c:v>2006</c:v>
                </c:pt>
                <c:pt idx="33">
                  <c:v>2007</c:v>
                </c:pt>
                <c:pt idx="34">
                  <c:v>2008</c:v>
                </c:pt>
                <c:pt idx="35">
                  <c:v>2009</c:v>
                </c:pt>
                <c:pt idx="36">
                  <c:v>2010</c:v>
                </c:pt>
                <c:pt idx="37">
                  <c:v>2011</c:v>
                </c:pt>
                <c:pt idx="38">
                  <c:v>2012</c:v>
                </c:pt>
                <c:pt idx="39">
                  <c:v>2013</c:v>
                </c:pt>
                <c:pt idx="40">
                  <c:v>2014</c:v>
                </c:pt>
                <c:pt idx="41">
                  <c:v>2015</c:v>
                </c:pt>
                <c:pt idx="42">
                  <c:v>2016</c:v>
                </c:pt>
                <c:pt idx="43">
                  <c:v>2017</c:v>
                </c:pt>
                <c:pt idx="44">
                  <c:v>2018</c:v>
                </c:pt>
                <c:pt idx="45">
                  <c:v>2019</c:v>
                </c:pt>
                <c:pt idx="46">
                  <c:v>2020</c:v>
                </c:pt>
                <c:pt idx="47">
                  <c:v>2021</c:v>
                </c:pt>
                <c:pt idx="48">
                  <c:v>2022</c:v>
                </c:pt>
                <c:pt idx="49">
                  <c:v>2023</c:v>
                </c:pt>
                <c:pt idx="50">
                  <c:v>2024</c:v>
                </c:pt>
              </c:numCache>
            </c:numRef>
          </c:cat>
          <c:val>
            <c:numRef>
              <c:f>'Figure 2'!$B$11:$B$61</c:f>
              <c:numCache>
                <c:formatCode>0.0</c:formatCode>
                <c:ptCount val="51"/>
                <c:pt idx="0">
                  <c:v>17.710999999999999</c:v>
                </c:pt>
                <c:pt idx="1">
                  <c:v>17.327999999999999</c:v>
                </c:pt>
                <c:pt idx="2">
                  <c:v>16.649000000000001</c:v>
                </c:pt>
                <c:pt idx="3">
                  <c:v>17.529</c:v>
                </c:pt>
                <c:pt idx="4">
                  <c:v>17.538</c:v>
                </c:pt>
                <c:pt idx="5">
                  <c:v>18.027000000000001</c:v>
                </c:pt>
                <c:pt idx="6">
                  <c:v>18.489999999999998</c:v>
                </c:pt>
                <c:pt idx="7">
                  <c:v>19.094999999999999</c:v>
                </c:pt>
                <c:pt idx="8">
                  <c:v>18.641999999999999</c:v>
                </c:pt>
                <c:pt idx="9">
                  <c:v>16.96</c:v>
                </c:pt>
                <c:pt idx="10">
                  <c:v>16.86</c:v>
                </c:pt>
                <c:pt idx="11">
                  <c:v>17.189</c:v>
                </c:pt>
                <c:pt idx="12">
                  <c:v>16.956</c:v>
                </c:pt>
                <c:pt idx="13">
                  <c:v>17.864999999999998</c:v>
                </c:pt>
                <c:pt idx="14">
                  <c:v>17.638000000000002</c:v>
                </c:pt>
                <c:pt idx="15">
                  <c:v>17.794</c:v>
                </c:pt>
                <c:pt idx="16">
                  <c:v>17.448</c:v>
                </c:pt>
                <c:pt idx="17">
                  <c:v>17.266999999999999</c:v>
                </c:pt>
                <c:pt idx="18">
                  <c:v>16.957999999999998</c:v>
                </c:pt>
                <c:pt idx="19">
                  <c:v>16.988</c:v>
                </c:pt>
                <c:pt idx="20">
                  <c:v>17.486000000000001</c:v>
                </c:pt>
                <c:pt idx="21">
                  <c:v>17.826000000000001</c:v>
                </c:pt>
                <c:pt idx="22">
                  <c:v>18.213000000000001</c:v>
                </c:pt>
                <c:pt idx="23">
                  <c:v>18.616</c:v>
                </c:pt>
                <c:pt idx="24">
                  <c:v>19.227</c:v>
                </c:pt>
                <c:pt idx="25">
                  <c:v>19.207999999999998</c:v>
                </c:pt>
                <c:pt idx="26">
                  <c:v>19.945</c:v>
                </c:pt>
                <c:pt idx="27">
                  <c:v>18.84</c:v>
                </c:pt>
                <c:pt idx="28">
                  <c:v>17.033000000000001</c:v>
                </c:pt>
                <c:pt idx="29">
                  <c:v>15.725</c:v>
                </c:pt>
                <c:pt idx="30">
                  <c:v>15.55</c:v>
                </c:pt>
                <c:pt idx="31">
                  <c:v>16.707000000000001</c:v>
                </c:pt>
                <c:pt idx="32">
                  <c:v>17.585999999999999</c:v>
                </c:pt>
                <c:pt idx="33">
                  <c:v>17.927</c:v>
                </c:pt>
                <c:pt idx="34">
                  <c:v>17.105</c:v>
                </c:pt>
                <c:pt idx="35">
                  <c:v>14.603999999999999</c:v>
                </c:pt>
                <c:pt idx="36">
                  <c:v>14.621</c:v>
                </c:pt>
                <c:pt idx="37">
                  <c:v>14.97</c:v>
                </c:pt>
                <c:pt idx="38">
                  <c:v>15.224</c:v>
                </c:pt>
                <c:pt idx="39">
                  <c:v>16.690000000000001</c:v>
                </c:pt>
                <c:pt idx="40">
                  <c:v>17.550999999999998</c:v>
                </c:pt>
                <c:pt idx="41">
                  <c:v>18.234000000000002</c:v>
                </c:pt>
                <c:pt idx="42">
                  <c:v>18.212</c:v>
                </c:pt>
                <c:pt idx="43">
                  <c:v>18.056999999999999</c:v>
                </c:pt>
                <c:pt idx="44">
                  <c:v>17.963000000000001</c:v>
                </c:pt>
                <c:pt idx="45">
                  <c:v>17.957000000000001</c:v>
                </c:pt>
                <c:pt idx="46">
                  <c:v>17.978999999999999</c:v>
                </c:pt>
                <c:pt idx="47">
                  <c:v>18.033999999999999</c:v>
                </c:pt>
                <c:pt idx="48">
                  <c:v>18.126999999999999</c:v>
                </c:pt>
                <c:pt idx="49">
                  <c:v>18.22</c:v>
                </c:pt>
                <c:pt idx="50">
                  <c:v>18.329000000000001</c:v>
                </c:pt>
              </c:numCache>
            </c:numRef>
          </c:val>
          <c:smooth val="0"/>
        </c:ser>
        <c:ser>
          <c:idx val="1"/>
          <c:order val="1"/>
          <c:tx>
            <c:v>Outlays</c:v>
          </c:tx>
          <c:marker>
            <c:symbol val="none"/>
          </c:marker>
          <c:cat>
            <c:numRef>
              <c:f>'Figure 2'!$A$11:$A$61</c:f>
              <c:numCache>
                <c:formatCode>General</c:formatCode>
                <c:ptCount val="51"/>
                <c:pt idx="0">
                  <c:v>1974</c:v>
                </c:pt>
                <c:pt idx="1">
                  <c:v>1975</c:v>
                </c:pt>
                <c:pt idx="2">
                  <c:v>1976</c:v>
                </c:pt>
                <c:pt idx="3">
                  <c:v>1977</c:v>
                </c:pt>
                <c:pt idx="4">
                  <c:v>1978</c:v>
                </c:pt>
                <c:pt idx="5">
                  <c:v>1979</c:v>
                </c:pt>
                <c:pt idx="6">
                  <c:v>1980</c:v>
                </c:pt>
                <c:pt idx="7">
                  <c:v>1981</c:v>
                </c:pt>
                <c:pt idx="8">
                  <c:v>1982</c:v>
                </c:pt>
                <c:pt idx="9">
                  <c:v>1983</c:v>
                </c:pt>
                <c:pt idx="10">
                  <c:v>1984</c:v>
                </c:pt>
                <c:pt idx="11">
                  <c:v>1985</c:v>
                </c:pt>
                <c:pt idx="12">
                  <c:v>1986</c:v>
                </c:pt>
                <c:pt idx="13">
                  <c:v>1987</c:v>
                </c:pt>
                <c:pt idx="14">
                  <c:v>1988</c:v>
                </c:pt>
                <c:pt idx="15">
                  <c:v>1989</c:v>
                </c:pt>
                <c:pt idx="16">
                  <c:v>1990</c:v>
                </c:pt>
                <c:pt idx="17">
                  <c:v>1991</c:v>
                </c:pt>
                <c:pt idx="18">
                  <c:v>1992</c:v>
                </c:pt>
                <c:pt idx="19">
                  <c:v>1993</c:v>
                </c:pt>
                <c:pt idx="20">
                  <c:v>1994</c:v>
                </c:pt>
                <c:pt idx="21">
                  <c:v>1995</c:v>
                </c:pt>
                <c:pt idx="22">
                  <c:v>1996</c:v>
                </c:pt>
                <c:pt idx="23">
                  <c:v>1997</c:v>
                </c:pt>
                <c:pt idx="24">
                  <c:v>1998</c:v>
                </c:pt>
                <c:pt idx="25">
                  <c:v>1999</c:v>
                </c:pt>
                <c:pt idx="26">
                  <c:v>2000</c:v>
                </c:pt>
                <c:pt idx="27">
                  <c:v>2001</c:v>
                </c:pt>
                <c:pt idx="28">
                  <c:v>2002</c:v>
                </c:pt>
                <c:pt idx="29">
                  <c:v>2003</c:v>
                </c:pt>
                <c:pt idx="30">
                  <c:v>2004</c:v>
                </c:pt>
                <c:pt idx="31">
                  <c:v>2005</c:v>
                </c:pt>
                <c:pt idx="32">
                  <c:v>2006</c:v>
                </c:pt>
                <c:pt idx="33">
                  <c:v>2007</c:v>
                </c:pt>
                <c:pt idx="34">
                  <c:v>2008</c:v>
                </c:pt>
                <c:pt idx="35">
                  <c:v>2009</c:v>
                </c:pt>
                <c:pt idx="36">
                  <c:v>2010</c:v>
                </c:pt>
                <c:pt idx="37">
                  <c:v>2011</c:v>
                </c:pt>
                <c:pt idx="38">
                  <c:v>2012</c:v>
                </c:pt>
                <c:pt idx="39">
                  <c:v>2013</c:v>
                </c:pt>
                <c:pt idx="40">
                  <c:v>2014</c:v>
                </c:pt>
                <c:pt idx="41">
                  <c:v>2015</c:v>
                </c:pt>
                <c:pt idx="42">
                  <c:v>2016</c:v>
                </c:pt>
                <c:pt idx="43">
                  <c:v>2017</c:v>
                </c:pt>
                <c:pt idx="44">
                  <c:v>2018</c:v>
                </c:pt>
                <c:pt idx="45">
                  <c:v>2019</c:v>
                </c:pt>
                <c:pt idx="46">
                  <c:v>2020</c:v>
                </c:pt>
                <c:pt idx="47">
                  <c:v>2021</c:v>
                </c:pt>
                <c:pt idx="48">
                  <c:v>2022</c:v>
                </c:pt>
                <c:pt idx="49">
                  <c:v>2023</c:v>
                </c:pt>
                <c:pt idx="50">
                  <c:v>2024</c:v>
                </c:pt>
              </c:numCache>
            </c:numRef>
          </c:cat>
          <c:val>
            <c:numRef>
              <c:f>'Figure 2'!$C$11:$C$61</c:f>
              <c:numCache>
                <c:formatCode>0.0</c:formatCode>
                <c:ptCount val="51"/>
                <c:pt idx="0">
                  <c:v>18.123999999999999</c:v>
                </c:pt>
                <c:pt idx="1">
                  <c:v>20.634</c:v>
                </c:pt>
                <c:pt idx="2">
                  <c:v>20.766999999999999</c:v>
                </c:pt>
                <c:pt idx="3">
                  <c:v>20.175000000000001</c:v>
                </c:pt>
                <c:pt idx="4">
                  <c:v>20.135999999999999</c:v>
                </c:pt>
                <c:pt idx="5">
                  <c:v>19.611999999999998</c:v>
                </c:pt>
                <c:pt idx="6">
                  <c:v>21.129000000000001</c:v>
                </c:pt>
                <c:pt idx="7">
                  <c:v>21.611000000000001</c:v>
                </c:pt>
                <c:pt idx="8">
                  <c:v>22.503</c:v>
                </c:pt>
                <c:pt idx="9">
                  <c:v>22.827999999999999</c:v>
                </c:pt>
                <c:pt idx="10">
                  <c:v>21.548999999999999</c:v>
                </c:pt>
                <c:pt idx="11">
                  <c:v>22.161000000000001</c:v>
                </c:pt>
                <c:pt idx="12">
                  <c:v>21.834</c:v>
                </c:pt>
                <c:pt idx="13">
                  <c:v>20.995999999999999</c:v>
                </c:pt>
                <c:pt idx="14">
                  <c:v>20.648</c:v>
                </c:pt>
                <c:pt idx="15">
                  <c:v>20.533999999999999</c:v>
                </c:pt>
                <c:pt idx="16">
                  <c:v>21.184999999999999</c:v>
                </c:pt>
                <c:pt idx="17">
                  <c:v>21.672999999999998</c:v>
                </c:pt>
                <c:pt idx="18">
                  <c:v>21.47</c:v>
                </c:pt>
                <c:pt idx="19">
                  <c:v>20.742000000000001</c:v>
                </c:pt>
                <c:pt idx="20">
                  <c:v>20.308</c:v>
                </c:pt>
                <c:pt idx="21">
                  <c:v>19.988</c:v>
                </c:pt>
                <c:pt idx="22">
                  <c:v>19.559000000000001</c:v>
                </c:pt>
                <c:pt idx="23">
                  <c:v>18.873999999999999</c:v>
                </c:pt>
                <c:pt idx="24">
                  <c:v>18.452999999999999</c:v>
                </c:pt>
                <c:pt idx="25">
                  <c:v>17.888000000000002</c:v>
                </c:pt>
                <c:pt idx="26">
                  <c:v>17.617999999999999</c:v>
                </c:pt>
                <c:pt idx="27">
                  <c:v>17.626999999999999</c:v>
                </c:pt>
                <c:pt idx="28">
                  <c:v>18.483000000000001</c:v>
                </c:pt>
                <c:pt idx="29">
                  <c:v>19.056999999999999</c:v>
                </c:pt>
                <c:pt idx="30">
                  <c:v>18.963999999999999</c:v>
                </c:pt>
                <c:pt idx="31">
                  <c:v>19.177</c:v>
                </c:pt>
                <c:pt idx="32">
                  <c:v>19.399000000000001</c:v>
                </c:pt>
                <c:pt idx="33">
                  <c:v>19.047999999999998</c:v>
                </c:pt>
                <c:pt idx="34">
                  <c:v>20.212</c:v>
                </c:pt>
                <c:pt idx="35">
                  <c:v>24.405000000000001</c:v>
                </c:pt>
                <c:pt idx="36">
                  <c:v>23.372</c:v>
                </c:pt>
                <c:pt idx="37">
                  <c:v>23.416</c:v>
                </c:pt>
                <c:pt idx="38">
                  <c:v>21.978000000000002</c:v>
                </c:pt>
                <c:pt idx="39">
                  <c:v>20.777000000000001</c:v>
                </c:pt>
                <c:pt idx="40">
                  <c:v>20.396999999999998</c:v>
                </c:pt>
                <c:pt idx="41">
                  <c:v>20.818999999999999</c:v>
                </c:pt>
                <c:pt idx="42">
                  <c:v>21.02</c:v>
                </c:pt>
                <c:pt idx="43">
                  <c:v>20.931999999999999</c:v>
                </c:pt>
                <c:pt idx="44">
                  <c:v>20.954000000000001</c:v>
                </c:pt>
                <c:pt idx="45">
                  <c:v>21.260999999999999</c:v>
                </c:pt>
                <c:pt idx="46">
                  <c:v>21.506</c:v>
                </c:pt>
                <c:pt idx="47">
                  <c:v>21.73</c:v>
                </c:pt>
                <c:pt idx="48">
                  <c:v>22.161000000000001</c:v>
                </c:pt>
                <c:pt idx="49">
                  <c:v>22.120999999999999</c:v>
                </c:pt>
                <c:pt idx="50">
                  <c:v>22.067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53745280"/>
        <c:axId val="153746816"/>
      </c:lineChart>
      <c:catAx>
        <c:axId val="1537452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crossAx val="153746816"/>
        <c:crosses val="autoZero"/>
        <c:auto val="1"/>
        <c:lblAlgn val="ctr"/>
        <c:lblOffset val="100"/>
        <c:noMultiLvlLbl val="0"/>
      </c:catAx>
      <c:valAx>
        <c:axId val="153746816"/>
        <c:scaling>
          <c:orientation val="minMax"/>
          <c:max val="25"/>
          <c:min val="14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Share of GDP</a:t>
                </a:r>
              </a:p>
            </c:rich>
          </c:tx>
          <c:layout/>
          <c:overlay val="0"/>
        </c:title>
        <c:numFmt formatCode="0" sourceLinked="0"/>
        <c:majorTickMark val="none"/>
        <c:minorTickMark val="none"/>
        <c:tickLblPos val="nextTo"/>
        <c:crossAx val="153745280"/>
        <c:crosses val="autoZero"/>
        <c:crossBetween val="between"/>
      </c:valAx>
    </c:plotArea>
    <c:legend>
      <c:legendPos val="b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Sources of Revenue</a:t>
            </a:r>
          </a:p>
        </c:rich>
      </c:tx>
      <c:layout/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Individual Income</c:v>
          </c:tx>
          <c:marker>
            <c:symbol val="none"/>
          </c:marker>
          <c:cat>
            <c:numRef>
              <c:f>'2. Revenues, by Major Source'!$A$13:$A$63</c:f>
              <c:numCache>
                <c:formatCode>General</c:formatCode>
                <c:ptCount val="51"/>
                <c:pt idx="0">
                  <c:v>1974</c:v>
                </c:pt>
                <c:pt idx="1">
                  <c:v>1975</c:v>
                </c:pt>
                <c:pt idx="2">
                  <c:v>1976</c:v>
                </c:pt>
                <c:pt idx="3">
                  <c:v>1977</c:v>
                </c:pt>
                <c:pt idx="4">
                  <c:v>1978</c:v>
                </c:pt>
                <c:pt idx="5">
                  <c:v>1979</c:v>
                </c:pt>
                <c:pt idx="6">
                  <c:v>1980</c:v>
                </c:pt>
                <c:pt idx="7">
                  <c:v>1981</c:v>
                </c:pt>
                <c:pt idx="8">
                  <c:v>1982</c:v>
                </c:pt>
                <c:pt idx="9">
                  <c:v>1983</c:v>
                </c:pt>
                <c:pt idx="10">
                  <c:v>1984</c:v>
                </c:pt>
                <c:pt idx="11">
                  <c:v>1985</c:v>
                </c:pt>
                <c:pt idx="12">
                  <c:v>1986</c:v>
                </c:pt>
                <c:pt idx="13">
                  <c:v>1987</c:v>
                </c:pt>
                <c:pt idx="14">
                  <c:v>1988</c:v>
                </c:pt>
                <c:pt idx="15">
                  <c:v>1989</c:v>
                </c:pt>
                <c:pt idx="16">
                  <c:v>1990</c:v>
                </c:pt>
                <c:pt idx="17">
                  <c:v>1991</c:v>
                </c:pt>
                <c:pt idx="18">
                  <c:v>1992</c:v>
                </c:pt>
                <c:pt idx="19">
                  <c:v>1993</c:v>
                </c:pt>
                <c:pt idx="20">
                  <c:v>1994</c:v>
                </c:pt>
                <c:pt idx="21">
                  <c:v>1995</c:v>
                </c:pt>
                <c:pt idx="22">
                  <c:v>1996</c:v>
                </c:pt>
                <c:pt idx="23">
                  <c:v>1997</c:v>
                </c:pt>
                <c:pt idx="24">
                  <c:v>1998</c:v>
                </c:pt>
                <c:pt idx="25">
                  <c:v>1999</c:v>
                </c:pt>
                <c:pt idx="26">
                  <c:v>2000</c:v>
                </c:pt>
                <c:pt idx="27">
                  <c:v>2001</c:v>
                </c:pt>
                <c:pt idx="28">
                  <c:v>2002</c:v>
                </c:pt>
                <c:pt idx="29">
                  <c:v>2003</c:v>
                </c:pt>
                <c:pt idx="30">
                  <c:v>2004</c:v>
                </c:pt>
                <c:pt idx="31">
                  <c:v>2005</c:v>
                </c:pt>
                <c:pt idx="32">
                  <c:v>2006</c:v>
                </c:pt>
                <c:pt idx="33">
                  <c:v>2007</c:v>
                </c:pt>
                <c:pt idx="34">
                  <c:v>2008</c:v>
                </c:pt>
                <c:pt idx="35">
                  <c:v>2009</c:v>
                </c:pt>
                <c:pt idx="36">
                  <c:v>2010</c:v>
                </c:pt>
                <c:pt idx="37">
                  <c:v>2011</c:v>
                </c:pt>
                <c:pt idx="38">
                  <c:v>2012</c:v>
                </c:pt>
                <c:pt idx="39">
                  <c:v>2013</c:v>
                </c:pt>
                <c:pt idx="40">
                  <c:v>2014</c:v>
                </c:pt>
                <c:pt idx="41">
                  <c:v>2015</c:v>
                </c:pt>
                <c:pt idx="42">
                  <c:v>2016</c:v>
                </c:pt>
                <c:pt idx="43">
                  <c:v>2017</c:v>
                </c:pt>
                <c:pt idx="44">
                  <c:v>2018</c:v>
                </c:pt>
                <c:pt idx="45">
                  <c:v>2019</c:v>
                </c:pt>
                <c:pt idx="46">
                  <c:v>2020</c:v>
                </c:pt>
                <c:pt idx="47">
                  <c:v>2021</c:v>
                </c:pt>
                <c:pt idx="48">
                  <c:v>2022</c:v>
                </c:pt>
                <c:pt idx="49">
                  <c:v>2023</c:v>
                </c:pt>
                <c:pt idx="50">
                  <c:v>2024</c:v>
                </c:pt>
              </c:numCache>
            </c:numRef>
          </c:cat>
          <c:val>
            <c:numRef>
              <c:f>'2. Revenues, by Major Source'!$H$13:$H$63</c:f>
              <c:numCache>
                <c:formatCode>#,##0.0</c:formatCode>
                <c:ptCount val="51"/>
                <c:pt idx="0">
                  <c:v>8.0037679989234292</c:v>
                </c:pt>
                <c:pt idx="1">
                  <c:v>7.5987830622128403</c:v>
                </c:pt>
                <c:pt idx="2">
                  <c:v>7.3509935624415244</c:v>
                </c:pt>
                <c:pt idx="3">
                  <c:v>7.7710482529118137</c:v>
                </c:pt>
                <c:pt idx="4">
                  <c:v>7.9442548475238395</c:v>
                </c:pt>
                <c:pt idx="5">
                  <c:v>8.4762210484333824</c:v>
                </c:pt>
                <c:pt idx="6">
                  <c:v>8.7268014051899048</c:v>
                </c:pt>
                <c:pt idx="7">
                  <c:v>9.1102065526498155</c:v>
                </c:pt>
                <c:pt idx="8">
                  <c:v>8.984633025792677</c:v>
                </c:pt>
                <c:pt idx="9">
                  <c:v>8.159670154332753</c:v>
                </c:pt>
                <c:pt idx="10">
                  <c:v>7.5494108643818043</c:v>
                </c:pt>
                <c:pt idx="11">
                  <c:v>7.8337616719843099</c:v>
                </c:pt>
                <c:pt idx="12">
                  <c:v>7.6930148477199323</c:v>
                </c:pt>
                <c:pt idx="13">
                  <c:v>8.2092693765520863</c:v>
                </c:pt>
                <c:pt idx="14">
                  <c:v>7.782177929730123</c:v>
                </c:pt>
                <c:pt idx="15">
                  <c:v>8.0016517129789619</c:v>
                </c:pt>
                <c:pt idx="16">
                  <c:v>7.8937878038574203</c:v>
                </c:pt>
                <c:pt idx="17">
                  <c:v>7.6567117155821789</c:v>
                </c:pt>
                <c:pt idx="18">
                  <c:v>7.3968040592255297</c:v>
                </c:pt>
                <c:pt idx="19">
                  <c:v>7.5009474052134877</c:v>
                </c:pt>
                <c:pt idx="20">
                  <c:v>7.5447883018998985</c:v>
                </c:pt>
                <c:pt idx="21">
                  <c:v>7.7834459158746334</c:v>
                </c:pt>
                <c:pt idx="22">
                  <c:v>8.2275554552832535</c:v>
                </c:pt>
                <c:pt idx="23">
                  <c:v>8.6933037845611612</c:v>
                </c:pt>
                <c:pt idx="24">
                  <c:v>9.2529816411310151</c:v>
                </c:pt>
                <c:pt idx="25">
                  <c:v>9.2440370926080178</c:v>
                </c:pt>
                <c:pt idx="26">
                  <c:v>9.8923032605457468</c:v>
                </c:pt>
                <c:pt idx="27">
                  <c:v>9.4085826412166451</c:v>
                </c:pt>
                <c:pt idx="28">
                  <c:v>7.8895991984888934</c:v>
                </c:pt>
                <c:pt idx="29">
                  <c:v>7.002768201198597</c:v>
                </c:pt>
                <c:pt idx="30">
                  <c:v>6.6907540506339576</c:v>
                </c:pt>
                <c:pt idx="31">
                  <c:v>7.1930367594866009</c:v>
                </c:pt>
                <c:pt idx="32">
                  <c:v>7.6272126985286723</c:v>
                </c:pt>
                <c:pt idx="33">
                  <c:v>8.1219969354168775</c:v>
                </c:pt>
                <c:pt idx="34">
                  <c:v>7.7645783177437098</c:v>
                </c:pt>
                <c:pt idx="35">
                  <c:v>6.3503080424043956</c:v>
                </c:pt>
                <c:pt idx="36">
                  <c:v>6.0748069824357396</c:v>
                </c:pt>
                <c:pt idx="37">
                  <c:v>7.0934404362102601</c:v>
                </c:pt>
                <c:pt idx="38">
                  <c:v>7.0348806322784485</c:v>
                </c:pt>
                <c:pt idx="39">
                  <c:v>7.9173445360967358</c:v>
                </c:pt>
                <c:pt idx="40">
                  <c:v>8.325537522391059</c:v>
                </c:pt>
                <c:pt idx="41" formatCode="0.0">
                  <c:v>8.3152638487648325</c:v>
                </c:pt>
                <c:pt idx="42" formatCode="0.0">
                  <c:v>8.5154936376729147</c:v>
                </c:pt>
                <c:pt idx="43" formatCode="0.0">
                  <c:v>8.5692929569708074</c:v>
                </c:pt>
                <c:pt idx="44" formatCode="0.0">
                  <c:v>8.6946548009022315</c:v>
                </c:pt>
                <c:pt idx="45" formatCode="0.0">
                  <c:v>8.8280463068766757</c:v>
                </c:pt>
                <c:pt idx="46" formatCode="0.0">
                  <c:v>8.9145757669754548</c:v>
                </c:pt>
                <c:pt idx="47" formatCode="0.0">
                  <c:v>9.0197806591321861</c:v>
                </c:pt>
                <c:pt idx="48" formatCode="0.0">
                  <c:v>9.138246820560834</c:v>
                </c:pt>
                <c:pt idx="49" formatCode="0.0">
                  <c:v>9.2494117938177407</c:v>
                </c:pt>
                <c:pt idx="50" formatCode="0.0">
                  <c:v>9.3679735019717345</c:v>
                </c:pt>
              </c:numCache>
            </c:numRef>
          </c:val>
          <c:smooth val="0"/>
        </c:ser>
        <c:ser>
          <c:idx val="2"/>
          <c:order val="1"/>
          <c:tx>
            <c:v>Payroll</c:v>
          </c:tx>
          <c:marker>
            <c:symbol val="none"/>
          </c:marker>
          <c:cat>
            <c:numRef>
              <c:f>'2. Revenues, by Major Source'!$A$13:$A$63</c:f>
              <c:numCache>
                <c:formatCode>General</c:formatCode>
                <c:ptCount val="51"/>
                <c:pt idx="0">
                  <c:v>1974</c:v>
                </c:pt>
                <c:pt idx="1">
                  <c:v>1975</c:v>
                </c:pt>
                <c:pt idx="2">
                  <c:v>1976</c:v>
                </c:pt>
                <c:pt idx="3">
                  <c:v>1977</c:v>
                </c:pt>
                <c:pt idx="4">
                  <c:v>1978</c:v>
                </c:pt>
                <c:pt idx="5">
                  <c:v>1979</c:v>
                </c:pt>
                <c:pt idx="6">
                  <c:v>1980</c:v>
                </c:pt>
                <c:pt idx="7">
                  <c:v>1981</c:v>
                </c:pt>
                <c:pt idx="8">
                  <c:v>1982</c:v>
                </c:pt>
                <c:pt idx="9">
                  <c:v>1983</c:v>
                </c:pt>
                <c:pt idx="10">
                  <c:v>1984</c:v>
                </c:pt>
                <c:pt idx="11">
                  <c:v>1985</c:v>
                </c:pt>
                <c:pt idx="12">
                  <c:v>1986</c:v>
                </c:pt>
                <c:pt idx="13">
                  <c:v>1987</c:v>
                </c:pt>
                <c:pt idx="14">
                  <c:v>1988</c:v>
                </c:pt>
                <c:pt idx="15">
                  <c:v>1989</c:v>
                </c:pt>
                <c:pt idx="16">
                  <c:v>1990</c:v>
                </c:pt>
                <c:pt idx="17">
                  <c:v>1991</c:v>
                </c:pt>
                <c:pt idx="18">
                  <c:v>1992</c:v>
                </c:pt>
                <c:pt idx="19">
                  <c:v>1993</c:v>
                </c:pt>
                <c:pt idx="20">
                  <c:v>1994</c:v>
                </c:pt>
                <c:pt idx="21">
                  <c:v>1995</c:v>
                </c:pt>
                <c:pt idx="22">
                  <c:v>1996</c:v>
                </c:pt>
                <c:pt idx="23">
                  <c:v>1997</c:v>
                </c:pt>
                <c:pt idx="24">
                  <c:v>1998</c:v>
                </c:pt>
                <c:pt idx="25">
                  <c:v>1999</c:v>
                </c:pt>
                <c:pt idx="26">
                  <c:v>2000</c:v>
                </c:pt>
                <c:pt idx="27">
                  <c:v>2001</c:v>
                </c:pt>
                <c:pt idx="28">
                  <c:v>2002</c:v>
                </c:pt>
                <c:pt idx="29">
                  <c:v>2003</c:v>
                </c:pt>
                <c:pt idx="30">
                  <c:v>2004</c:v>
                </c:pt>
                <c:pt idx="31">
                  <c:v>2005</c:v>
                </c:pt>
                <c:pt idx="32">
                  <c:v>2006</c:v>
                </c:pt>
                <c:pt idx="33">
                  <c:v>2007</c:v>
                </c:pt>
                <c:pt idx="34">
                  <c:v>2008</c:v>
                </c:pt>
                <c:pt idx="35">
                  <c:v>2009</c:v>
                </c:pt>
                <c:pt idx="36">
                  <c:v>2010</c:v>
                </c:pt>
                <c:pt idx="37">
                  <c:v>2011</c:v>
                </c:pt>
                <c:pt idx="38">
                  <c:v>2012</c:v>
                </c:pt>
                <c:pt idx="39">
                  <c:v>2013</c:v>
                </c:pt>
                <c:pt idx="40">
                  <c:v>2014</c:v>
                </c:pt>
                <c:pt idx="41">
                  <c:v>2015</c:v>
                </c:pt>
                <c:pt idx="42">
                  <c:v>2016</c:v>
                </c:pt>
                <c:pt idx="43">
                  <c:v>2017</c:v>
                </c:pt>
                <c:pt idx="44">
                  <c:v>2018</c:v>
                </c:pt>
                <c:pt idx="45">
                  <c:v>2019</c:v>
                </c:pt>
                <c:pt idx="46">
                  <c:v>2020</c:v>
                </c:pt>
                <c:pt idx="47">
                  <c:v>2021</c:v>
                </c:pt>
                <c:pt idx="48">
                  <c:v>2022</c:v>
                </c:pt>
                <c:pt idx="49">
                  <c:v>2023</c:v>
                </c:pt>
                <c:pt idx="50">
                  <c:v>2024</c:v>
                </c:pt>
              </c:numCache>
            </c:numRef>
          </c:cat>
          <c:val>
            <c:numRef>
              <c:f>'2. Revenues, by Major Source'!$J$13:$J$63</c:f>
              <c:numCache>
                <c:formatCode>#,##0.0</c:formatCode>
                <c:ptCount val="51"/>
                <c:pt idx="0">
                  <c:v>5.0512044139415959</c:v>
                </c:pt>
                <c:pt idx="1">
                  <c:v>5.2486030050912715</c:v>
                </c:pt>
                <c:pt idx="2">
                  <c:v>5.0701149264777765</c:v>
                </c:pt>
                <c:pt idx="3">
                  <c:v>5.2497689036790538</c:v>
                </c:pt>
                <c:pt idx="4">
                  <c:v>5.3097038264438332</c:v>
                </c:pt>
                <c:pt idx="5">
                  <c:v>5.4061341815741093</c:v>
                </c:pt>
                <c:pt idx="6">
                  <c:v>5.642320172341357</c:v>
                </c:pt>
                <c:pt idx="7">
                  <c:v>5.8220285652835413</c:v>
                </c:pt>
                <c:pt idx="8">
                  <c:v>6.0803427959292975</c:v>
                </c:pt>
                <c:pt idx="9">
                  <c:v>5.9020347072196104</c:v>
                </c:pt>
                <c:pt idx="10">
                  <c:v>6.0558208369963262</c:v>
                </c:pt>
                <c:pt idx="11">
                  <c:v>6.2093610045956158</c:v>
                </c:pt>
                <c:pt idx="12">
                  <c:v>6.2587713980225086</c:v>
                </c:pt>
                <c:pt idx="13">
                  <c:v>6.3430767219971242</c:v>
                </c:pt>
                <c:pt idx="14">
                  <c:v>6.4854877427802426</c:v>
                </c:pt>
                <c:pt idx="15">
                  <c:v>6.4527399135543693</c:v>
                </c:pt>
                <c:pt idx="16">
                  <c:v>6.4256011632281282</c:v>
                </c:pt>
                <c:pt idx="17">
                  <c:v>6.4814137421696314</c:v>
                </c:pt>
                <c:pt idx="18">
                  <c:v>6.4290082326750557</c:v>
                </c:pt>
                <c:pt idx="19">
                  <c:v>6.3032800456226203</c:v>
                </c:pt>
                <c:pt idx="20">
                  <c:v>6.4113785557986871</c:v>
                </c:pt>
                <c:pt idx="21">
                  <c:v>6.3886619655626005</c:v>
                </c:pt>
                <c:pt idx="22">
                  <c:v>6.3850143044705785</c:v>
                </c:pt>
                <c:pt idx="23">
                  <c:v>6.3581452644359704</c:v>
                </c:pt>
                <c:pt idx="24">
                  <c:v>6.3857484254254704</c:v>
                </c:pt>
                <c:pt idx="25">
                  <c:v>6.4308533980097797</c:v>
                </c:pt>
                <c:pt idx="26">
                  <c:v>6.4295214435725905</c:v>
                </c:pt>
                <c:pt idx="27">
                  <c:v>6.5664183641365677</c:v>
                </c:pt>
                <c:pt idx="28">
                  <c:v>6.4411344323472228</c:v>
                </c:pt>
                <c:pt idx="29">
                  <c:v>6.2905706905945111</c:v>
                </c:pt>
                <c:pt idx="30">
                  <c:v>6.0658770790773069</c:v>
                </c:pt>
                <c:pt idx="31">
                  <c:v>6.1605206915143267</c:v>
                </c:pt>
                <c:pt idx="32">
                  <c:v>6.121457992748395</c:v>
                </c:pt>
                <c:pt idx="33">
                  <c:v>6.0705761625695027</c:v>
                </c:pt>
                <c:pt idx="34">
                  <c:v>6.1002332937451182</c:v>
                </c:pt>
                <c:pt idx="35">
                  <c:v>6.1810859188544152</c:v>
                </c:pt>
                <c:pt idx="36">
                  <c:v>5.846735265086469</c:v>
                </c:pt>
                <c:pt idx="37">
                  <c:v>5.321297257600941</c:v>
                </c:pt>
                <c:pt idx="38">
                  <c:v>5.2522978033978127</c:v>
                </c:pt>
                <c:pt idx="39">
                  <c:v>5.7005385866835878</c:v>
                </c:pt>
                <c:pt idx="40">
                  <c:v>5.9944401415010526</c:v>
                </c:pt>
                <c:pt idx="41" formatCode="0.0">
                  <c:v>6.211229731129416</c:v>
                </c:pt>
                <c:pt idx="42" formatCode="0.0">
                  <c:v>5.8988700400595446</c:v>
                </c:pt>
                <c:pt idx="43" formatCode="0.0">
                  <c:v>5.7873866282750113</c:v>
                </c:pt>
                <c:pt idx="44" formatCode="0.0">
                  <c:v>5.7623789531566008</c:v>
                </c:pt>
                <c:pt idx="45" formatCode="0.0">
                  <c:v>5.7966738202236741</c:v>
                </c:pt>
                <c:pt idx="46" formatCode="0.0">
                  <c:v>5.8000793146786362</c:v>
                </c:pt>
                <c:pt idx="47" formatCode="0.0">
                  <c:v>5.7989546257432574</c:v>
                </c:pt>
                <c:pt idx="48" formatCode="0.0">
                  <c:v>5.8108126256900041</c:v>
                </c:pt>
                <c:pt idx="49" formatCode="0.0">
                  <c:v>5.8198605447484706</c:v>
                </c:pt>
                <c:pt idx="50" formatCode="0.0">
                  <c:v>5.8325128528362651</c:v>
                </c:pt>
              </c:numCache>
            </c:numRef>
          </c:val>
          <c:smooth val="0"/>
        </c:ser>
        <c:ser>
          <c:idx val="4"/>
          <c:order val="2"/>
          <c:tx>
            <c:v>Corporate</c:v>
          </c:tx>
          <c:marker>
            <c:symbol val="none"/>
          </c:marker>
          <c:cat>
            <c:numRef>
              <c:f>'2. Revenues, by Major Source'!$A$13:$A$63</c:f>
              <c:numCache>
                <c:formatCode>General</c:formatCode>
                <c:ptCount val="51"/>
                <c:pt idx="0">
                  <c:v>1974</c:v>
                </c:pt>
                <c:pt idx="1">
                  <c:v>1975</c:v>
                </c:pt>
                <c:pt idx="2">
                  <c:v>1976</c:v>
                </c:pt>
                <c:pt idx="3">
                  <c:v>1977</c:v>
                </c:pt>
                <c:pt idx="4">
                  <c:v>1978</c:v>
                </c:pt>
                <c:pt idx="5">
                  <c:v>1979</c:v>
                </c:pt>
                <c:pt idx="6">
                  <c:v>1980</c:v>
                </c:pt>
                <c:pt idx="7">
                  <c:v>1981</c:v>
                </c:pt>
                <c:pt idx="8">
                  <c:v>1982</c:v>
                </c:pt>
                <c:pt idx="9">
                  <c:v>1983</c:v>
                </c:pt>
                <c:pt idx="10">
                  <c:v>1984</c:v>
                </c:pt>
                <c:pt idx="11">
                  <c:v>1985</c:v>
                </c:pt>
                <c:pt idx="12">
                  <c:v>1986</c:v>
                </c:pt>
                <c:pt idx="13">
                  <c:v>1987</c:v>
                </c:pt>
                <c:pt idx="14">
                  <c:v>1988</c:v>
                </c:pt>
                <c:pt idx="15">
                  <c:v>1989</c:v>
                </c:pt>
                <c:pt idx="16">
                  <c:v>1990</c:v>
                </c:pt>
                <c:pt idx="17">
                  <c:v>1991</c:v>
                </c:pt>
                <c:pt idx="18">
                  <c:v>1992</c:v>
                </c:pt>
                <c:pt idx="19">
                  <c:v>1993</c:v>
                </c:pt>
                <c:pt idx="20">
                  <c:v>1994</c:v>
                </c:pt>
                <c:pt idx="21">
                  <c:v>1995</c:v>
                </c:pt>
                <c:pt idx="22">
                  <c:v>1996</c:v>
                </c:pt>
                <c:pt idx="23">
                  <c:v>1997</c:v>
                </c:pt>
                <c:pt idx="24">
                  <c:v>1998</c:v>
                </c:pt>
                <c:pt idx="25">
                  <c:v>1999</c:v>
                </c:pt>
                <c:pt idx="26">
                  <c:v>2000</c:v>
                </c:pt>
                <c:pt idx="27">
                  <c:v>2001</c:v>
                </c:pt>
                <c:pt idx="28">
                  <c:v>2002</c:v>
                </c:pt>
                <c:pt idx="29">
                  <c:v>2003</c:v>
                </c:pt>
                <c:pt idx="30">
                  <c:v>2004</c:v>
                </c:pt>
                <c:pt idx="31">
                  <c:v>2005</c:v>
                </c:pt>
                <c:pt idx="32">
                  <c:v>2006</c:v>
                </c:pt>
                <c:pt idx="33">
                  <c:v>2007</c:v>
                </c:pt>
                <c:pt idx="34">
                  <c:v>2008</c:v>
                </c:pt>
                <c:pt idx="35">
                  <c:v>2009</c:v>
                </c:pt>
                <c:pt idx="36">
                  <c:v>2010</c:v>
                </c:pt>
                <c:pt idx="37">
                  <c:v>2011</c:v>
                </c:pt>
                <c:pt idx="38">
                  <c:v>2012</c:v>
                </c:pt>
                <c:pt idx="39">
                  <c:v>2013</c:v>
                </c:pt>
                <c:pt idx="40">
                  <c:v>2014</c:v>
                </c:pt>
                <c:pt idx="41">
                  <c:v>2015</c:v>
                </c:pt>
                <c:pt idx="42">
                  <c:v>2016</c:v>
                </c:pt>
                <c:pt idx="43">
                  <c:v>2017</c:v>
                </c:pt>
                <c:pt idx="44">
                  <c:v>2018</c:v>
                </c:pt>
                <c:pt idx="45">
                  <c:v>2019</c:v>
                </c:pt>
                <c:pt idx="46">
                  <c:v>2020</c:v>
                </c:pt>
                <c:pt idx="47">
                  <c:v>2021</c:v>
                </c:pt>
                <c:pt idx="48">
                  <c:v>2022</c:v>
                </c:pt>
                <c:pt idx="49">
                  <c:v>2023</c:v>
                </c:pt>
                <c:pt idx="50">
                  <c:v>2024</c:v>
                </c:pt>
              </c:numCache>
            </c:numRef>
          </c:cat>
          <c:val>
            <c:numRef>
              <c:f>'2. Revenues, by Major Source'!$L$13:$L$63</c:f>
              <c:numCache>
                <c:formatCode>#,##0.0</c:formatCode>
                <c:ptCount val="51"/>
                <c:pt idx="0">
                  <c:v>2.5985735432647017</c:v>
                </c:pt>
                <c:pt idx="1">
                  <c:v>2.5221035638892344</c:v>
                </c:pt>
                <c:pt idx="2">
                  <c:v>2.312996606666573</c:v>
                </c:pt>
                <c:pt idx="3">
                  <c:v>2.7062057065384857</c:v>
                </c:pt>
                <c:pt idx="4">
                  <c:v>2.631522347441539</c:v>
                </c:pt>
                <c:pt idx="5">
                  <c:v>2.5555004328751667</c:v>
                </c:pt>
                <c:pt idx="6">
                  <c:v>2.3098032555353929</c:v>
                </c:pt>
                <c:pt idx="7">
                  <c:v>1.9480153261588216</c:v>
                </c:pt>
                <c:pt idx="8">
                  <c:v>1.4848555715654397</c:v>
                </c:pt>
                <c:pt idx="9">
                  <c:v>1.045509100408071</c:v>
                </c:pt>
                <c:pt idx="10">
                  <c:v>1.439299741324243</c:v>
                </c:pt>
                <c:pt idx="11">
                  <c:v>1.4361970552937389</c:v>
                </c:pt>
                <c:pt idx="12">
                  <c:v>1.3920261020050484</c:v>
                </c:pt>
                <c:pt idx="13">
                  <c:v>1.7550856097242191</c:v>
                </c:pt>
                <c:pt idx="14">
                  <c:v>1.833282413132562</c:v>
                </c:pt>
                <c:pt idx="15">
                  <c:v>1.8544248403269314</c:v>
                </c:pt>
                <c:pt idx="16">
                  <c:v>1.580958902372529</c:v>
                </c:pt>
                <c:pt idx="17">
                  <c:v>1.6053289470992347</c:v>
                </c:pt>
                <c:pt idx="18">
                  <c:v>1.5582639506738827</c:v>
                </c:pt>
                <c:pt idx="19">
                  <c:v>1.7295388068213176</c:v>
                </c:pt>
                <c:pt idx="20">
                  <c:v>1.9504011670313639</c:v>
                </c:pt>
                <c:pt idx="21">
                  <c:v>2.0703846927304315</c:v>
                </c:pt>
                <c:pt idx="22">
                  <c:v>2.1536485017124631</c:v>
                </c:pt>
                <c:pt idx="23">
                  <c:v>2.1488833746898264</c:v>
                </c:pt>
                <c:pt idx="24">
                  <c:v>2.1069928976638228</c:v>
                </c:pt>
                <c:pt idx="25">
                  <c:v>1.9411342728235421</c:v>
                </c:pt>
                <c:pt idx="26">
                  <c:v>2.041456670909668</c:v>
                </c:pt>
                <c:pt idx="27">
                  <c:v>1.4294939879878032</c:v>
                </c:pt>
                <c:pt idx="28">
                  <c:v>1.3607673182008282</c:v>
                </c:pt>
                <c:pt idx="29">
                  <c:v>1.1626709722672559</c:v>
                </c:pt>
                <c:pt idx="30">
                  <c:v>1.5662534013746103</c:v>
                </c:pt>
                <c:pt idx="31">
                  <c:v>2.1588062572970119</c:v>
                </c:pt>
                <c:pt idx="32">
                  <c:v>2.5858456704994839</c:v>
                </c:pt>
                <c:pt idx="33">
                  <c:v>2.5846023895371362</c:v>
                </c:pt>
                <c:pt idx="34">
                  <c:v>2.062513236073956</c:v>
                </c:pt>
                <c:pt idx="35">
                  <c:v>0.95901787200976862</c:v>
                </c:pt>
                <c:pt idx="36">
                  <c:v>1.2942453047040849</c:v>
                </c:pt>
                <c:pt idx="37">
                  <c:v>1.1768643488122337</c:v>
                </c:pt>
                <c:pt idx="38">
                  <c:v>1.5054452930951725</c:v>
                </c:pt>
                <c:pt idx="39">
                  <c:v>1.6449658233519879</c:v>
                </c:pt>
                <c:pt idx="40">
                  <c:v>1.7297750051079182</c:v>
                </c:pt>
                <c:pt idx="41" formatCode="0.0">
                  <c:v>2.1135253225226536</c:v>
                </c:pt>
                <c:pt idx="42" formatCode="0.0">
                  <c:v>2.2164982850642043</c:v>
                </c:pt>
                <c:pt idx="43" formatCode="0.0">
                  <c:v>2.281393876344878</c:v>
                </c:pt>
                <c:pt idx="44" formatCode="0.0">
                  <c:v>2.2765049435084812</c:v>
                </c:pt>
                <c:pt idx="45" formatCode="0.0">
                  <c:v>2.1828606973250215</c:v>
                </c:pt>
                <c:pt idx="46" formatCode="0.0">
                  <c:v>2.0625718506350874</c:v>
                </c:pt>
                <c:pt idx="47" formatCode="0.0">
                  <c:v>1.9818268009224067</c:v>
                </c:pt>
                <c:pt idx="48" formatCode="0.0">
                  <c:v>1.9268088106664722</c:v>
                </c:pt>
                <c:pt idx="49" formatCode="0.0">
                  <c:v>1.882040938618823</c:v>
                </c:pt>
                <c:pt idx="50" formatCode="0.0">
                  <c:v>1.8548688543720002</c:v>
                </c:pt>
              </c:numCache>
            </c:numRef>
          </c:val>
          <c:smooth val="0"/>
        </c:ser>
        <c:ser>
          <c:idx val="6"/>
          <c:order val="3"/>
          <c:tx>
            <c:v>Other</c:v>
          </c:tx>
          <c:marker>
            <c:symbol val="none"/>
          </c:marker>
          <c:cat>
            <c:numRef>
              <c:f>'2. Revenues, by Major Source'!$A$13:$A$63</c:f>
              <c:numCache>
                <c:formatCode>General</c:formatCode>
                <c:ptCount val="51"/>
                <c:pt idx="0">
                  <c:v>1974</c:v>
                </c:pt>
                <c:pt idx="1">
                  <c:v>1975</c:v>
                </c:pt>
                <c:pt idx="2">
                  <c:v>1976</c:v>
                </c:pt>
                <c:pt idx="3">
                  <c:v>1977</c:v>
                </c:pt>
                <c:pt idx="4">
                  <c:v>1978</c:v>
                </c:pt>
                <c:pt idx="5">
                  <c:v>1979</c:v>
                </c:pt>
                <c:pt idx="6">
                  <c:v>1980</c:v>
                </c:pt>
                <c:pt idx="7">
                  <c:v>1981</c:v>
                </c:pt>
                <c:pt idx="8">
                  <c:v>1982</c:v>
                </c:pt>
                <c:pt idx="9">
                  <c:v>1983</c:v>
                </c:pt>
                <c:pt idx="10">
                  <c:v>1984</c:v>
                </c:pt>
                <c:pt idx="11">
                  <c:v>1985</c:v>
                </c:pt>
                <c:pt idx="12">
                  <c:v>1986</c:v>
                </c:pt>
                <c:pt idx="13">
                  <c:v>1987</c:v>
                </c:pt>
                <c:pt idx="14">
                  <c:v>1988</c:v>
                </c:pt>
                <c:pt idx="15">
                  <c:v>1989</c:v>
                </c:pt>
                <c:pt idx="16">
                  <c:v>1990</c:v>
                </c:pt>
                <c:pt idx="17">
                  <c:v>1991</c:v>
                </c:pt>
                <c:pt idx="18">
                  <c:v>1992</c:v>
                </c:pt>
                <c:pt idx="19">
                  <c:v>1993</c:v>
                </c:pt>
                <c:pt idx="20">
                  <c:v>1994</c:v>
                </c:pt>
                <c:pt idx="21">
                  <c:v>1995</c:v>
                </c:pt>
                <c:pt idx="22">
                  <c:v>1996</c:v>
                </c:pt>
                <c:pt idx="23">
                  <c:v>1997</c:v>
                </c:pt>
                <c:pt idx="24">
                  <c:v>1998</c:v>
                </c:pt>
                <c:pt idx="25">
                  <c:v>1999</c:v>
                </c:pt>
                <c:pt idx="26">
                  <c:v>2000</c:v>
                </c:pt>
                <c:pt idx="27">
                  <c:v>2001</c:v>
                </c:pt>
                <c:pt idx="28">
                  <c:v>2002</c:v>
                </c:pt>
                <c:pt idx="29">
                  <c:v>2003</c:v>
                </c:pt>
                <c:pt idx="30">
                  <c:v>2004</c:v>
                </c:pt>
                <c:pt idx="31">
                  <c:v>2005</c:v>
                </c:pt>
                <c:pt idx="32">
                  <c:v>2006</c:v>
                </c:pt>
                <c:pt idx="33">
                  <c:v>2007</c:v>
                </c:pt>
                <c:pt idx="34">
                  <c:v>2008</c:v>
                </c:pt>
                <c:pt idx="35">
                  <c:v>2009</c:v>
                </c:pt>
                <c:pt idx="36">
                  <c:v>2010</c:v>
                </c:pt>
                <c:pt idx="37">
                  <c:v>2011</c:v>
                </c:pt>
                <c:pt idx="38">
                  <c:v>2012</c:v>
                </c:pt>
                <c:pt idx="39">
                  <c:v>2013</c:v>
                </c:pt>
                <c:pt idx="40">
                  <c:v>2014</c:v>
                </c:pt>
                <c:pt idx="41">
                  <c:v>2015</c:v>
                </c:pt>
                <c:pt idx="42">
                  <c:v>2016</c:v>
                </c:pt>
                <c:pt idx="43">
                  <c:v>2017</c:v>
                </c:pt>
                <c:pt idx="44">
                  <c:v>2018</c:v>
                </c:pt>
                <c:pt idx="45">
                  <c:v>2019</c:v>
                </c:pt>
                <c:pt idx="46">
                  <c:v>2020</c:v>
                </c:pt>
                <c:pt idx="47">
                  <c:v>2021</c:v>
                </c:pt>
                <c:pt idx="48">
                  <c:v>2022</c:v>
                </c:pt>
                <c:pt idx="49">
                  <c:v>2023</c:v>
                </c:pt>
                <c:pt idx="50">
                  <c:v>2024</c:v>
                </c:pt>
              </c:numCache>
            </c:numRef>
          </c:cat>
          <c:val>
            <c:numRef>
              <c:f>'2. Revenues, by Major Source'!$N$13:$N$63</c:f>
              <c:numCache>
                <c:formatCode>#,##0.0</c:formatCode>
                <c:ptCount val="51"/>
                <c:pt idx="0">
                  <c:v>2.0576638406674737</c:v>
                </c:pt>
                <c:pt idx="1">
                  <c:v>1.9588352166894336</c:v>
                </c:pt>
                <c:pt idx="2">
                  <c:v>1.9147337699515412</c:v>
                </c:pt>
                <c:pt idx="3">
                  <c:v>1.8022308498182071</c:v>
                </c:pt>
                <c:pt idx="4">
                  <c:v>1.6527779301868788</c:v>
                </c:pt>
                <c:pt idx="5">
                  <c:v>1.5892841509323838</c:v>
                </c:pt>
                <c:pt idx="6">
                  <c:v>1.8106569173422957</c:v>
                </c:pt>
                <c:pt idx="7">
                  <c:v>2.2144228394815864</c:v>
                </c:pt>
                <c:pt idx="8">
                  <c:v>2.0916888583778999</c:v>
                </c:pt>
                <c:pt idx="9">
                  <c:v>1.8527837788226691</c:v>
                </c:pt>
                <c:pt idx="10">
                  <c:v>1.8152587073801656</c:v>
                </c:pt>
                <c:pt idx="11">
                  <c:v>1.7097327518075112</c:v>
                </c:pt>
                <c:pt idx="12">
                  <c:v>1.612680636236375</c:v>
                </c:pt>
                <c:pt idx="13">
                  <c:v>1.557694419030192</c:v>
                </c:pt>
                <c:pt idx="14">
                  <c:v>1.5366067748114771</c:v>
                </c:pt>
                <c:pt idx="15">
                  <c:v>1.4848899680878311</c:v>
                </c:pt>
                <c:pt idx="16">
                  <c:v>1.5473639272475193</c:v>
                </c:pt>
                <c:pt idx="17">
                  <c:v>1.5230543246549717</c:v>
                </c:pt>
                <c:pt idx="18">
                  <c:v>1.5740377405405854</c:v>
                </c:pt>
                <c:pt idx="19">
                  <c:v>1.4545521440791789</c:v>
                </c:pt>
                <c:pt idx="20">
                  <c:v>1.5789795422180588</c:v>
                </c:pt>
                <c:pt idx="21">
                  <c:v>1.5833292124496865</c:v>
                </c:pt>
                <c:pt idx="22">
                  <c:v>1.4464028878422979</c:v>
                </c:pt>
                <c:pt idx="23">
                  <c:v>1.415771264211994</c:v>
                </c:pt>
                <c:pt idx="24">
                  <c:v>1.4811497744226558</c:v>
                </c:pt>
                <c:pt idx="25">
                  <c:v>1.5919550348038831</c:v>
                </c:pt>
                <c:pt idx="26">
                  <c:v>1.581528416211385</c:v>
                </c:pt>
                <c:pt idx="27">
                  <c:v>1.4354172925483246</c:v>
                </c:pt>
                <c:pt idx="28">
                  <c:v>1.3418601124137699</c:v>
                </c:pt>
                <c:pt idx="29">
                  <c:v>1.2692610557103259</c:v>
                </c:pt>
                <c:pt idx="30">
                  <c:v>1.2271994177342911</c:v>
                </c:pt>
                <c:pt idx="31">
                  <c:v>1.1945339803189148</c:v>
                </c:pt>
                <c:pt idx="32">
                  <c:v>1.251038879197762</c:v>
                </c:pt>
                <c:pt idx="33">
                  <c:v>1.1494839423523291</c:v>
                </c:pt>
                <c:pt idx="34">
                  <c:v>1.1774337010349964</c:v>
                </c:pt>
                <c:pt idx="35">
                  <c:v>1.1137744907587259</c:v>
                </c:pt>
                <c:pt idx="36">
                  <c:v>1.4055870303013935</c:v>
                </c:pt>
                <c:pt idx="37">
                  <c:v>1.3785336069395935</c:v>
                </c:pt>
                <c:pt idx="38">
                  <c:v>1.4312942415501295</c:v>
                </c:pt>
                <c:pt idx="39">
                  <c:v>1.4276426382628109</c:v>
                </c:pt>
                <c:pt idx="40">
                  <c:v>1.5012473309999665</c:v>
                </c:pt>
                <c:pt idx="41" formatCode="0.0">
                  <c:v>1.5939810975831008</c:v>
                </c:pt>
                <c:pt idx="42" formatCode="0.0">
                  <c:v>1.5811380372033352</c:v>
                </c:pt>
                <c:pt idx="43" formatCode="0.0">
                  <c:v>1.4189265384093035</c:v>
                </c:pt>
                <c:pt idx="44" formatCode="0.0">
                  <c:v>1.2294613024326884</c:v>
                </c:pt>
                <c:pt idx="45" formatCode="0.0">
                  <c:v>1.1494191755746284</c:v>
                </c:pt>
                <c:pt idx="46" formatCode="0.0">
                  <c:v>1.2017730677108203</c:v>
                </c:pt>
                <c:pt idx="47" formatCode="0.0">
                  <c:v>1.233437914202151</c:v>
                </c:pt>
                <c:pt idx="48" formatCode="0.0">
                  <c:v>1.2511317430826874</c:v>
                </c:pt>
                <c:pt idx="49" formatCode="0.0">
                  <c:v>1.2686867228149648</c:v>
                </c:pt>
                <c:pt idx="50" formatCode="0.0">
                  <c:v>1.2736447908200021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53322240"/>
        <c:axId val="124248064"/>
      </c:lineChart>
      <c:catAx>
        <c:axId val="1533222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crossAx val="124248064"/>
        <c:crosses val="autoZero"/>
        <c:auto val="1"/>
        <c:lblAlgn val="ctr"/>
        <c:lblOffset val="100"/>
        <c:noMultiLvlLbl val="0"/>
      </c:catAx>
      <c:valAx>
        <c:axId val="124248064"/>
        <c:scaling>
          <c:orientation val="minMax"/>
          <c:max val="10"/>
          <c:min val="0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Share of GDP</a:t>
                </a:r>
              </a:p>
            </c:rich>
          </c:tx>
          <c:layout/>
          <c:overlay val="0"/>
        </c:title>
        <c:numFmt formatCode="#,##0" sourceLinked="0"/>
        <c:majorTickMark val="none"/>
        <c:minorTickMark val="none"/>
        <c:tickLblPos val="nextTo"/>
        <c:crossAx val="153322240"/>
        <c:crosses val="autoZero"/>
        <c:crossBetween val="between"/>
      </c:valAx>
    </c:plotArea>
    <c:legend>
      <c:legendPos val="b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Composition of Outlays</a:t>
            </a:r>
          </a:p>
        </c:rich>
      </c:tx>
      <c:layout/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Discretionary</c:v>
          </c:tx>
          <c:marker>
            <c:symbol val="none"/>
          </c:marker>
          <c:cat>
            <c:numRef>
              <c:f>'3. Outlays, by Major Category'!$A$57:$A$109</c:f>
              <c:numCache>
                <c:formatCode>General</c:formatCode>
                <c:ptCount val="53"/>
                <c:pt idx="0">
                  <c:v>1974</c:v>
                </c:pt>
                <c:pt idx="1">
                  <c:v>1975</c:v>
                </c:pt>
                <c:pt idx="2">
                  <c:v>1976</c:v>
                </c:pt>
                <c:pt idx="3">
                  <c:v>1977</c:v>
                </c:pt>
                <c:pt idx="4">
                  <c:v>1978</c:v>
                </c:pt>
                <c:pt idx="5">
                  <c:v>1979</c:v>
                </c:pt>
                <c:pt idx="6">
                  <c:v>1980</c:v>
                </c:pt>
                <c:pt idx="7">
                  <c:v>1981</c:v>
                </c:pt>
                <c:pt idx="8">
                  <c:v>1982</c:v>
                </c:pt>
                <c:pt idx="9">
                  <c:v>1983</c:v>
                </c:pt>
                <c:pt idx="10">
                  <c:v>1984</c:v>
                </c:pt>
                <c:pt idx="11">
                  <c:v>1985</c:v>
                </c:pt>
                <c:pt idx="12">
                  <c:v>1986</c:v>
                </c:pt>
                <c:pt idx="13">
                  <c:v>1987</c:v>
                </c:pt>
                <c:pt idx="14">
                  <c:v>1988</c:v>
                </c:pt>
                <c:pt idx="15">
                  <c:v>1989</c:v>
                </c:pt>
                <c:pt idx="16">
                  <c:v>1990</c:v>
                </c:pt>
                <c:pt idx="17">
                  <c:v>1991</c:v>
                </c:pt>
                <c:pt idx="18">
                  <c:v>1992</c:v>
                </c:pt>
                <c:pt idx="19">
                  <c:v>1993</c:v>
                </c:pt>
                <c:pt idx="20">
                  <c:v>1994</c:v>
                </c:pt>
                <c:pt idx="21">
                  <c:v>1995</c:v>
                </c:pt>
                <c:pt idx="22">
                  <c:v>1996</c:v>
                </c:pt>
                <c:pt idx="23">
                  <c:v>1997</c:v>
                </c:pt>
                <c:pt idx="24">
                  <c:v>1998</c:v>
                </c:pt>
                <c:pt idx="25">
                  <c:v>1999</c:v>
                </c:pt>
                <c:pt idx="26">
                  <c:v>2000</c:v>
                </c:pt>
                <c:pt idx="27">
                  <c:v>2001</c:v>
                </c:pt>
                <c:pt idx="28">
                  <c:v>2002</c:v>
                </c:pt>
                <c:pt idx="29">
                  <c:v>2003</c:v>
                </c:pt>
                <c:pt idx="30">
                  <c:v>2004</c:v>
                </c:pt>
                <c:pt idx="31">
                  <c:v>2005</c:v>
                </c:pt>
                <c:pt idx="32">
                  <c:v>2006</c:v>
                </c:pt>
                <c:pt idx="33">
                  <c:v>2007</c:v>
                </c:pt>
                <c:pt idx="34">
                  <c:v>2008</c:v>
                </c:pt>
                <c:pt idx="35">
                  <c:v>2009</c:v>
                </c:pt>
                <c:pt idx="36">
                  <c:v>2010</c:v>
                </c:pt>
                <c:pt idx="37">
                  <c:v>2011</c:v>
                </c:pt>
                <c:pt idx="38">
                  <c:v>2012</c:v>
                </c:pt>
                <c:pt idx="39">
                  <c:v>2013</c:v>
                </c:pt>
                <c:pt idx="40">
                  <c:v>2014</c:v>
                </c:pt>
                <c:pt idx="41">
                  <c:v>2015</c:v>
                </c:pt>
                <c:pt idx="42">
                  <c:v>2016</c:v>
                </c:pt>
                <c:pt idx="43">
                  <c:v>2017</c:v>
                </c:pt>
                <c:pt idx="44">
                  <c:v>2018</c:v>
                </c:pt>
                <c:pt idx="45">
                  <c:v>2019</c:v>
                </c:pt>
                <c:pt idx="46">
                  <c:v>2020</c:v>
                </c:pt>
                <c:pt idx="47">
                  <c:v>2021</c:v>
                </c:pt>
                <c:pt idx="48">
                  <c:v>2022</c:v>
                </c:pt>
                <c:pt idx="49">
                  <c:v>2023</c:v>
                </c:pt>
                <c:pt idx="50">
                  <c:v>2024</c:v>
                </c:pt>
                <c:pt idx="51">
                  <c:v>2025</c:v>
                </c:pt>
                <c:pt idx="52">
                  <c:v>2026</c:v>
                </c:pt>
              </c:numCache>
            </c:numRef>
          </c:cat>
          <c:val>
            <c:numRef>
              <c:f>'3. Outlays, by Major Category'!$B$57:$B$109</c:f>
              <c:numCache>
                <c:formatCode>#,##0.0</c:formatCode>
                <c:ptCount val="53"/>
                <c:pt idx="0">
                  <c:v>9.2993540573274114</c:v>
                </c:pt>
                <c:pt idx="1">
                  <c:v>9.8078355892214084</c:v>
                </c:pt>
                <c:pt idx="2">
                  <c:v>9.8072642471128741</c:v>
                </c:pt>
                <c:pt idx="3">
                  <c:v>9.7158069883527443</c:v>
                </c:pt>
                <c:pt idx="4">
                  <c:v>9.6000175575283393</c:v>
                </c:pt>
                <c:pt idx="5">
                  <c:v>9.3383527397593404</c:v>
                </c:pt>
                <c:pt idx="6">
                  <c:v>9.8800940368817667</c:v>
                </c:pt>
                <c:pt idx="7">
                  <c:v>9.8110676533611603</c:v>
                </c:pt>
                <c:pt idx="8">
                  <c:v>9.8358291150222161</c:v>
                </c:pt>
                <c:pt idx="9">
                  <c:v>9.9775490320667597</c:v>
                </c:pt>
                <c:pt idx="10">
                  <c:v>9.5993877796259639</c:v>
                </c:pt>
                <c:pt idx="11">
                  <c:v>9.7366858882416665</c:v>
                </c:pt>
                <c:pt idx="12">
                  <c:v>9.6674419373684142</c:v>
                </c:pt>
                <c:pt idx="13">
                  <c:v>9.2884276565154877</c:v>
                </c:pt>
                <c:pt idx="14">
                  <c:v>9.0088601149341674</c:v>
                </c:pt>
                <c:pt idx="15">
                  <c:v>8.7761973797009851</c:v>
                </c:pt>
                <c:pt idx="16">
                  <c:v>8.4634652532092325</c:v>
                </c:pt>
                <c:pt idx="17">
                  <c:v>8.727918461872088</c:v>
                </c:pt>
                <c:pt idx="18">
                  <c:v>8.2956614307526735</c:v>
                </c:pt>
                <c:pt idx="19">
                  <c:v>7.9435309700325618</c:v>
                </c:pt>
                <c:pt idx="20">
                  <c:v>7.5209614115522214</c:v>
                </c:pt>
                <c:pt idx="21">
                  <c:v>7.1836694326037724</c:v>
                </c:pt>
                <c:pt idx="22">
                  <c:v>6.6772955306754902</c:v>
                </c:pt>
                <c:pt idx="23">
                  <c:v>6.4485126397623533</c:v>
                </c:pt>
                <c:pt idx="24">
                  <c:v>6.1642359405011842</c:v>
                </c:pt>
                <c:pt idx="25">
                  <c:v>6.0133644803329824</c:v>
                </c:pt>
                <c:pt idx="26">
                  <c:v>6.0530580388468556</c:v>
                </c:pt>
                <c:pt idx="27">
                  <c:v>6.1413219093668179</c:v>
                </c:pt>
                <c:pt idx="28">
                  <c:v>6.7462050011719334</c:v>
                </c:pt>
                <c:pt idx="29">
                  <c:v>7.27310345131826</c:v>
                </c:pt>
                <c:pt idx="30">
                  <c:v>7.4029295243451578</c:v>
                </c:pt>
                <c:pt idx="31">
                  <c:v>7.5135816547781129</c:v>
                </c:pt>
                <c:pt idx="32">
                  <c:v>7.427864795009727</c:v>
                </c:pt>
                <c:pt idx="33">
                  <c:v>7.2711597597199278</c:v>
                </c:pt>
                <c:pt idx="34">
                  <c:v>7.6909611803951927</c:v>
                </c:pt>
                <c:pt idx="35">
                  <c:v>8.5859049786312926</c:v>
                </c:pt>
                <c:pt idx="36">
                  <c:v>9.1077653230931492</c:v>
                </c:pt>
                <c:pt idx="37">
                  <c:v>8.7549323051977055</c:v>
                </c:pt>
                <c:pt idx="38">
                  <c:v>7.9910402366073452</c:v>
                </c:pt>
                <c:pt idx="39">
                  <c:v>7.23</c:v>
                </c:pt>
                <c:pt idx="40">
                  <c:v>6.8289999999999997</c:v>
                </c:pt>
                <c:pt idx="41">
                  <c:v>6.5540000000000003</c:v>
                </c:pt>
                <c:pt idx="42">
                  <c:v>6.234</c:v>
                </c:pt>
                <c:pt idx="43">
                  <c:v>5.9470000000000001</c:v>
                </c:pt>
                <c:pt idx="44" formatCode="0.0">
                  <c:v>5.7629999999999999</c:v>
                </c:pt>
                <c:pt idx="45" formatCode="0.0">
                  <c:v>5.6550000000000002</c:v>
                </c:pt>
                <c:pt idx="46" formatCode="0.0">
                  <c:v>5.5449999999999999</c:v>
                </c:pt>
                <c:pt idx="47" formatCode="0.0">
                  <c:v>5.4349999999999996</c:v>
                </c:pt>
                <c:pt idx="48" formatCode="0.0">
                  <c:v>5.3620000000000001</c:v>
                </c:pt>
                <c:pt idx="49" formatCode="0.0">
                  <c:v>5.2519999999999998</c:v>
                </c:pt>
                <c:pt idx="50" formatCode="0.0">
                  <c:v>5.1440000000000001</c:v>
                </c:pt>
                <c:pt idx="51" formatCode="0.0">
                  <c:v>6.0090000000000003</c:v>
                </c:pt>
                <c:pt idx="52" formatCode="0.0">
                  <c:v>5.6390000000000002</c:v>
                </c:pt>
              </c:numCache>
            </c:numRef>
          </c:val>
          <c:smooth val="0"/>
        </c:ser>
        <c:ser>
          <c:idx val="6"/>
          <c:order val="1"/>
          <c:tx>
            <c:v>Net Interest</c:v>
          </c:tx>
          <c:marker>
            <c:symbol val="none"/>
          </c:marker>
          <c:cat>
            <c:numRef>
              <c:f>'3. Outlays, by Major Category'!$A$57:$A$109</c:f>
              <c:numCache>
                <c:formatCode>General</c:formatCode>
                <c:ptCount val="53"/>
                <c:pt idx="0">
                  <c:v>1974</c:v>
                </c:pt>
                <c:pt idx="1">
                  <c:v>1975</c:v>
                </c:pt>
                <c:pt idx="2">
                  <c:v>1976</c:v>
                </c:pt>
                <c:pt idx="3">
                  <c:v>1977</c:v>
                </c:pt>
                <c:pt idx="4">
                  <c:v>1978</c:v>
                </c:pt>
                <c:pt idx="5">
                  <c:v>1979</c:v>
                </c:pt>
                <c:pt idx="6">
                  <c:v>1980</c:v>
                </c:pt>
                <c:pt idx="7">
                  <c:v>1981</c:v>
                </c:pt>
                <c:pt idx="8">
                  <c:v>1982</c:v>
                </c:pt>
                <c:pt idx="9">
                  <c:v>1983</c:v>
                </c:pt>
                <c:pt idx="10">
                  <c:v>1984</c:v>
                </c:pt>
                <c:pt idx="11">
                  <c:v>1985</c:v>
                </c:pt>
                <c:pt idx="12">
                  <c:v>1986</c:v>
                </c:pt>
                <c:pt idx="13">
                  <c:v>1987</c:v>
                </c:pt>
                <c:pt idx="14">
                  <c:v>1988</c:v>
                </c:pt>
                <c:pt idx="15">
                  <c:v>1989</c:v>
                </c:pt>
                <c:pt idx="16">
                  <c:v>1990</c:v>
                </c:pt>
                <c:pt idx="17">
                  <c:v>1991</c:v>
                </c:pt>
                <c:pt idx="18">
                  <c:v>1992</c:v>
                </c:pt>
                <c:pt idx="19">
                  <c:v>1993</c:v>
                </c:pt>
                <c:pt idx="20">
                  <c:v>1994</c:v>
                </c:pt>
                <c:pt idx="21">
                  <c:v>1995</c:v>
                </c:pt>
                <c:pt idx="22">
                  <c:v>1996</c:v>
                </c:pt>
                <c:pt idx="23">
                  <c:v>1997</c:v>
                </c:pt>
                <c:pt idx="24">
                  <c:v>1998</c:v>
                </c:pt>
                <c:pt idx="25">
                  <c:v>1999</c:v>
                </c:pt>
                <c:pt idx="26">
                  <c:v>2000</c:v>
                </c:pt>
                <c:pt idx="27">
                  <c:v>2001</c:v>
                </c:pt>
                <c:pt idx="28">
                  <c:v>2002</c:v>
                </c:pt>
                <c:pt idx="29">
                  <c:v>2003</c:v>
                </c:pt>
                <c:pt idx="30">
                  <c:v>2004</c:v>
                </c:pt>
                <c:pt idx="31">
                  <c:v>2005</c:v>
                </c:pt>
                <c:pt idx="32">
                  <c:v>2006</c:v>
                </c:pt>
                <c:pt idx="33">
                  <c:v>2007</c:v>
                </c:pt>
                <c:pt idx="34">
                  <c:v>2008</c:v>
                </c:pt>
                <c:pt idx="35">
                  <c:v>2009</c:v>
                </c:pt>
                <c:pt idx="36">
                  <c:v>2010</c:v>
                </c:pt>
                <c:pt idx="37">
                  <c:v>2011</c:v>
                </c:pt>
                <c:pt idx="38">
                  <c:v>2012</c:v>
                </c:pt>
                <c:pt idx="39">
                  <c:v>2013</c:v>
                </c:pt>
                <c:pt idx="40">
                  <c:v>2014</c:v>
                </c:pt>
                <c:pt idx="41">
                  <c:v>2015</c:v>
                </c:pt>
                <c:pt idx="42">
                  <c:v>2016</c:v>
                </c:pt>
                <c:pt idx="43">
                  <c:v>2017</c:v>
                </c:pt>
                <c:pt idx="44">
                  <c:v>2018</c:v>
                </c:pt>
                <c:pt idx="45">
                  <c:v>2019</c:v>
                </c:pt>
                <c:pt idx="46">
                  <c:v>2020</c:v>
                </c:pt>
                <c:pt idx="47">
                  <c:v>2021</c:v>
                </c:pt>
                <c:pt idx="48">
                  <c:v>2022</c:v>
                </c:pt>
                <c:pt idx="49">
                  <c:v>2023</c:v>
                </c:pt>
                <c:pt idx="50">
                  <c:v>2024</c:v>
                </c:pt>
                <c:pt idx="51">
                  <c:v>2025</c:v>
                </c:pt>
                <c:pt idx="52">
                  <c:v>2026</c:v>
                </c:pt>
              </c:numCache>
            </c:numRef>
          </c:cat>
          <c:val>
            <c:numRef>
              <c:f>'3. Outlays, by Major Category'!$H$57:$H$109</c:f>
              <c:numCache>
                <c:formatCode>#,##0.0</c:formatCode>
                <c:ptCount val="53"/>
                <c:pt idx="0">
                  <c:v>1.443210873368322</c:v>
                </c:pt>
                <c:pt idx="1">
                  <c:v>1.4431888737116605</c:v>
                </c:pt>
                <c:pt idx="2">
                  <c:v>1.492899135607658</c:v>
                </c:pt>
                <c:pt idx="3">
                  <c:v>1.4741356997596597</c:v>
                </c:pt>
                <c:pt idx="4">
                  <c:v>1.5563870996060529</c:v>
                </c:pt>
                <c:pt idx="5">
                  <c:v>1.6588554586044884</c:v>
                </c:pt>
                <c:pt idx="6">
                  <c:v>1.8783420189325204</c:v>
                </c:pt>
                <c:pt idx="7">
                  <c:v>2.1910990385304729</c:v>
                </c:pt>
                <c:pt idx="8">
                  <c:v>2.5658999524732753</c:v>
                </c:pt>
                <c:pt idx="9">
                  <c:v>2.536196890752743</c:v>
                </c:pt>
                <c:pt idx="10">
                  <c:v>2.8106986775280971</c:v>
                </c:pt>
                <c:pt idx="11">
                  <c:v>3.0320053859438576</c:v>
                </c:pt>
                <c:pt idx="12">
                  <c:v>2.9985780580020056</c:v>
                </c:pt>
                <c:pt idx="13">
                  <c:v>2.8986746830479673</c:v>
                </c:pt>
                <c:pt idx="14">
                  <c:v>2.9447006619626097</c:v>
                </c:pt>
                <c:pt idx="15">
                  <c:v>3.0337838141104756</c:v>
                </c:pt>
                <c:pt idx="16">
                  <c:v>3.1168258074333322</c:v>
                </c:pt>
                <c:pt idx="17">
                  <c:v>3.18244197036837</c:v>
                </c:pt>
                <c:pt idx="18">
                  <c:v>3.0979412484605011</c:v>
                </c:pt>
                <c:pt idx="19">
                  <c:v>2.9244540922386357</c:v>
                </c:pt>
                <c:pt idx="20">
                  <c:v>2.8193810565801809</c:v>
                </c:pt>
                <c:pt idx="21">
                  <c:v>3.0611110561659958</c:v>
                </c:pt>
                <c:pt idx="22">
                  <c:v>3.0213674008479279</c:v>
                </c:pt>
                <c:pt idx="23">
                  <c:v>2.8761014481648917</c:v>
                </c:pt>
                <c:pt idx="24">
                  <c:v>2.6926117836244252</c:v>
                </c:pt>
                <c:pt idx="25">
                  <c:v>2.4149085166372801</c:v>
                </c:pt>
                <c:pt idx="26">
                  <c:v>2.195681986611155</c:v>
                </c:pt>
                <c:pt idx="27">
                  <c:v>1.9507826379048914</c:v>
                </c:pt>
                <c:pt idx="28">
                  <c:v>1.5713018580902527</c:v>
                </c:pt>
                <c:pt idx="29">
                  <c:v>1.3505557356908262</c:v>
                </c:pt>
                <c:pt idx="30">
                  <c:v>1.3253575061824376</c:v>
                </c:pt>
                <c:pt idx="31">
                  <c:v>1.4272936375872247</c:v>
                </c:pt>
                <c:pt idx="32">
                  <c:v>1.6556528727863882</c:v>
                </c:pt>
                <c:pt idx="33">
                  <c:v>1.6552169466560094</c:v>
                </c:pt>
                <c:pt idx="34">
                  <c:v>1.7129012965846269</c:v>
                </c:pt>
                <c:pt idx="35">
                  <c:v>1.2967058888827216</c:v>
                </c:pt>
                <c:pt idx="36">
                  <c:v>1.3264058845004529</c:v>
                </c:pt>
                <c:pt idx="37">
                  <c:v>1.4945140645639277</c:v>
                </c:pt>
                <c:pt idx="38">
                  <c:v>1.3694892717396201</c:v>
                </c:pt>
                <c:pt idx="39">
                  <c:v>1.3280000000000001</c:v>
                </c:pt>
                <c:pt idx="40">
                  <c:v>1.3160000000000001</c:v>
                </c:pt>
                <c:pt idx="41">
                  <c:v>1.4650000000000001</c:v>
                </c:pt>
                <c:pt idx="42">
                  <c:v>1.6910000000000001</c:v>
                </c:pt>
                <c:pt idx="43">
                  <c:v>1.996</c:v>
                </c:pt>
                <c:pt idx="44" formatCode="0.0">
                  <c:v>2.343</c:v>
                </c:pt>
                <c:pt idx="45" formatCode="0.0">
                  <c:v>2.593</c:v>
                </c:pt>
                <c:pt idx="46" formatCode="0.0">
                  <c:v>2.786</c:v>
                </c:pt>
                <c:pt idx="47" formatCode="0.0">
                  <c:v>2.923</c:v>
                </c:pt>
                <c:pt idx="48" formatCode="0.0">
                  <c:v>3.05</c:v>
                </c:pt>
                <c:pt idx="49" formatCode="0.0">
                  <c:v>3.1739999999999999</c:v>
                </c:pt>
                <c:pt idx="50" formatCode="0.0">
                  <c:v>3.266</c:v>
                </c:pt>
                <c:pt idx="51" formatCode="0.0">
                  <c:v>2.0449999999999999</c:v>
                </c:pt>
                <c:pt idx="52" formatCode="0.0">
                  <c:v>2.601</c:v>
                </c:pt>
              </c:numCache>
            </c:numRef>
          </c:val>
          <c:smooth val="0"/>
        </c:ser>
        <c:ser>
          <c:idx val="1"/>
          <c:order val="2"/>
          <c:tx>
            <c:v>Mandatory</c:v>
          </c:tx>
          <c:marker>
            <c:symbol val="none"/>
          </c:marker>
          <c:cat>
            <c:numRef>
              <c:f>'3. Outlays, by Major Category'!$A$57:$A$109</c:f>
              <c:numCache>
                <c:formatCode>General</c:formatCode>
                <c:ptCount val="53"/>
                <c:pt idx="0">
                  <c:v>1974</c:v>
                </c:pt>
                <c:pt idx="1">
                  <c:v>1975</c:v>
                </c:pt>
                <c:pt idx="2">
                  <c:v>1976</c:v>
                </c:pt>
                <c:pt idx="3">
                  <c:v>1977</c:v>
                </c:pt>
                <c:pt idx="4">
                  <c:v>1978</c:v>
                </c:pt>
                <c:pt idx="5">
                  <c:v>1979</c:v>
                </c:pt>
                <c:pt idx="6">
                  <c:v>1980</c:v>
                </c:pt>
                <c:pt idx="7">
                  <c:v>1981</c:v>
                </c:pt>
                <c:pt idx="8">
                  <c:v>1982</c:v>
                </c:pt>
                <c:pt idx="9">
                  <c:v>1983</c:v>
                </c:pt>
                <c:pt idx="10">
                  <c:v>1984</c:v>
                </c:pt>
                <c:pt idx="11">
                  <c:v>1985</c:v>
                </c:pt>
                <c:pt idx="12">
                  <c:v>1986</c:v>
                </c:pt>
                <c:pt idx="13">
                  <c:v>1987</c:v>
                </c:pt>
                <c:pt idx="14">
                  <c:v>1988</c:v>
                </c:pt>
                <c:pt idx="15">
                  <c:v>1989</c:v>
                </c:pt>
                <c:pt idx="16">
                  <c:v>1990</c:v>
                </c:pt>
                <c:pt idx="17">
                  <c:v>1991</c:v>
                </c:pt>
                <c:pt idx="18">
                  <c:v>1992</c:v>
                </c:pt>
                <c:pt idx="19">
                  <c:v>1993</c:v>
                </c:pt>
                <c:pt idx="20">
                  <c:v>1994</c:v>
                </c:pt>
                <c:pt idx="21">
                  <c:v>1995</c:v>
                </c:pt>
                <c:pt idx="22">
                  <c:v>1996</c:v>
                </c:pt>
                <c:pt idx="23">
                  <c:v>1997</c:v>
                </c:pt>
                <c:pt idx="24">
                  <c:v>1998</c:v>
                </c:pt>
                <c:pt idx="25">
                  <c:v>1999</c:v>
                </c:pt>
                <c:pt idx="26">
                  <c:v>2000</c:v>
                </c:pt>
                <c:pt idx="27">
                  <c:v>2001</c:v>
                </c:pt>
                <c:pt idx="28">
                  <c:v>2002</c:v>
                </c:pt>
                <c:pt idx="29">
                  <c:v>2003</c:v>
                </c:pt>
                <c:pt idx="30">
                  <c:v>2004</c:v>
                </c:pt>
                <c:pt idx="31">
                  <c:v>2005</c:v>
                </c:pt>
                <c:pt idx="32">
                  <c:v>2006</c:v>
                </c:pt>
                <c:pt idx="33">
                  <c:v>2007</c:v>
                </c:pt>
                <c:pt idx="34">
                  <c:v>2008</c:v>
                </c:pt>
                <c:pt idx="35">
                  <c:v>2009</c:v>
                </c:pt>
                <c:pt idx="36">
                  <c:v>2010</c:v>
                </c:pt>
                <c:pt idx="37">
                  <c:v>2011</c:v>
                </c:pt>
                <c:pt idx="38">
                  <c:v>2012</c:v>
                </c:pt>
                <c:pt idx="39">
                  <c:v>2013</c:v>
                </c:pt>
                <c:pt idx="40">
                  <c:v>2014</c:v>
                </c:pt>
                <c:pt idx="41">
                  <c:v>2015</c:v>
                </c:pt>
                <c:pt idx="42">
                  <c:v>2016</c:v>
                </c:pt>
                <c:pt idx="43">
                  <c:v>2017</c:v>
                </c:pt>
                <c:pt idx="44">
                  <c:v>2018</c:v>
                </c:pt>
                <c:pt idx="45">
                  <c:v>2019</c:v>
                </c:pt>
                <c:pt idx="46">
                  <c:v>2020</c:v>
                </c:pt>
                <c:pt idx="47">
                  <c:v>2021</c:v>
                </c:pt>
                <c:pt idx="48">
                  <c:v>2022</c:v>
                </c:pt>
                <c:pt idx="49">
                  <c:v>2023</c:v>
                </c:pt>
                <c:pt idx="50">
                  <c:v>2024</c:v>
                </c:pt>
                <c:pt idx="51">
                  <c:v>2025</c:v>
                </c:pt>
                <c:pt idx="52">
                  <c:v>2026</c:v>
                </c:pt>
              </c:numCache>
            </c:numRef>
          </c:cat>
          <c:val>
            <c:numRef>
              <c:f>'3. Outlays, by Major Category'!$L$57:$L$109</c:f>
              <c:numCache>
                <c:formatCode>#,##0.0</c:formatCode>
                <c:ptCount val="53"/>
                <c:pt idx="0">
                  <c:v>7.3814426053021114</c:v>
                </c:pt>
                <c:pt idx="1">
                  <c:v>9.3830249596423698</c:v>
                </c:pt>
                <c:pt idx="2">
                  <c:v>9.4671489017050448</c:v>
                </c:pt>
                <c:pt idx="3">
                  <c:v>8.9847291551118502</c:v>
                </c:pt>
                <c:pt idx="4">
                  <c:v>8.9797100813133017</c:v>
                </c:pt>
                <c:pt idx="5">
                  <c:v>8.6145854612309218</c:v>
                </c:pt>
                <c:pt idx="6">
                  <c:v>9.3709361675501235</c:v>
                </c:pt>
                <c:pt idx="7">
                  <c:v>9.608705003305797</c:v>
                </c:pt>
                <c:pt idx="8">
                  <c:v>10.101586487322436</c:v>
                </c:pt>
                <c:pt idx="9">
                  <c:v>10.314624193388966</c:v>
                </c:pt>
                <c:pt idx="10">
                  <c:v>9.1391852662336426</c:v>
                </c:pt>
                <c:pt idx="11">
                  <c:v>9.3919854813687316</c:v>
                </c:pt>
                <c:pt idx="12">
                  <c:v>9.1675576768333684</c:v>
                </c:pt>
                <c:pt idx="13">
                  <c:v>8.8092014115801867</c:v>
                </c:pt>
                <c:pt idx="14">
                  <c:v>8.6941635750830457</c:v>
                </c:pt>
                <c:pt idx="15">
                  <c:v>8.7241145606578119</c:v>
                </c:pt>
                <c:pt idx="16">
                  <c:v>9.6045616126264353</c:v>
                </c:pt>
                <c:pt idx="17">
                  <c:v>9.7626441790336393</c:v>
                </c:pt>
                <c:pt idx="18">
                  <c:v>10.076296966847847</c:v>
                </c:pt>
                <c:pt idx="19">
                  <c:v>9.8739123236262589</c:v>
                </c:pt>
                <c:pt idx="20">
                  <c:v>9.9681289291792563</c:v>
                </c:pt>
                <c:pt idx="21">
                  <c:v>9.7430480692835921</c:v>
                </c:pt>
                <c:pt idx="22">
                  <c:v>9.8605024269030572</c:v>
                </c:pt>
                <c:pt idx="23">
                  <c:v>9.5494598115086955</c:v>
                </c:pt>
                <c:pt idx="24">
                  <c:v>9.5964733997409244</c:v>
                </c:pt>
                <c:pt idx="25">
                  <c:v>9.4594453977154789</c:v>
                </c:pt>
                <c:pt idx="26">
                  <c:v>9.3694833796616592</c:v>
                </c:pt>
                <c:pt idx="27">
                  <c:v>9.5344197456101529</c:v>
                </c:pt>
                <c:pt idx="28">
                  <c:v>10.165909122244228</c:v>
                </c:pt>
                <c:pt idx="29">
                  <c:v>10.433026074028977</c:v>
                </c:pt>
                <c:pt idx="30">
                  <c:v>10.235387529258022</c:v>
                </c:pt>
                <c:pt idx="31">
                  <c:v>10.235629976998654</c:v>
                </c:pt>
                <c:pt idx="32">
                  <c:v>10.315348013114995</c:v>
                </c:pt>
                <c:pt idx="33">
                  <c:v>10.122108628651409</c:v>
                </c:pt>
                <c:pt idx="34">
                  <c:v>10.808450079035243</c:v>
                </c:pt>
                <c:pt idx="35">
                  <c:v>14.522652217350279</c:v>
                </c:pt>
                <c:pt idx="36">
                  <c:v>12.938051840934602</c:v>
                </c:pt>
                <c:pt idx="37">
                  <c:v>13.166693474880706</c:v>
                </c:pt>
                <c:pt idx="38">
                  <c:v>12.617154964451423</c:v>
                </c:pt>
                <c:pt idx="39">
                  <c:v>12.218598231174278</c:v>
                </c:pt>
                <c:pt idx="40">
                  <c:v>12.252000000000001</c:v>
                </c:pt>
                <c:pt idx="41">
                  <c:v>12.798999999999999</c:v>
                </c:pt>
                <c:pt idx="42">
                  <c:v>13.093999999999999</c:v>
                </c:pt>
                <c:pt idx="43">
                  <c:v>12.989000000000001</c:v>
                </c:pt>
                <c:pt idx="44" formatCode="0.0">
                  <c:v>12.848000000000001</c:v>
                </c:pt>
                <c:pt idx="45" formatCode="0.0">
                  <c:v>13.013</c:v>
                </c:pt>
                <c:pt idx="46" formatCode="0.0">
                  <c:v>13.175000000000001</c:v>
                </c:pt>
                <c:pt idx="47" formatCode="0.0">
                  <c:v>13.371</c:v>
                </c:pt>
                <c:pt idx="48" formatCode="0.0">
                  <c:v>13.75</c:v>
                </c:pt>
                <c:pt idx="49" formatCode="0.0">
                  <c:v>13.695</c:v>
                </c:pt>
                <c:pt idx="50" formatCode="0.0">
                  <c:v>13.657</c:v>
                </c:pt>
                <c:pt idx="51" formatCode="0.0">
                  <c:v>12.95</c:v>
                </c:pt>
                <c:pt idx="52" formatCode="0.0">
                  <c:v>13.276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7069952"/>
        <c:axId val="169410560"/>
      </c:lineChart>
      <c:catAx>
        <c:axId val="1670699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crossAx val="169410560"/>
        <c:crosses val="autoZero"/>
        <c:auto val="1"/>
        <c:lblAlgn val="ctr"/>
        <c:lblOffset val="100"/>
        <c:noMultiLvlLbl val="0"/>
      </c:catAx>
      <c:valAx>
        <c:axId val="169410560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Share of GDP</a:t>
                </a:r>
              </a:p>
            </c:rich>
          </c:tx>
          <c:layout>
            <c:manualLayout>
              <c:xMode val="edge"/>
              <c:yMode val="edge"/>
              <c:x val="4.4444444444444446E-2"/>
              <c:y val="0.41951589384660248"/>
            </c:manualLayout>
          </c:layout>
          <c:overlay val="0"/>
        </c:title>
        <c:numFmt formatCode="#,##0" sourceLinked="0"/>
        <c:majorTickMark val="none"/>
        <c:minorTickMark val="none"/>
        <c:tickLblPos val="nextTo"/>
        <c:crossAx val="167069952"/>
        <c:crosses val="autoZero"/>
        <c:crossBetween val="between"/>
      </c:valAx>
    </c:plotArea>
    <c:legend>
      <c:legendPos val="b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Real State and Local Investment Spending</a:t>
            </a:r>
          </a:p>
        </c:rich>
      </c:tx>
      <c:layout/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marker>
            <c:symbol val="none"/>
          </c:marker>
          <c:cat>
            <c:strRef>
              <c:f>Sheet0!$C$6:$AE$6</c:f>
              <c:strCache>
                <c:ptCount val="29"/>
                <c:pt idx="0">
                  <c:v>2007</c:v>
                </c:pt>
                <c:pt idx="4">
                  <c:v>2008</c:v>
                </c:pt>
                <c:pt idx="8">
                  <c:v>2009</c:v>
                </c:pt>
                <c:pt idx="12">
                  <c:v>2010</c:v>
                </c:pt>
                <c:pt idx="16">
                  <c:v>2011</c:v>
                </c:pt>
                <c:pt idx="20">
                  <c:v>2012</c:v>
                </c:pt>
                <c:pt idx="24">
                  <c:v>2013</c:v>
                </c:pt>
                <c:pt idx="28">
                  <c:v>2014</c:v>
                </c:pt>
              </c:strCache>
            </c:strRef>
          </c:cat>
          <c:val>
            <c:numRef>
              <c:f>Sheet0!$C$69:$AE$69</c:f>
              <c:numCache>
                <c:formatCode>General</c:formatCode>
                <c:ptCount val="29"/>
                <c:pt idx="0">
                  <c:v>358.9</c:v>
                </c:pt>
                <c:pt idx="1">
                  <c:v>362.2</c:v>
                </c:pt>
                <c:pt idx="2">
                  <c:v>362.4</c:v>
                </c:pt>
                <c:pt idx="3">
                  <c:v>364.9</c:v>
                </c:pt>
                <c:pt idx="4">
                  <c:v>363.2</c:v>
                </c:pt>
                <c:pt idx="5">
                  <c:v>367.7</c:v>
                </c:pt>
                <c:pt idx="6">
                  <c:v>368.6</c:v>
                </c:pt>
                <c:pt idx="7">
                  <c:v>361.2</c:v>
                </c:pt>
                <c:pt idx="8">
                  <c:v>361.2</c:v>
                </c:pt>
                <c:pt idx="9">
                  <c:v>367.6</c:v>
                </c:pt>
                <c:pt idx="10">
                  <c:v>366.5</c:v>
                </c:pt>
                <c:pt idx="11">
                  <c:v>356.9</c:v>
                </c:pt>
                <c:pt idx="12">
                  <c:v>346.7</c:v>
                </c:pt>
                <c:pt idx="13">
                  <c:v>355.6</c:v>
                </c:pt>
                <c:pt idx="14">
                  <c:v>356.2</c:v>
                </c:pt>
                <c:pt idx="15">
                  <c:v>345.5</c:v>
                </c:pt>
                <c:pt idx="16">
                  <c:v>332.7</c:v>
                </c:pt>
                <c:pt idx="17">
                  <c:v>327.10000000000002</c:v>
                </c:pt>
                <c:pt idx="18">
                  <c:v>324.89999999999998</c:v>
                </c:pt>
                <c:pt idx="19">
                  <c:v>324.5</c:v>
                </c:pt>
                <c:pt idx="20">
                  <c:v>317.7</c:v>
                </c:pt>
                <c:pt idx="21">
                  <c:v>319.2</c:v>
                </c:pt>
                <c:pt idx="22">
                  <c:v>313.8</c:v>
                </c:pt>
                <c:pt idx="23">
                  <c:v>309.60000000000002</c:v>
                </c:pt>
                <c:pt idx="24">
                  <c:v>303.7</c:v>
                </c:pt>
                <c:pt idx="25">
                  <c:v>304</c:v>
                </c:pt>
                <c:pt idx="26">
                  <c:v>309.7</c:v>
                </c:pt>
                <c:pt idx="27">
                  <c:v>308.3</c:v>
                </c:pt>
                <c:pt idx="28">
                  <c:v>298.2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5547904"/>
        <c:axId val="135914624"/>
      </c:lineChart>
      <c:catAx>
        <c:axId val="135547904"/>
        <c:scaling>
          <c:orientation val="minMax"/>
        </c:scaling>
        <c:delete val="0"/>
        <c:axPos val="b"/>
        <c:majorTickMark val="none"/>
        <c:minorTickMark val="none"/>
        <c:tickLblPos val="nextTo"/>
        <c:crossAx val="135914624"/>
        <c:crosses val="autoZero"/>
        <c:auto val="1"/>
        <c:lblAlgn val="ctr"/>
        <c:lblOffset val="100"/>
        <c:noMultiLvlLbl val="0"/>
      </c:catAx>
      <c:valAx>
        <c:axId val="135914624"/>
        <c:scaling>
          <c:orientation val="minMax"/>
          <c:min val="250"/>
        </c:scaling>
        <c:delete val="0"/>
        <c:axPos val="l"/>
        <c:majorGridlines/>
        <c:numFmt formatCode="General" sourceLinked="1"/>
        <c:majorTickMark val="none"/>
        <c:minorTickMark val="none"/>
        <c:tickLblPos val="nextTo"/>
        <c:crossAx val="135547904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Change in Employment, </a:t>
            </a:r>
          </a:p>
          <a:p>
            <a:pPr>
              <a:defRPr/>
            </a:pPr>
            <a:r>
              <a:rPr lang="en-US"/>
              <a:t>State and Local</a:t>
            </a:r>
          </a:p>
        </c:rich>
      </c:tx>
      <c:layout>
        <c:manualLayout>
          <c:xMode val="edge"/>
          <c:yMode val="edge"/>
          <c:x val="0.2485693350831146"/>
          <c:y val="0"/>
        </c:manualLayout>
      </c:layout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cat>
            <c:numRef>
              <c:f>'BLS Data Series'!$A$291:$A$365</c:f>
              <c:numCache>
                <c:formatCode>General</c:formatCode>
                <c:ptCount val="75"/>
                <c:pt idx="0">
                  <c:v>2008</c:v>
                </c:pt>
                <c:pt idx="1">
                  <c:v>2008</c:v>
                </c:pt>
                <c:pt idx="2">
                  <c:v>2008</c:v>
                </c:pt>
                <c:pt idx="3">
                  <c:v>2008</c:v>
                </c:pt>
                <c:pt idx="4">
                  <c:v>2008</c:v>
                </c:pt>
                <c:pt idx="5">
                  <c:v>2008</c:v>
                </c:pt>
                <c:pt idx="6">
                  <c:v>2008</c:v>
                </c:pt>
                <c:pt idx="7">
                  <c:v>2008</c:v>
                </c:pt>
                <c:pt idx="8">
                  <c:v>2008</c:v>
                </c:pt>
                <c:pt idx="9">
                  <c:v>2008</c:v>
                </c:pt>
                <c:pt idx="10">
                  <c:v>2009</c:v>
                </c:pt>
                <c:pt idx="11">
                  <c:v>2009</c:v>
                </c:pt>
                <c:pt idx="12">
                  <c:v>2009</c:v>
                </c:pt>
                <c:pt idx="13">
                  <c:v>2009</c:v>
                </c:pt>
                <c:pt idx="14">
                  <c:v>2009</c:v>
                </c:pt>
                <c:pt idx="15">
                  <c:v>2009</c:v>
                </c:pt>
                <c:pt idx="16">
                  <c:v>2009</c:v>
                </c:pt>
                <c:pt idx="17">
                  <c:v>2009</c:v>
                </c:pt>
                <c:pt idx="18">
                  <c:v>2009</c:v>
                </c:pt>
                <c:pt idx="19">
                  <c:v>2009</c:v>
                </c:pt>
                <c:pt idx="20">
                  <c:v>2009</c:v>
                </c:pt>
                <c:pt idx="21">
                  <c:v>2009</c:v>
                </c:pt>
                <c:pt idx="22">
                  <c:v>2010</c:v>
                </c:pt>
                <c:pt idx="23">
                  <c:v>2010</c:v>
                </c:pt>
                <c:pt idx="24">
                  <c:v>2010</c:v>
                </c:pt>
                <c:pt idx="25">
                  <c:v>2010</c:v>
                </c:pt>
                <c:pt idx="26">
                  <c:v>2010</c:v>
                </c:pt>
                <c:pt idx="27">
                  <c:v>2010</c:v>
                </c:pt>
                <c:pt idx="28">
                  <c:v>2010</c:v>
                </c:pt>
                <c:pt idx="29">
                  <c:v>2010</c:v>
                </c:pt>
                <c:pt idx="30">
                  <c:v>2010</c:v>
                </c:pt>
                <c:pt idx="31">
                  <c:v>2010</c:v>
                </c:pt>
                <c:pt idx="32">
                  <c:v>2010</c:v>
                </c:pt>
                <c:pt idx="33">
                  <c:v>2010</c:v>
                </c:pt>
                <c:pt idx="34">
                  <c:v>2011</c:v>
                </c:pt>
                <c:pt idx="35">
                  <c:v>2011</c:v>
                </c:pt>
                <c:pt idx="36">
                  <c:v>2011</c:v>
                </c:pt>
                <c:pt idx="37">
                  <c:v>2011</c:v>
                </c:pt>
                <c:pt idx="38">
                  <c:v>2011</c:v>
                </c:pt>
                <c:pt idx="39">
                  <c:v>2011</c:v>
                </c:pt>
                <c:pt idx="40">
                  <c:v>2011</c:v>
                </c:pt>
                <c:pt idx="41">
                  <c:v>2011</c:v>
                </c:pt>
                <c:pt idx="42">
                  <c:v>2011</c:v>
                </c:pt>
                <c:pt idx="43">
                  <c:v>2011</c:v>
                </c:pt>
                <c:pt idx="44">
                  <c:v>2011</c:v>
                </c:pt>
                <c:pt idx="45">
                  <c:v>2011</c:v>
                </c:pt>
                <c:pt idx="46">
                  <c:v>2012</c:v>
                </c:pt>
                <c:pt idx="47">
                  <c:v>2012</c:v>
                </c:pt>
                <c:pt idx="48">
                  <c:v>2012</c:v>
                </c:pt>
                <c:pt idx="49">
                  <c:v>2012</c:v>
                </c:pt>
                <c:pt idx="50">
                  <c:v>2012</c:v>
                </c:pt>
                <c:pt idx="51">
                  <c:v>2012</c:v>
                </c:pt>
                <c:pt idx="52">
                  <c:v>2012</c:v>
                </c:pt>
                <c:pt idx="53">
                  <c:v>2012</c:v>
                </c:pt>
                <c:pt idx="54">
                  <c:v>2012</c:v>
                </c:pt>
                <c:pt idx="55">
                  <c:v>2012</c:v>
                </c:pt>
                <c:pt idx="56">
                  <c:v>2012</c:v>
                </c:pt>
                <c:pt idx="57">
                  <c:v>2012</c:v>
                </c:pt>
                <c:pt idx="58">
                  <c:v>2013</c:v>
                </c:pt>
                <c:pt idx="59">
                  <c:v>2013</c:v>
                </c:pt>
                <c:pt idx="60">
                  <c:v>2013</c:v>
                </c:pt>
                <c:pt idx="61">
                  <c:v>2013</c:v>
                </c:pt>
                <c:pt idx="62">
                  <c:v>2013</c:v>
                </c:pt>
                <c:pt idx="63">
                  <c:v>2013</c:v>
                </c:pt>
                <c:pt idx="64">
                  <c:v>2013</c:v>
                </c:pt>
                <c:pt idx="65">
                  <c:v>2013</c:v>
                </c:pt>
                <c:pt idx="66">
                  <c:v>2013</c:v>
                </c:pt>
                <c:pt idx="67">
                  <c:v>2013</c:v>
                </c:pt>
                <c:pt idx="68">
                  <c:v>2013</c:v>
                </c:pt>
                <c:pt idx="69">
                  <c:v>2013</c:v>
                </c:pt>
                <c:pt idx="70">
                  <c:v>2014</c:v>
                </c:pt>
                <c:pt idx="71">
                  <c:v>2014</c:v>
                </c:pt>
                <c:pt idx="72">
                  <c:v>2014</c:v>
                </c:pt>
                <c:pt idx="73">
                  <c:v>2014</c:v>
                </c:pt>
                <c:pt idx="74">
                  <c:v>2014</c:v>
                </c:pt>
              </c:numCache>
            </c:numRef>
          </c:cat>
          <c:val>
            <c:numRef>
              <c:f>'BLS Data Series'!$L$291:$L$365</c:f>
              <c:numCache>
                <c:formatCode>0.0</c:formatCode>
                <c:ptCount val="75"/>
                <c:pt idx="0">
                  <c:v>23.666666666666668</c:v>
                </c:pt>
                <c:pt idx="1">
                  <c:v>15</c:v>
                </c:pt>
                <c:pt idx="2">
                  <c:v>18.666666666666668</c:v>
                </c:pt>
                <c:pt idx="3">
                  <c:v>22.333333333333332</c:v>
                </c:pt>
                <c:pt idx="4">
                  <c:v>35.333333333333336</c:v>
                </c:pt>
                <c:pt idx="5">
                  <c:v>25</c:v>
                </c:pt>
                <c:pt idx="6">
                  <c:v>3.6666666666666665</c:v>
                </c:pt>
                <c:pt idx="7">
                  <c:v>-8</c:v>
                </c:pt>
                <c:pt idx="8">
                  <c:v>-6.333333333333333</c:v>
                </c:pt>
                <c:pt idx="9">
                  <c:v>4</c:v>
                </c:pt>
                <c:pt idx="10">
                  <c:v>5.333333333333333</c:v>
                </c:pt>
                <c:pt idx="11">
                  <c:v>-0.33333333333333331</c:v>
                </c:pt>
                <c:pt idx="12">
                  <c:v>-6</c:v>
                </c:pt>
                <c:pt idx="13">
                  <c:v>-12.666666666666666</c:v>
                </c:pt>
                <c:pt idx="14">
                  <c:v>-8</c:v>
                </c:pt>
                <c:pt idx="15">
                  <c:v>-0.33333333333333331</c:v>
                </c:pt>
                <c:pt idx="16">
                  <c:v>-20</c:v>
                </c:pt>
                <c:pt idx="17">
                  <c:v>-15</c:v>
                </c:pt>
                <c:pt idx="18">
                  <c:v>-45.666666666666664</c:v>
                </c:pt>
                <c:pt idx="19">
                  <c:v>-4.666666666666667</c:v>
                </c:pt>
                <c:pt idx="20">
                  <c:v>-7</c:v>
                </c:pt>
                <c:pt idx="21">
                  <c:v>8.6666666666666661</c:v>
                </c:pt>
                <c:pt idx="22">
                  <c:v>-20.333333333333332</c:v>
                </c:pt>
                <c:pt idx="23">
                  <c:v>-31.333333333333332</c:v>
                </c:pt>
                <c:pt idx="24">
                  <c:v>-20.666666666666668</c:v>
                </c:pt>
                <c:pt idx="25">
                  <c:v>-12</c:v>
                </c:pt>
                <c:pt idx="26">
                  <c:v>-6.666666666666667</c:v>
                </c:pt>
                <c:pt idx="27">
                  <c:v>-7.333333333333333</c:v>
                </c:pt>
                <c:pt idx="28">
                  <c:v>-19.666666666666668</c:v>
                </c:pt>
                <c:pt idx="29">
                  <c:v>-34</c:v>
                </c:pt>
                <c:pt idx="30">
                  <c:v>-60</c:v>
                </c:pt>
                <c:pt idx="31">
                  <c:v>-31</c:v>
                </c:pt>
                <c:pt idx="32">
                  <c:v>-18.333333333333332</c:v>
                </c:pt>
                <c:pt idx="33">
                  <c:v>2</c:v>
                </c:pt>
                <c:pt idx="34">
                  <c:v>-15</c:v>
                </c:pt>
                <c:pt idx="35">
                  <c:v>-29.666666666666668</c:v>
                </c:pt>
                <c:pt idx="36">
                  <c:v>-27.333333333333332</c:v>
                </c:pt>
                <c:pt idx="37">
                  <c:v>-23.333333333333332</c:v>
                </c:pt>
                <c:pt idx="38">
                  <c:v>-26</c:v>
                </c:pt>
                <c:pt idx="39">
                  <c:v>-4.666666666666667</c:v>
                </c:pt>
                <c:pt idx="40">
                  <c:v>-44.666666666666664</c:v>
                </c:pt>
                <c:pt idx="41">
                  <c:v>-21.666666666666668</c:v>
                </c:pt>
                <c:pt idx="42">
                  <c:v>-50</c:v>
                </c:pt>
                <c:pt idx="43">
                  <c:v>-11</c:v>
                </c:pt>
                <c:pt idx="44">
                  <c:v>-19.666666666666668</c:v>
                </c:pt>
                <c:pt idx="45">
                  <c:v>-13.333333333333334</c:v>
                </c:pt>
                <c:pt idx="46">
                  <c:v>-13.666666666666666</c:v>
                </c:pt>
                <c:pt idx="47">
                  <c:v>-5.333333333333333</c:v>
                </c:pt>
                <c:pt idx="48">
                  <c:v>1.3333333333333333</c:v>
                </c:pt>
                <c:pt idx="49">
                  <c:v>-1.3333333333333333</c:v>
                </c:pt>
                <c:pt idx="50">
                  <c:v>-9.3333333333333339</c:v>
                </c:pt>
                <c:pt idx="51">
                  <c:v>-4</c:v>
                </c:pt>
                <c:pt idx="52">
                  <c:v>-2.6666666666666665</c:v>
                </c:pt>
                <c:pt idx="53">
                  <c:v>7</c:v>
                </c:pt>
                <c:pt idx="54">
                  <c:v>3</c:v>
                </c:pt>
                <c:pt idx="55">
                  <c:v>-7</c:v>
                </c:pt>
                <c:pt idx="56">
                  <c:v>-11</c:v>
                </c:pt>
                <c:pt idx="57">
                  <c:v>-11.333333333333334</c:v>
                </c:pt>
                <c:pt idx="58">
                  <c:v>-6.333333333333333</c:v>
                </c:pt>
                <c:pt idx="59">
                  <c:v>0</c:v>
                </c:pt>
                <c:pt idx="60">
                  <c:v>-1</c:v>
                </c:pt>
                <c:pt idx="61">
                  <c:v>9</c:v>
                </c:pt>
                <c:pt idx="62">
                  <c:v>3.6666666666666665</c:v>
                </c:pt>
                <c:pt idx="63">
                  <c:v>4.666666666666667</c:v>
                </c:pt>
                <c:pt idx="64">
                  <c:v>-3</c:v>
                </c:pt>
                <c:pt idx="65">
                  <c:v>6.666666666666667</c:v>
                </c:pt>
                <c:pt idx="66">
                  <c:v>11.666666666666666</c:v>
                </c:pt>
                <c:pt idx="67">
                  <c:v>15.666666666666666</c:v>
                </c:pt>
                <c:pt idx="68">
                  <c:v>4.333333333333333</c:v>
                </c:pt>
                <c:pt idx="69">
                  <c:v>-0.66666666666666663</c:v>
                </c:pt>
                <c:pt idx="70">
                  <c:v>-3.6666666666666665</c:v>
                </c:pt>
                <c:pt idx="71">
                  <c:v>6</c:v>
                </c:pt>
                <c:pt idx="72">
                  <c:v>8.3333333333333339</c:v>
                </c:pt>
                <c:pt idx="73">
                  <c:v>15.666666666666666</c:v>
                </c:pt>
                <c:pt idx="74">
                  <c:v>9.6666666666666661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5"/>
        <c:axId val="169387520"/>
        <c:axId val="169389056"/>
      </c:barChart>
      <c:catAx>
        <c:axId val="1693875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low"/>
        <c:crossAx val="169389056"/>
        <c:crosses val="autoZero"/>
        <c:auto val="1"/>
        <c:lblAlgn val="ctr"/>
        <c:lblOffset val="100"/>
        <c:noMultiLvlLbl val="0"/>
      </c:catAx>
      <c:valAx>
        <c:axId val="169389056"/>
        <c:scaling>
          <c:orientation val="minMax"/>
          <c:max val="40"/>
          <c:min val="-60"/>
        </c:scaling>
        <c:delete val="0"/>
        <c:axPos val="l"/>
        <c:majorGridlines/>
        <c:numFmt formatCode="0" sourceLinked="0"/>
        <c:majorTickMark val="none"/>
        <c:minorTickMark val="none"/>
        <c:tickLblPos val="nextTo"/>
        <c:crossAx val="169387520"/>
        <c:crosses val="autoZero"/>
        <c:crossBetween val="between"/>
      </c:valAx>
      <c:spPr>
        <a:noFill/>
        <a:ln w="25400">
          <a:noFill/>
        </a:ln>
      </c:spPr>
    </c:plotArea>
    <c:plotVisOnly val="1"/>
    <c:dispBlanksAs val="gap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Relative Health Price Inflation</a:t>
            </a:r>
          </a:p>
        </c:rich>
      </c:tx>
      <c:layout/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marker>
            <c:symbol val="none"/>
          </c:marker>
          <c:cat>
            <c:strRef>
              <c:f>Sheet0!$G$6:$BG$6</c:f>
              <c:strCache>
                <c:ptCount val="49"/>
                <c:pt idx="0">
                  <c:v>2001</c:v>
                </c:pt>
                <c:pt idx="4">
                  <c:v>2002</c:v>
                </c:pt>
                <c:pt idx="8">
                  <c:v>2003</c:v>
                </c:pt>
                <c:pt idx="12">
                  <c:v>2004</c:v>
                </c:pt>
                <c:pt idx="16">
                  <c:v>2005</c:v>
                </c:pt>
                <c:pt idx="20">
                  <c:v>2006</c:v>
                </c:pt>
                <c:pt idx="24">
                  <c:v>2007</c:v>
                </c:pt>
                <c:pt idx="28">
                  <c:v>2008</c:v>
                </c:pt>
                <c:pt idx="32">
                  <c:v>2009</c:v>
                </c:pt>
                <c:pt idx="36">
                  <c:v>2010</c:v>
                </c:pt>
                <c:pt idx="40">
                  <c:v>2011</c:v>
                </c:pt>
                <c:pt idx="44">
                  <c:v>2012</c:v>
                </c:pt>
                <c:pt idx="48">
                  <c:v>2013</c:v>
                </c:pt>
              </c:strCache>
            </c:strRef>
          </c:cat>
          <c:val>
            <c:numRef>
              <c:f>Sheet0!$G$44:$BF$44</c:f>
              <c:numCache>
                <c:formatCode>0%</c:formatCode>
                <c:ptCount val="52"/>
                <c:pt idx="0">
                  <c:v>2.8752670940171088E-2</c:v>
                </c:pt>
                <c:pt idx="1">
                  <c:v>2.5310940346985777E-2</c:v>
                </c:pt>
                <c:pt idx="2">
                  <c:v>2.4711912846261841E-2</c:v>
                </c:pt>
                <c:pt idx="3">
                  <c:v>2.1341502992224148E-2</c:v>
                </c:pt>
                <c:pt idx="4">
                  <c:v>1.6135470993496881E-2</c:v>
                </c:pt>
                <c:pt idx="5">
                  <c:v>1.6299063507497102E-2</c:v>
                </c:pt>
                <c:pt idx="6">
                  <c:v>1.9802483572073148E-2</c:v>
                </c:pt>
                <c:pt idx="7">
                  <c:v>2.5878237947990046E-2</c:v>
                </c:pt>
                <c:pt idx="8">
                  <c:v>2.7644200508572636E-2</c:v>
                </c:pt>
                <c:pt idx="9">
                  <c:v>2.9226646725244665E-2</c:v>
                </c:pt>
                <c:pt idx="10">
                  <c:v>2.9153798641136541E-2</c:v>
                </c:pt>
                <c:pt idx="11">
                  <c:v>3.0783742068255959E-2</c:v>
                </c:pt>
                <c:pt idx="12">
                  <c:v>2.9922499394526625E-2</c:v>
                </c:pt>
                <c:pt idx="13">
                  <c:v>2.9144160364902083E-2</c:v>
                </c:pt>
                <c:pt idx="14">
                  <c:v>2.543168502739257E-2</c:v>
                </c:pt>
                <c:pt idx="15">
                  <c:v>2.1257833535172965E-2</c:v>
                </c:pt>
                <c:pt idx="16">
                  <c:v>2.3256898924630898E-2</c:v>
                </c:pt>
                <c:pt idx="17">
                  <c:v>2.4012887225190127E-2</c:v>
                </c:pt>
                <c:pt idx="18">
                  <c:v>2.4119550075409668E-2</c:v>
                </c:pt>
                <c:pt idx="19">
                  <c:v>2.3856745543245461E-2</c:v>
                </c:pt>
                <c:pt idx="20">
                  <c:v>2.1605043062959073E-2</c:v>
                </c:pt>
                <c:pt idx="21">
                  <c:v>2.3573982058142429E-2</c:v>
                </c:pt>
                <c:pt idx="22">
                  <c:v>2.2978012802671754E-2</c:v>
                </c:pt>
                <c:pt idx="23">
                  <c:v>2.396197988212867E-2</c:v>
                </c:pt>
                <c:pt idx="24">
                  <c:v>3.0268750480499929E-2</c:v>
                </c:pt>
                <c:pt idx="25">
                  <c:v>2.672789996626368E-2</c:v>
                </c:pt>
                <c:pt idx="26">
                  <c:v>2.7880256623859845E-2</c:v>
                </c:pt>
                <c:pt idx="27">
                  <c:v>2.3367126120651838E-2</c:v>
                </c:pt>
                <c:pt idx="28">
                  <c:v>2.2746303460702721E-2</c:v>
                </c:pt>
                <c:pt idx="29">
                  <c:v>2.1419248905355515E-2</c:v>
                </c:pt>
                <c:pt idx="30">
                  <c:v>1.7458515192866564E-2</c:v>
                </c:pt>
                <c:pt idx="31">
                  <c:v>1.7701132748132009E-2</c:v>
                </c:pt>
                <c:pt idx="32">
                  <c:v>1.9702606061230421E-2</c:v>
                </c:pt>
                <c:pt idx="33">
                  <c:v>1.9697977988226256E-2</c:v>
                </c:pt>
                <c:pt idx="34">
                  <c:v>2.1181478426460565E-2</c:v>
                </c:pt>
                <c:pt idx="35">
                  <c:v>2.2363700672022757E-2</c:v>
                </c:pt>
                <c:pt idx="36">
                  <c:v>2.1636763421319483E-2</c:v>
                </c:pt>
                <c:pt idx="37">
                  <c:v>2.0333270176208451E-2</c:v>
                </c:pt>
                <c:pt idx="38">
                  <c:v>1.5963545785228517E-2</c:v>
                </c:pt>
                <c:pt idx="39">
                  <c:v>1.4348330286769961E-2</c:v>
                </c:pt>
                <c:pt idx="40">
                  <c:v>1.2422056725111874E-2</c:v>
                </c:pt>
                <c:pt idx="41">
                  <c:v>1.3883618886391558E-2</c:v>
                </c:pt>
                <c:pt idx="42">
                  <c:v>1.4232565349661996E-2</c:v>
                </c:pt>
                <c:pt idx="43">
                  <c:v>1.4711986793964682E-2</c:v>
                </c:pt>
                <c:pt idx="44">
                  <c:v>1.2954610881873219E-2</c:v>
                </c:pt>
                <c:pt idx="45">
                  <c:v>1.3001155870580705E-2</c:v>
                </c:pt>
                <c:pt idx="46">
                  <c:v>1.4108625954924792E-2</c:v>
                </c:pt>
                <c:pt idx="47">
                  <c:v>1.3129973474800938E-2</c:v>
                </c:pt>
                <c:pt idx="48">
                  <c:v>1.4295952623439412E-2</c:v>
                </c:pt>
                <c:pt idx="49">
                  <c:v>7.467447183759246E-3</c:v>
                </c:pt>
                <c:pt idx="50">
                  <c:v>8.1629981485984437E-3</c:v>
                </c:pt>
                <c:pt idx="51">
                  <c:v>7.2517664559315076E-3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9638528"/>
        <c:axId val="169768064"/>
      </c:lineChart>
      <c:catAx>
        <c:axId val="169638528"/>
        <c:scaling>
          <c:orientation val="minMax"/>
        </c:scaling>
        <c:delete val="0"/>
        <c:axPos val="b"/>
        <c:majorTickMark val="none"/>
        <c:minorTickMark val="none"/>
        <c:tickLblPos val="nextTo"/>
        <c:crossAx val="169768064"/>
        <c:crosses val="autoZero"/>
        <c:auto val="1"/>
        <c:lblAlgn val="ctr"/>
        <c:lblOffset val="100"/>
        <c:noMultiLvlLbl val="0"/>
      </c:catAx>
      <c:valAx>
        <c:axId val="169768064"/>
        <c:scaling>
          <c:orientation val="minMax"/>
        </c:scaling>
        <c:delete val="0"/>
        <c:axPos val="l"/>
        <c:majorGridlines/>
        <c:numFmt formatCode="0%" sourceLinked="1"/>
        <c:majorTickMark val="none"/>
        <c:minorTickMark val="none"/>
        <c:tickLblPos val="nextTo"/>
        <c:crossAx val="169638528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9F3DB0CD4D844B918872BCED9B9CF9" ma:contentTypeVersion="8" ma:contentTypeDescription="Create a new document." ma:contentTypeScope="" ma:versionID="f39872d7210670f8e28df64f3b8e6b7c">
  <xsd:schema xmlns:xsd="http://www.w3.org/2001/XMLSchema" xmlns:xs="http://www.w3.org/2001/XMLSchema" xmlns:p="http://schemas.microsoft.com/office/2006/metadata/properties" xmlns:ns2="cac5d118-ba7b-4807-b700-df6f95cfff50" xmlns:ns3="66951ee6-cd93-49c7-9437-e871b2a117d6" targetNamespace="http://schemas.microsoft.com/office/2006/metadata/properties" ma:root="true" ma:fieldsID="5b3c5ef4a382acc6fb2d72c08859bf8f" ns2:_="" ns3:_="">
    <xsd:import namespace="cac5d118-ba7b-4807-b700-df6f95cfff50"/>
    <xsd:import namespace="66951ee6-cd93-49c7-9437-e871b2a117d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c5d118-ba7b-4807-b700-df6f95cfff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951ee6-cd93-49c7-9437-e871b2a117d6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669FA47-0AF9-498B-9CD2-6E432AE606B9}"/>
</file>

<file path=customXml/itemProps2.xml><?xml version="1.0" encoding="utf-8"?>
<ds:datastoreItem xmlns:ds="http://schemas.openxmlformats.org/officeDocument/2006/customXml" ds:itemID="{6120CB03-6CB0-4296-99E8-8652D482CB35}"/>
</file>

<file path=customXml/itemProps3.xml><?xml version="1.0" encoding="utf-8"?>
<ds:datastoreItem xmlns:ds="http://schemas.openxmlformats.org/officeDocument/2006/customXml" ds:itemID="{2388475A-6B7C-4689-BF95-52CA81CFCB0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1188</TotalTime>
  <Pages>5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Brookings Institution</Company>
  <LinksUpToDate>false</LinksUpToDate>
  <CharactersWithSpaces>1994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Louise Sheiner</dc:creator>
  <cp:lastModifiedBy>Louise Sheiner</cp:lastModifiedBy>
  <cp:revision>6</cp:revision>
  <dcterms:created xsi:type="dcterms:W3CDTF">2014-06-18T15:04:00Z</dcterms:created>
  <dcterms:modified xsi:type="dcterms:W3CDTF">2014-06-24T18:46:00Z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0x010100FA9F3DB0CD4D844B918872BCED9B9CF9</vt:lpwstr>
  </property>
  <property fmtid="{D5CDD505-2E9C-101B-9397-08002B2CF9AE}" pid="3" name="Order">
    <vt:r8>100</vt:r8>
  </property>
</Properties>
</file>