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B8054" w14:textId="77777777" w:rsidR="00EF5AC5" w:rsidRDefault="00EF5AC5" w:rsidP="006626CD">
      <w:pPr>
        <w:pStyle w:val="Heading2"/>
        <w:rPr>
          <w:rFonts w:ascii="Times New Roman" w:hAnsi="Times New Roman" w:cs="Times New Roman"/>
          <w:noProof/>
        </w:rPr>
      </w:pPr>
      <w:r w:rsidRPr="00BD57A9">
        <w:rPr>
          <w:rFonts w:ascii="Times New Roman" w:hAnsi="Times New Roman" w:cs="Times New Roman"/>
        </w:rPr>
        <w:t>Notes on constructing the state and local portions of the FIM</w:t>
      </w:r>
    </w:p>
    <w:p w14:paraId="69E70149" w14:textId="77777777" w:rsidR="006626CD" w:rsidRDefault="004061B3" w:rsidP="006626CD">
      <w:pPr>
        <w:pStyle w:val="ListParagraph"/>
        <w:ind w:left="0"/>
        <w:rPr>
          <w:rFonts w:ascii="Times New Roman" w:hAnsi="Times New Roman" w:cs="Times New Roman"/>
        </w:rPr>
      </w:pPr>
      <w:r w:rsidRPr="004061B3">
        <w:rPr>
          <w:rFonts w:ascii="Times New Roman" w:hAnsi="Times New Roman" w:cs="Times New Roman"/>
        </w:rPr>
        <w:t xml:space="preserve">State and local purchases and </w:t>
      </w:r>
      <w:r w:rsidR="00485638">
        <w:rPr>
          <w:rFonts w:ascii="Times New Roman" w:hAnsi="Times New Roman" w:cs="Times New Roman"/>
        </w:rPr>
        <w:t xml:space="preserve">tax </w:t>
      </w:r>
      <w:r w:rsidRPr="004061B3">
        <w:rPr>
          <w:rFonts w:ascii="Times New Roman" w:hAnsi="Times New Roman" w:cs="Times New Roman"/>
        </w:rPr>
        <w:t>revenue are closely related</w:t>
      </w:r>
      <w:r>
        <w:rPr>
          <w:rFonts w:ascii="Times New Roman" w:hAnsi="Times New Roman" w:cs="Times New Roman"/>
        </w:rPr>
        <w:t xml:space="preserve">. </w:t>
      </w:r>
      <w:r w:rsidR="00642EBF">
        <w:rPr>
          <w:rFonts w:ascii="Times New Roman" w:hAnsi="Times New Roman" w:cs="Times New Roman"/>
        </w:rPr>
        <w:t xml:space="preserve">While the causality more likely runs from tax revenues to purchases more than vice versa, we’re interested in using readily available forecasts of state and local expenditures </w:t>
      </w:r>
      <w:r w:rsidR="006626CD">
        <w:rPr>
          <w:rFonts w:ascii="Times New Roman" w:hAnsi="Times New Roman" w:cs="Times New Roman"/>
        </w:rPr>
        <w:t xml:space="preserve">(from CBO) </w:t>
      </w:r>
      <w:r w:rsidR="00642EBF">
        <w:rPr>
          <w:rFonts w:ascii="Times New Roman" w:hAnsi="Times New Roman" w:cs="Times New Roman"/>
        </w:rPr>
        <w:t xml:space="preserve">to forecast underlying state and local tax revenues. </w:t>
      </w:r>
    </w:p>
    <w:p w14:paraId="5E294780" w14:textId="77777777" w:rsidR="006626CD" w:rsidRDefault="006626CD" w:rsidP="006626CD">
      <w:pPr>
        <w:pStyle w:val="ListParagraph"/>
        <w:ind w:left="0"/>
        <w:rPr>
          <w:rFonts w:ascii="Times New Roman" w:hAnsi="Times New Roman" w:cs="Times New Roman"/>
        </w:rPr>
      </w:pPr>
    </w:p>
    <w:p w14:paraId="70A8EE9C" w14:textId="77777777" w:rsidR="004061B3" w:rsidRPr="006626CD" w:rsidRDefault="00485638" w:rsidP="006626CD">
      <w:pPr>
        <w:pStyle w:val="ListParagraph"/>
        <w:ind w:left="0"/>
        <w:rPr>
          <w:rFonts w:ascii="Times New Roman" w:hAnsi="Times New Roman" w:cs="Times New Roman"/>
        </w:rPr>
      </w:pPr>
      <w:r w:rsidRPr="006626CD">
        <w:rPr>
          <w:rFonts w:ascii="Times New Roman" w:hAnsi="Times New Roman" w:cs="Times New Roman"/>
        </w:rPr>
        <w:t xml:space="preserve">The figures below use historical data from 1970Q1 through 2018Q4. The </w:t>
      </w:r>
      <w:r w:rsidR="006626CD">
        <w:rPr>
          <w:rFonts w:ascii="Times New Roman" w:hAnsi="Times New Roman" w:cs="Times New Roman"/>
        </w:rPr>
        <w:t xml:space="preserve">right column plots growth rates in purchases against revenues, and the left plots log-levels against log-levels. The </w:t>
      </w:r>
      <w:r w:rsidRPr="006626CD">
        <w:rPr>
          <w:rFonts w:ascii="Times New Roman" w:hAnsi="Times New Roman" w:cs="Times New Roman"/>
        </w:rPr>
        <w:t>bottom</w:t>
      </w:r>
      <w:r w:rsidR="006626CD">
        <w:rPr>
          <w:rFonts w:ascii="Times New Roman" w:hAnsi="Times New Roman" w:cs="Times New Roman"/>
        </w:rPr>
        <w:t xml:space="preserve"> row</w:t>
      </w:r>
      <w:r w:rsidRPr="006626CD">
        <w:rPr>
          <w:rFonts w:ascii="Times New Roman" w:hAnsi="Times New Roman" w:cs="Times New Roman"/>
        </w:rPr>
        <w:t xml:space="preserve"> </w:t>
      </w:r>
      <w:r w:rsidR="006626CD">
        <w:rPr>
          <w:rFonts w:ascii="Times New Roman" w:hAnsi="Times New Roman" w:cs="Times New Roman"/>
        </w:rPr>
        <w:t>adds federal grants to tax revenues on the y-axis. The figures indicate</w:t>
      </w:r>
      <w:r w:rsidRPr="006626CD">
        <w:rPr>
          <w:rFonts w:ascii="Times New Roman" w:hAnsi="Times New Roman" w:cs="Times New Roman"/>
        </w:rPr>
        <w:t xml:space="preserve"> that purchases move closely with </w:t>
      </w:r>
      <w:r w:rsidR="006626CD">
        <w:rPr>
          <w:rFonts w:ascii="Times New Roman" w:hAnsi="Times New Roman" w:cs="Times New Roman"/>
        </w:rPr>
        <w:t xml:space="preserve">tax revenues and even more closely with </w:t>
      </w:r>
      <w:r w:rsidRPr="006626CD">
        <w:rPr>
          <w:rFonts w:ascii="Times New Roman" w:hAnsi="Times New Roman" w:cs="Times New Roman"/>
        </w:rPr>
        <w:t xml:space="preserve">total revenues including grants. </w:t>
      </w:r>
    </w:p>
    <w:p w14:paraId="1BD6D335" w14:textId="77777777" w:rsidR="004061B3" w:rsidRDefault="00485638" w:rsidP="004061B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2D2392" wp14:editId="04BA7913">
            <wp:extent cx="5943600" cy="528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4789" w14:textId="77777777" w:rsidR="002F7A03" w:rsidRDefault="00662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way of looking at this is to ask, if we only had information on the growth rate of purchases, how well could we have predicted tax revenues in the </w:t>
      </w:r>
      <w:r w:rsidR="002F7A03">
        <w:rPr>
          <w:rFonts w:ascii="Times New Roman" w:hAnsi="Times New Roman" w:cs="Times New Roman"/>
        </w:rPr>
        <w:t>50 years</w:t>
      </w:r>
      <w:r>
        <w:rPr>
          <w:rFonts w:ascii="Times New Roman" w:hAnsi="Times New Roman" w:cs="Times New Roman"/>
        </w:rPr>
        <w:t xml:space="preserve">? Below we construct predicted tax revenues </w:t>
      </w:r>
      <w:r w:rsidR="00BC389A">
        <w:rPr>
          <w:rFonts w:ascii="Times New Roman" w:hAnsi="Times New Roman" w:cs="Times New Roman"/>
        </w:rPr>
        <w:t xml:space="preserve">for 2016Q1 through 2018Q4 </w:t>
      </w:r>
      <w:r w:rsidR="00BC389A">
        <w:rPr>
          <w:rFonts w:ascii="Times New Roman" w:hAnsi="Times New Roman" w:cs="Times New Roman"/>
          <w:i/>
        </w:rPr>
        <w:t>dynamically—</w:t>
      </w:r>
      <w:r w:rsidR="00BC389A">
        <w:rPr>
          <w:rFonts w:ascii="Times New Roman" w:hAnsi="Times New Roman" w:cs="Times New Roman"/>
        </w:rPr>
        <w:t>that is, where each predicted value of tax revenues equals</w:t>
      </w:r>
    </w:p>
    <w:p w14:paraId="63D21DD9" w14:textId="77777777" w:rsidR="00BC389A" w:rsidRPr="00BC389A" w:rsidRDefault="00582DBF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(1+g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  <m:sup>
              <m:r>
                <w:rPr>
                  <w:rFonts w:ascii="Cambria Math" w:hAnsi="Cambria Math" w:cs="Times New Roman"/>
                </w:rPr>
                <m:t>purchases</m:t>
              </m:r>
            </m:sup>
          </m:sSubSup>
          <m:r>
            <w:rPr>
              <w:rFonts w:ascii="Cambria Math" w:eastAsiaTheme="minorEastAsia" w:hAnsi="Cambria Math" w:cs="Times New Roman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t-1</m:t>
              </m:r>
            </m:sub>
          </m:sSub>
        </m:oMath>
      </m:oMathPara>
    </w:p>
    <w:p w14:paraId="0ECFE7D3" w14:textId="77777777" w:rsidR="00BC389A" w:rsidRDefault="00BC389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purchases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is the observed growth rate of purchases in t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τ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t-1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lagged </w:t>
      </w:r>
      <w:r>
        <w:rPr>
          <w:rFonts w:ascii="Times New Roman" w:eastAsiaTheme="minorEastAsia" w:hAnsi="Times New Roman" w:cs="Times New Roman"/>
          <w:i/>
        </w:rPr>
        <w:t xml:space="preserve">predicted </w:t>
      </w:r>
      <w:r>
        <w:rPr>
          <w:rFonts w:ascii="Times New Roman" w:eastAsiaTheme="minorEastAsia" w:hAnsi="Times New Roman" w:cs="Times New Roman"/>
        </w:rPr>
        <w:t xml:space="preserve">value of </w:t>
      </w:r>
      <w:proofErr w:type="gramStart"/>
      <w:r>
        <w:rPr>
          <w:rFonts w:ascii="Times New Roman" w:eastAsiaTheme="minorEastAsia" w:hAnsi="Times New Roman" w:cs="Times New Roman"/>
        </w:rPr>
        <w:t>taxes.</w:t>
      </w:r>
      <w:proofErr w:type="gramEnd"/>
      <w:r>
        <w:rPr>
          <w:rFonts w:ascii="Times New Roman" w:eastAsiaTheme="minorEastAsia" w:hAnsi="Times New Roman" w:cs="Times New Roman"/>
        </w:rPr>
        <w:t xml:space="preserve"> This is how we would ostensibly forecast tax revenues for the FIM. </w:t>
      </w:r>
    </w:p>
    <w:p w14:paraId="58FD42E5" w14:textId="77777777" w:rsidR="00BC389A" w:rsidRDefault="00BC389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C38A00" wp14:editId="6891C909">
            <wp:extent cx="5943600" cy="6745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42B5" w14:textId="77777777" w:rsidR="00BC389A" w:rsidRPr="00BC389A" w:rsidRDefault="00BC38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Interestingly, the two </w:t>
      </w:r>
    </w:p>
    <w:p w14:paraId="1697C25E" w14:textId="77777777" w:rsidR="00BC389A" w:rsidRDefault="00BC389A">
      <w:pPr>
        <w:rPr>
          <w:rFonts w:ascii="Times New Roman" w:hAnsi="Times New Roman" w:cs="Times New Roman"/>
        </w:rPr>
      </w:pPr>
    </w:p>
    <w:p w14:paraId="570854DB" w14:textId="77777777" w:rsidR="00BC389A" w:rsidRPr="00BC389A" w:rsidRDefault="00BC389A">
      <w:pPr>
        <w:rPr>
          <w:rFonts w:ascii="Times New Roman" w:hAnsi="Times New Roman" w:cs="Times New Roman"/>
        </w:rPr>
      </w:pPr>
    </w:p>
    <w:p w14:paraId="75AC450D" w14:textId="77777777" w:rsidR="002F7A03" w:rsidRDefault="002F7A03">
      <w:pPr>
        <w:rPr>
          <w:rFonts w:ascii="Times New Roman" w:hAnsi="Times New Roman" w:cs="Times New Roman"/>
        </w:rPr>
      </w:pPr>
    </w:p>
    <w:p w14:paraId="747E9D6A" w14:textId="46D9C814" w:rsidR="00BD57A9" w:rsidRPr="00BD57A9" w:rsidRDefault="00642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total tax revenues are linked to total purchases, the relationship varies depending on the revenue source. </w:t>
      </w:r>
    </w:p>
    <w:p w14:paraId="3869DBD3" w14:textId="77777777" w:rsidR="00EF5AC5" w:rsidRPr="00BD57A9" w:rsidRDefault="00EF5AC5">
      <w:pPr>
        <w:rPr>
          <w:rFonts w:ascii="Times New Roman" w:hAnsi="Times New Roman" w:cs="Times New Roman"/>
        </w:rPr>
      </w:pPr>
      <w:r w:rsidRPr="00BD57A9">
        <w:rPr>
          <w:rFonts w:ascii="Times New Roman" w:hAnsi="Times New Roman" w:cs="Times New Roman"/>
        </w:rPr>
        <w:t>From NASBO fall 2018 fiscal survey of the states:</w:t>
      </w:r>
    </w:p>
    <w:p w14:paraId="50231248" w14:textId="77777777" w:rsidR="00EF5AC5" w:rsidRPr="00BD57A9" w:rsidRDefault="00EF5AC5">
      <w:pPr>
        <w:rPr>
          <w:rFonts w:ascii="Times New Roman" w:hAnsi="Times New Roman" w:cs="Times New Roman"/>
        </w:rPr>
      </w:pPr>
      <w:r w:rsidRPr="00BD57A9">
        <w:rPr>
          <w:rFonts w:ascii="Times New Roman" w:hAnsi="Times New Roman" w:cs="Times New Roman"/>
        </w:rPr>
        <w:t>States enacted appropriation increases for fiscal 2019 totaling $41.1 billion across all program areas, compared to just $12.7 billion in new appropriations enacted in their fiscal 2018 budgets one year prior.</w:t>
      </w:r>
    </w:p>
    <w:p w14:paraId="6C812BD2" w14:textId="77777777" w:rsidR="00EF5AC5" w:rsidRPr="00BD57A9" w:rsidRDefault="00EF5AC5">
      <w:pPr>
        <w:rPr>
          <w:rFonts w:ascii="Times New Roman" w:hAnsi="Times New Roman" w:cs="Times New Roman"/>
        </w:rPr>
      </w:pPr>
    </w:p>
    <w:p w14:paraId="327B050F" w14:textId="21F26C24" w:rsidR="00EF5AC5" w:rsidRDefault="00EF5AC5">
      <w:pPr>
        <w:rPr>
          <w:rFonts w:ascii="Times New Roman" w:hAnsi="Times New Roman" w:cs="Times New Roman"/>
        </w:rPr>
      </w:pPr>
      <w:r w:rsidRPr="00BD57A9">
        <w:rPr>
          <w:rFonts w:ascii="Times New Roman" w:hAnsi="Times New Roman" w:cs="Times New Roman"/>
        </w:rPr>
        <w:t>“States enacted a mix of tax and fee increases and decreases during the 2018 legislative session, resulting in a projected net positive revenue impact in fiscal 2019 of $3.1 billion, including $2.7 billion in additional general fund revenues. Overall, 16 states approved net tax and fee increases totaling $4.6 billion in fiscal 2019, while 20 states enacted smaller net decreases totaling -$1.4 billion” (54).</w:t>
      </w:r>
    </w:p>
    <w:p w14:paraId="6C2B60D7" w14:textId="572F138C" w:rsidR="00582DBF" w:rsidRDefault="00582DBF">
      <w:pPr>
        <w:rPr>
          <w:rFonts w:ascii="Times New Roman" w:hAnsi="Times New Roman" w:cs="Times New Roman"/>
        </w:rPr>
      </w:pPr>
    </w:p>
    <w:p w14:paraId="440DD89F" w14:textId="36F76838" w:rsidR="00582DBF" w:rsidRPr="00582DBF" w:rsidRDefault="00582DBF">
      <w:pPr>
        <w:rPr>
          <w:rFonts w:ascii="Times New Roman" w:hAnsi="Times New Roman" w:cs="Times New Roman"/>
          <w:b/>
        </w:rPr>
      </w:pPr>
      <w:hyperlink r:id="rId10" w:history="1">
        <w:r>
          <w:rPr>
            <w:rStyle w:val="Hyperlink"/>
          </w:rPr>
          <w:t>https://www.urban.org/research/publication/state-revenues-grew-third-quarter-income-taxes-face-uncertain-prospects</w:t>
        </w:r>
      </w:hyperlink>
      <w:bookmarkStart w:id="0" w:name="_GoBack"/>
      <w:bookmarkEnd w:id="0"/>
    </w:p>
    <w:p w14:paraId="347DEE56" w14:textId="77777777" w:rsidR="00EF5AC5" w:rsidRPr="00BD57A9" w:rsidRDefault="00EF5AC5">
      <w:pPr>
        <w:rPr>
          <w:rFonts w:ascii="Times New Roman" w:hAnsi="Times New Roman" w:cs="Times New Roman"/>
        </w:rPr>
      </w:pPr>
      <w:r w:rsidRPr="00BD57A9">
        <w:rPr>
          <w:rFonts w:ascii="Times New Roman" w:hAnsi="Times New Roman" w:cs="Times New Roman"/>
        </w:rPr>
        <w:t xml:space="preserve"> </w:t>
      </w:r>
    </w:p>
    <w:sectPr w:rsidR="00EF5AC5" w:rsidRPr="00BD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D5958"/>
    <w:multiLevelType w:val="hybridMultilevel"/>
    <w:tmpl w:val="BB1A6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C5"/>
    <w:rsid w:val="000E298A"/>
    <w:rsid w:val="00210096"/>
    <w:rsid w:val="002F7A03"/>
    <w:rsid w:val="004061B3"/>
    <w:rsid w:val="00485638"/>
    <w:rsid w:val="004C1DF5"/>
    <w:rsid w:val="00582DBF"/>
    <w:rsid w:val="00642EBF"/>
    <w:rsid w:val="006626CD"/>
    <w:rsid w:val="00BC389A"/>
    <w:rsid w:val="00BD57A9"/>
    <w:rsid w:val="00D90198"/>
    <w:rsid w:val="00E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C79D"/>
  <w15:chartTrackingRefBased/>
  <w15:docId w15:val="{BFB6D9FF-C3A6-4A4C-A104-F3CF9CE0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7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57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61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389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82D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9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urban.org/research/publication/state-revenues-grew-third-quarter-income-taxes-face-uncertain-prospects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31FD5F-33E1-48D2-A3FA-370DA2AE11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B93A94-E936-4107-B85B-3DC7FAC6A9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943798-2451-4C61-A133-6842C6CE9E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Belz</dc:creator>
  <cp:keywords/>
  <dc:description/>
  <cp:lastModifiedBy>Sage Belz</cp:lastModifiedBy>
  <cp:revision>3</cp:revision>
  <dcterms:created xsi:type="dcterms:W3CDTF">2019-04-04T21:03:00Z</dcterms:created>
  <dcterms:modified xsi:type="dcterms:W3CDTF">2019-04-29T15:46:00Z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AuthorIds_UIVersion_512">
    <vt:lpwstr>25</vt:lpwstr>
  </property>
</Properties>
</file>