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20BAA" w14:textId="0A2026C5" w:rsidR="006F24DD" w:rsidRDefault="006F24DD" w:rsidP="006F24DD">
      <w:pPr>
        <w:rPr>
          <w:rFonts w:ascii="Calibri" w:eastAsia="Calibri" w:hAnsi="Calibri" w:cs="Calibri"/>
        </w:rPr>
      </w:pPr>
      <w:bookmarkStart w:id="0" w:name="_GoBack"/>
      <w:bookmarkEnd w:id="0"/>
      <w:r>
        <w:rPr>
          <w:rFonts w:ascii="Calibri" w:eastAsia="Calibri" w:hAnsi="Calibri" w:cs="Calibri"/>
          <w:b/>
          <w:bCs/>
        </w:rPr>
        <w:t>FISCAL POLICY AND THE ECONOMY</w:t>
      </w:r>
      <w:r w:rsidR="001E7136">
        <w:rPr>
          <w:rFonts w:ascii="Calibri" w:eastAsia="Calibri" w:hAnsi="Calibri" w:cs="Calibri"/>
          <w:b/>
          <w:bCs/>
        </w:rPr>
        <w:t>,</w:t>
      </w:r>
      <w:r w:rsidR="00DD28DC">
        <w:rPr>
          <w:rFonts w:ascii="Calibri" w:eastAsia="Calibri" w:hAnsi="Calibri" w:cs="Calibri"/>
          <w:b/>
          <w:bCs/>
        </w:rPr>
        <w:t xml:space="preserve"> </w:t>
      </w:r>
      <w:r>
        <w:rPr>
          <w:rFonts w:ascii="Calibri" w:eastAsia="Calibri" w:hAnsi="Calibri" w:cs="Calibri"/>
          <w:b/>
          <w:bCs/>
        </w:rPr>
        <w:t xml:space="preserve">2020 </w:t>
      </w:r>
      <w:r w:rsidR="00F06FBC">
        <w:rPr>
          <w:rFonts w:ascii="Calibri" w:eastAsia="Calibri" w:hAnsi="Calibri" w:cs="Calibri"/>
          <w:b/>
          <w:bCs/>
        </w:rPr>
        <w:t>THROUGH 2022</w:t>
      </w:r>
      <w:r>
        <w:br/>
      </w:r>
      <w:r w:rsidRPr="03611039">
        <w:rPr>
          <w:rFonts w:ascii="Calibri" w:eastAsia="Calibri" w:hAnsi="Calibri" w:cs="Calibri"/>
          <w:b/>
          <w:bCs/>
        </w:rPr>
        <w:t xml:space="preserve">By </w:t>
      </w:r>
      <w:r w:rsidR="00AC4539">
        <w:rPr>
          <w:rFonts w:ascii="Calibri" w:eastAsia="Calibri" w:hAnsi="Calibri" w:cs="Calibri"/>
          <w:i/>
          <w:iCs/>
        </w:rPr>
        <w:t>Kadija Yilla and</w:t>
      </w:r>
      <w:r w:rsidRPr="03611039">
        <w:rPr>
          <w:rFonts w:ascii="Calibri" w:eastAsia="Calibri" w:hAnsi="Calibri" w:cs="Calibri"/>
          <w:i/>
          <w:iCs/>
        </w:rPr>
        <w:t xml:space="preserve"> Louise Sheiner</w:t>
      </w:r>
    </w:p>
    <w:p w14:paraId="64B663FA" w14:textId="7E475C54" w:rsidR="006F24DD" w:rsidRPr="00304FCA" w:rsidRDefault="006F24DD" w:rsidP="006F24DD">
      <w:bookmarkStart w:id="1" w:name="_Hlk44055508"/>
      <w:r>
        <w:t xml:space="preserve">The fiscal policy response to the pandemic had a </w:t>
      </w:r>
      <w:r w:rsidR="00057CA1">
        <w:t>large</w:t>
      </w:r>
      <w:r w:rsidR="00160E61">
        <w:t xml:space="preserve"> </w:t>
      </w:r>
      <w:r>
        <w:t xml:space="preserve">impact on GDP growth in the </w:t>
      </w:r>
      <w:r w:rsidR="3280800F">
        <w:t>third</w:t>
      </w:r>
      <w:r>
        <w:t xml:space="preserve"> quarter, boosting it </w:t>
      </w:r>
      <w:r w:rsidR="00391694">
        <w:t>5</w:t>
      </w:r>
      <w:r w:rsidR="00086A35">
        <w:t>.4</w:t>
      </w:r>
      <w:r w:rsidR="004838F0">
        <w:t xml:space="preserve"> </w:t>
      </w:r>
      <w:r>
        <w:t>percentage points at an annual rate,</w:t>
      </w:r>
      <w:r w:rsidR="00B24B32">
        <w:t xml:space="preserve"> but </w:t>
      </w:r>
      <w:r w:rsidR="3419CABF">
        <w:t>the boost from fiscal policy was</w:t>
      </w:r>
      <w:r w:rsidR="00B24B32">
        <w:t xml:space="preserve"> smaller </w:t>
      </w:r>
      <w:r w:rsidR="3419CABF">
        <w:t xml:space="preserve">than in </w:t>
      </w:r>
      <w:r w:rsidR="00B24B32">
        <w:t>the second quarter,</w:t>
      </w:r>
      <w:r>
        <w:t xml:space="preserve"> according to the latest reading of the Hutchins Center Fiscal Impact Measure (FIM). </w:t>
      </w:r>
      <w:r w:rsidR="2B37AD31">
        <w:t xml:space="preserve"> </w:t>
      </w:r>
      <w:r>
        <w:t>The FIM translates changes in taxes and spending at federal, state, and local levels into changes in aggregate demand</w:t>
      </w:r>
      <w:r w:rsidR="5188B6CE">
        <w:t xml:space="preserve">, illustrating the effect of fiscal policy on real GDP growth. This is the </w:t>
      </w:r>
      <w:r w:rsidR="00EA6EF5">
        <w:t xml:space="preserve">second </w:t>
      </w:r>
      <w:r w:rsidR="5188B6CE">
        <w:t xml:space="preserve">highest level of the FIM </w:t>
      </w:r>
      <w:r w:rsidR="5188B6CE" w:rsidRPr="282AE923">
        <w:rPr>
          <w:rFonts w:ascii="Calibri" w:eastAsia="Calibri" w:hAnsi="Calibri" w:cs="Calibri"/>
        </w:rPr>
        <w:t>since 1973</w:t>
      </w:r>
      <w:r w:rsidR="000E064B">
        <w:rPr>
          <w:rFonts w:ascii="Calibri" w:eastAsia="Calibri" w:hAnsi="Calibri" w:cs="Calibri"/>
        </w:rPr>
        <w:t xml:space="preserve">, </w:t>
      </w:r>
      <w:r w:rsidR="5188B6CE" w:rsidRPr="282AE923">
        <w:rPr>
          <w:rFonts w:ascii="Calibri" w:eastAsia="Calibri" w:hAnsi="Calibri" w:cs="Calibri"/>
        </w:rPr>
        <w:t>the earliest year for which we have data.</w:t>
      </w:r>
      <w:r w:rsidR="001C3616">
        <w:t xml:space="preserve"> </w:t>
      </w:r>
      <w:r w:rsidR="78859749">
        <w:t>The only higher reading occurred in the second quarter of this year</w:t>
      </w:r>
      <w:r w:rsidR="3EADC18C">
        <w:t>,</w:t>
      </w:r>
      <w:r w:rsidR="00075EE3">
        <w:t xml:space="preserve"> when</w:t>
      </w:r>
      <w:r w:rsidR="78859749">
        <w:t xml:space="preserve"> fiscal policy push</w:t>
      </w:r>
      <w:r w:rsidR="00075EE3">
        <w:t>ed</w:t>
      </w:r>
      <w:r w:rsidR="78859749">
        <w:t xml:space="preserve"> up GDP </w:t>
      </w:r>
      <w:r w:rsidR="00DB2A85">
        <w:t xml:space="preserve">growth </w:t>
      </w:r>
      <w:r w:rsidR="78859749">
        <w:t>by 14 percentage points.</w:t>
      </w:r>
      <w:r w:rsidR="00E40B1A">
        <w:t xml:space="preserve"> </w:t>
      </w:r>
      <w:r w:rsidR="001C3616">
        <w:t xml:space="preserve">GDP </w:t>
      </w:r>
      <w:r w:rsidR="000C0808">
        <w:t xml:space="preserve">increased </w:t>
      </w:r>
      <w:r w:rsidR="001C3616">
        <w:t xml:space="preserve">at an annual rate of </w:t>
      </w:r>
      <w:r w:rsidR="000C0808">
        <w:t>33.1</w:t>
      </w:r>
      <w:r w:rsidR="001C3616">
        <w:t xml:space="preserve"> percent in the </w:t>
      </w:r>
      <w:r w:rsidR="5C81444F">
        <w:t xml:space="preserve">third </w:t>
      </w:r>
      <w:r w:rsidR="001C3616">
        <w:t xml:space="preserve">quarter, according to the latest government estimate. </w:t>
      </w:r>
    </w:p>
    <w:bookmarkEnd w:id="1"/>
    <w:p w14:paraId="7B880FA0" w14:textId="76897F04" w:rsidR="006F24DD" w:rsidRDefault="001C3616" w:rsidP="006F24DD">
      <w:pPr>
        <w:rPr>
          <w:rFonts w:ascii="Calibri" w:eastAsia="Calibri" w:hAnsi="Calibri" w:cs="Calibri"/>
        </w:rPr>
      </w:pPr>
      <w:r w:rsidRPr="700FB900">
        <w:t>Taxes</w:t>
      </w:r>
      <w:r w:rsidR="0064587F" w:rsidRPr="700FB900">
        <w:t>, subsidies,</w:t>
      </w:r>
      <w:r w:rsidR="006F24DD" w:rsidRPr="700FB900">
        <w:rPr>
          <w:rFonts w:eastAsia="Calibri"/>
        </w:rPr>
        <w:t xml:space="preserve"> and transfer programs </w:t>
      </w:r>
      <w:r w:rsidR="49416D64" w:rsidRPr="700FB900">
        <w:rPr>
          <w:rFonts w:eastAsia="Calibri"/>
        </w:rPr>
        <w:t xml:space="preserve">account </w:t>
      </w:r>
      <w:r w:rsidR="006F24DD" w:rsidRPr="700FB900">
        <w:rPr>
          <w:rFonts w:eastAsia="Calibri"/>
        </w:rPr>
        <w:t>for the largest component of the increase in the FIM</w:t>
      </w:r>
      <w:r w:rsidR="1FEC568B" w:rsidRPr="700FB900">
        <w:rPr>
          <w:rFonts w:eastAsia="Calibri"/>
        </w:rPr>
        <w:t xml:space="preserve"> over the past two quarters</w:t>
      </w:r>
      <w:r w:rsidR="0098208D" w:rsidRPr="700FB900">
        <w:rPr>
          <w:rFonts w:eastAsia="Calibri"/>
        </w:rPr>
        <w:t xml:space="preserve">. </w:t>
      </w:r>
      <w:r w:rsidR="00DE018B" w:rsidRPr="700FB900">
        <w:rPr>
          <w:color w:val="101010"/>
          <w:shd w:val="clear" w:color="auto" w:fill="FAFAFA"/>
        </w:rPr>
        <w:t xml:space="preserve">This category </w:t>
      </w:r>
      <w:r w:rsidR="0015630C" w:rsidRPr="700FB900">
        <w:rPr>
          <w:color w:val="101010"/>
          <w:shd w:val="clear" w:color="auto" w:fill="FAFAFA"/>
        </w:rPr>
        <w:t>captures</w:t>
      </w:r>
      <w:r w:rsidR="00DE018B" w:rsidRPr="700FB900">
        <w:rPr>
          <w:color w:val="101010"/>
          <w:shd w:val="clear" w:color="auto" w:fill="FAFAFA"/>
        </w:rPr>
        <w:t xml:space="preserve"> the boosts to consumption from the CARES Act’s payments to households and expanded unemployment benefits, as well as </w:t>
      </w:r>
      <w:r w:rsidR="00141692" w:rsidRPr="700FB900">
        <w:rPr>
          <w:color w:val="101010"/>
          <w:shd w:val="clear" w:color="auto" w:fill="FAFAFA"/>
        </w:rPr>
        <w:t>from</w:t>
      </w:r>
      <w:r w:rsidR="00DE018B" w:rsidRPr="700FB900">
        <w:rPr>
          <w:color w:val="101010"/>
          <w:shd w:val="clear" w:color="auto" w:fill="FAFAFA"/>
        </w:rPr>
        <w:t xml:space="preserve"> the automatic stabilizers—the reduction in taxes and increases in unemployment and SNAP benefits that occur automatically when an economy falls into recession.</w:t>
      </w:r>
      <w:r w:rsidR="00D676D5" w:rsidRPr="700FB900">
        <w:rPr>
          <w:rFonts w:eastAsia="Calibri"/>
        </w:rPr>
        <w:t xml:space="preserve"> </w:t>
      </w:r>
      <w:r w:rsidR="00E54493" w:rsidRPr="700FB900">
        <w:rPr>
          <w:rFonts w:eastAsia="Calibri"/>
        </w:rPr>
        <w:t>Government</w:t>
      </w:r>
      <w:r w:rsidR="2BEEACFD" w:rsidRPr="700FB900">
        <w:rPr>
          <w:rFonts w:eastAsia="Calibri"/>
        </w:rPr>
        <w:t>-</w:t>
      </w:r>
      <w:r w:rsidR="00E54493" w:rsidRPr="700FB900">
        <w:rPr>
          <w:rFonts w:eastAsia="Calibri"/>
        </w:rPr>
        <w:t>financed purchases</w:t>
      </w:r>
      <w:r w:rsidR="00E54493" w:rsidRPr="700FB900" w:rsidDel="00E54493">
        <w:rPr>
          <w:rFonts w:eastAsia="Calibri"/>
        </w:rPr>
        <w:t xml:space="preserve"> </w:t>
      </w:r>
      <w:r w:rsidR="006F24DD" w:rsidRPr="700FB900">
        <w:rPr>
          <w:rFonts w:eastAsia="Calibri"/>
        </w:rPr>
        <w:t xml:space="preserve">by </w:t>
      </w:r>
      <w:r w:rsidR="00E54493" w:rsidRPr="700FB900">
        <w:rPr>
          <w:rFonts w:eastAsia="Calibri"/>
        </w:rPr>
        <w:t xml:space="preserve">both federal and </w:t>
      </w:r>
      <w:r w:rsidR="006F24DD" w:rsidRPr="700FB900">
        <w:rPr>
          <w:rFonts w:eastAsia="Calibri"/>
        </w:rPr>
        <w:t>state</w:t>
      </w:r>
      <w:r w:rsidR="00E93168" w:rsidRPr="700FB900">
        <w:rPr>
          <w:rFonts w:eastAsia="Calibri"/>
        </w:rPr>
        <w:t xml:space="preserve"> and </w:t>
      </w:r>
      <w:r w:rsidR="006F24DD" w:rsidRPr="700FB900">
        <w:rPr>
          <w:rFonts w:eastAsia="Calibri"/>
        </w:rPr>
        <w:t xml:space="preserve">local governments, on the other hand, were a restraint—holding down GDP growth by </w:t>
      </w:r>
      <w:r w:rsidR="009447FD" w:rsidRPr="700FB900">
        <w:t>-</w:t>
      </w:r>
      <w:r w:rsidR="00140877" w:rsidRPr="700FB900">
        <w:t xml:space="preserve">0.7 and </w:t>
      </w:r>
      <w:r w:rsidR="0088043A" w:rsidRPr="700FB900">
        <w:t>-0.5</w:t>
      </w:r>
      <w:r w:rsidR="006F24DD" w:rsidRPr="700FB900">
        <w:t xml:space="preserve"> percentage</w:t>
      </w:r>
      <w:r w:rsidR="006F24DD" w:rsidRPr="700FB900">
        <w:rPr>
          <w:rFonts w:eastAsia="Calibri"/>
        </w:rPr>
        <w:t xml:space="preserve"> point, </w:t>
      </w:r>
      <w:r w:rsidR="0088043A" w:rsidRPr="700FB900">
        <w:rPr>
          <w:rFonts w:eastAsia="Calibri"/>
        </w:rPr>
        <w:t>respect</w:t>
      </w:r>
      <w:r w:rsidR="003862EA" w:rsidRPr="700FB900">
        <w:rPr>
          <w:rFonts w:eastAsia="Calibri"/>
        </w:rPr>
        <w:t>ively</w:t>
      </w:r>
      <w:r w:rsidR="004E75B2" w:rsidRPr="700FB900">
        <w:rPr>
          <w:rFonts w:eastAsia="Calibri"/>
        </w:rPr>
        <w:t xml:space="preserve">. </w:t>
      </w:r>
      <w:r w:rsidR="006D0D96" w:rsidRPr="700FB900">
        <w:rPr>
          <w:rFonts w:eastAsia="Calibri"/>
        </w:rPr>
        <w:t xml:space="preserve">The decline in federal purchases </w:t>
      </w:r>
      <w:r w:rsidR="00ED67A6" w:rsidRPr="700FB900">
        <w:rPr>
          <w:rFonts w:eastAsia="Calibri"/>
        </w:rPr>
        <w:t xml:space="preserve">follows a sharp rise in the second </w:t>
      </w:r>
      <w:proofErr w:type="gramStart"/>
      <w:r w:rsidR="00ED67A6" w:rsidRPr="700FB900">
        <w:rPr>
          <w:rFonts w:eastAsia="Calibri"/>
        </w:rPr>
        <w:t>quarter, and</w:t>
      </w:r>
      <w:proofErr w:type="gramEnd"/>
      <w:r w:rsidR="00ED67A6" w:rsidRPr="700FB900">
        <w:rPr>
          <w:rFonts w:eastAsia="Calibri"/>
        </w:rPr>
        <w:t xml:space="preserve"> </w:t>
      </w:r>
      <w:r w:rsidR="006D0D96" w:rsidRPr="700FB900">
        <w:rPr>
          <w:rFonts w:eastAsia="Calibri"/>
        </w:rPr>
        <w:t>reflects the</w:t>
      </w:r>
      <w:r w:rsidR="00143AF2" w:rsidRPr="700FB900">
        <w:rPr>
          <w:rFonts w:eastAsia="Calibri"/>
        </w:rPr>
        <w:t xml:space="preserve"> decline in </w:t>
      </w:r>
      <w:r w:rsidR="00C47E84" w:rsidRPr="700FB900">
        <w:rPr>
          <w:rFonts w:eastAsia="Calibri"/>
        </w:rPr>
        <w:t xml:space="preserve">payments for </w:t>
      </w:r>
      <w:r w:rsidR="00143AF2" w:rsidRPr="700FB900">
        <w:rPr>
          <w:rFonts w:eastAsia="Calibri"/>
        </w:rPr>
        <w:t>PPP</w:t>
      </w:r>
      <w:r w:rsidR="006D0D96" w:rsidRPr="700FB900">
        <w:rPr>
          <w:rFonts w:eastAsia="Calibri"/>
        </w:rPr>
        <w:t xml:space="preserve"> processing</w:t>
      </w:r>
      <w:r w:rsidR="00C47E84" w:rsidRPr="700FB900">
        <w:rPr>
          <w:rFonts w:eastAsia="Calibri"/>
        </w:rPr>
        <w:t xml:space="preserve"> services. </w:t>
      </w:r>
      <w:r w:rsidR="009E2BFD" w:rsidRPr="700FB900">
        <w:rPr>
          <w:rFonts w:eastAsia="Calibri"/>
        </w:rPr>
        <w:t>S</w:t>
      </w:r>
      <w:r w:rsidR="006D0D96" w:rsidRPr="700FB900">
        <w:rPr>
          <w:rFonts w:eastAsia="Calibri"/>
        </w:rPr>
        <w:t>tate and local expenditures have been declining</w:t>
      </w:r>
      <w:r w:rsidR="006D0D96">
        <w:rPr>
          <w:rFonts w:ascii="Calibri" w:eastAsia="Calibri" w:hAnsi="Calibri" w:cs="Calibri"/>
        </w:rPr>
        <w:t xml:space="preserve"> </w:t>
      </w:r>
      <w:r w:rsidR="00C47E84">
        <w:rPr>
          <w:rFonts w:ascii="Calibri" w:eastAsia="Calibri" w:hAnsi="Calibri" w:cs="Calibri"/>
        </w:rPr>
        <w:t xml:space="preserve">steadily </w:t>
      </w:r>
      <w:r w:rsidR="006D0D96">
        <w:rPr>
          <w:rFonts w:ascii="Calibri" w:eastAsia="Calibri" w:hAnsi="Calibri" w:cs="Calibri"/>
        </w:rPr>
        <w:t xml:space="preserve">since the </w:t>
      </w:r>
      <w:r w:rsidR="00C47E84">
        <w:rPr>
          <w:rFonts w:ascii="Calibri" w:eastAsia="Calibri" w:hAnsi="Calibri" w:cs="Calibri"/>
        </w:rPr>
        <w:t xml:space="preserve">beginning of the pandemic, </w:t>
      </w:r>
      <w:r w:rsidR="00ED67A6">
        <w:rPr>
          <w:rFonts w:ascii="Calibri" w:eastAsia="Calibri" w:hAnsi="Calibri" w:cs="Calibri"/>
        </w:rPr>
        <w:t xml:space="preserve">in response to </w:t>
      </w:r>
      <w:r w:rsidR="006D0D96">
        <w:rPr>
          <w:rFonts w:ascii="Calibri" w:eastAsia="Calibri" w:hAnsi="Calibri" w:cs="Calibri"/>
        </w:rPr>
        <w:t>tight budget</w:t>
      </w:r>
      <w:r w:rsidR="00ED67A6">
        <w:rPr>
          <w:rFonts w:ascii="Calibri" w:eastAsia="Calibri" w:hAnsi="Calibri" w:cs="Calibri"/>
        </w:rPr>
        <w:t xml:space="preserve"> conditions</w:t>
      </w:r>
      <w:r w:rsidR="006D0D96">
        <w:rPr>
          <w:rFonts w:ascii="Calibri" w:eastAsia="Calibri" w:hAnsi="Calibri" w:cs="Calibri"/>
        </w:rPr>
        <w:t xml:space="preserve"> and perhaps </w:t>
      </w:r>
      <w:r w:rsidR="00ED67A6">
        <w:rPr>
          <w:rFonts w:ascii="Calibri" w:eastAsia="Calibri" w:hAnsi="Calibri" w:cs="Calibri"/>
        </w:rPr>
        <w:t xml:space="preserve">also </w:t>
      </w:r>
      <w:r w:rsidR="00EC587C">
        <w:rPr>
          <w:rFonts w:ascii="Calibri" w:eastAsia="Calibri" w:hAnsi="Calibri" w:cs="Calibri"/>
        </w:rPr>
        <w:t xml:space="preserve">the </w:t>
      </w:r>
      <w:r w:rsidR="5C8080A5" w:rsidRPr="2B27C325">
        <w:rPr>
          <w:rFonts w:ascii="Calibri" w:eastAsia="Calibri" w:hAnsi="Calibri" w:cs="Calibri"/>
        </w:rPr>
        <w:t>differ</w:t>
      </w:r>
      <w:r w:rsidR="5E71B3DC">
        <w:rPr>
          <w:rFonts w:ascii="Calibri" w:eastAsia="Calibri" w:hAnsi="Calibri" w:cs="Calibri"/>
        </w:rPr>
        <w:t>ent</w:t>
      </w:r>
      <w:r w:rsidR="00D83E22">
        <w:rPr>
          <w:rFonts w:ascii="Calibri" w:eastAsia="Calibri" w:hAnsi="Calibri" w:cs="Calibri"/>
        </w:rPr>
        <w:t xml:space="preserve"> staffing needs of </w:t>
      </w:r>
      <w:r w:rsidR="00EC587C">
        <w:rPr>
          <w:rFonts w:ascii="Calibri" w:eastAsia="Calibri" w:hAnsi="Calibri" w:cs="Calibri"/>
        </w:rPr>
        <w:t xml:space="preserve">virtual </w:t>
      </w:r>
      <w:r w:rsidR="00FA0A49">
        <w:rPr>
          <w:rFonts w:ascii="Calibri" w:eastAsia="Calibri" w:hAnsi="Calibri" w:cs="Calibri"/>
        </w:rPr>
        <w:t xml:space="preserve">public </w:t>
      </w:r>
      <w:r w:rsidR="00EC587C">
        <w:rPr>
          <w:rFonts w:ascii="Calibri" w:eastAsia="Calibri" w:hAnsi="Calibri" w:cs="Calibri"/>
        </w:rPr>
        <w:t>schooling.</w:t>
      </w:r>
      <w:r w:rsidR="006D0D96">
        <w:rPr>
          <w:rFonts w:ascii="Calibri" w:eastAsia="Calibri" w:hAnsi="Calibri" w:cs="Calibri"/>
        </w:rPr>
        <w:t xml:space="preserve"> </w:t>
      </w:r>
    </w:p>
    <w:p w14:paraId="2DCC7A37" w14:textId="2B4A5E9D" w:rsidR="006F24DD" w:rsidRPr="00F67E27" w:rsidRDefault="002F0FEF" w:rsidP="282AE923">
      <w:pPr>
        <w:rPr>
          <w:rFonts w:ascii="Calibri" w:eastAsia="Calibri" w:hAnsi="Calibri" w:cs="Calibri"/>
          <w:i/>
          <w:iCs/>
        </w:rPr>
      </w:pPr>
      <w:r>
        <w:rPr>
          <w:rFonts w:ascii="Calibri" w:eastAsia="Calibri" w:hAnsi="Calibri" w:cs="Calibri"/>
        </w:rPr>
        <w:t>Without</w:t>
      </w:r>
      <w:r w:rsidR="00323B4B">
        <w:rPr>
          <w:rFonts w:ascii="Calibri" w:eastAsia="Calibri" w:hAnsi="Calibri" w:cs="Calibri"/>
        </w:rPr>
        <w:t xml:space="preserve"> any additional stimulus, </w:t>
      </w:r>
      <w:r w:rsidR="006F24DD" w:rsidRPr="282AE923">
        <w:rPr>
          <w:rFonts w:ascii="Calibri" w:eastAsia="Calibri" w:hAnsi="Calibri" w:cs="Calibri"/>
        </w:rPr>
        <w:t xml:space="preserve">we project that fiscal policy will </w:t>
      </w:r>
      <w:r w:rsidR="00500D9E">
        <w:rPr>
          <w:rFonts w:ascii="Calibri" w:eastAsia="Calibri" w:hAnsi="Calibri" w:cs="Calibri"/>
        </w:rPr>
        <w:t>bec</w:t>
      </w:r>
      <w:r w:rsidR="00D837D5">
        <w:rPr>
          <w:rFonts w:ascii="Calibri" w:eastAsia="Calibri" w:hAnsi="Calibri" w:cs="Calibri"/>
        </w:rPr>
        <w:t>o</w:t>
      </w:r>
      <w:r w:rsidR="00500D9E">
        <w:rPr>
          <w:rFonts w:ascii="Calibri" w:eastAsia="Calibri" w:hAnsi="Calibri" w:cs="Calibri"/>
        </w:rPr>
        <w:t>me a dra</w:t>
      </w:r>
      <w:r w:rsidR="000C76E2">
        <w:rPr>
          <w:rFonts w:ascii="Calibri" w:eastAsia="Calibri" w:hAnsi="Calibri" w:cs="Calibri"/>
        </w:rPr>
        <w:t>g</w:t>
      </w:r>
      <w:r w:rsidR="00500D9E">
        <w:rPr>
          <w:rFonts w:ascii="Calibri" w:eastAsia="Calibri" w:hAnsi="Calibri" w:cs="Calibri"/>
        </w:rPr>
        <w:t xml:space="preserve"> on economic growth </w:t>
      </w:r>
      <w:r w:rsidR="006F24DD" w:rsidRPr="282AE923">
        <w:rPr>
          <w:rFonts w:ascii="Calibri" w:eastAsia="Calibri" w:hAnsi="Calibri" w:cs="Calibri"/>
        </w:rPr>
        <w:t>in coming quarters</w:t>
      </w:r>
      <w:r w:rsidR="00B627FD">
        <w:rPr>
          <w:rFonts w:ascii="Calibri" w:eastAsia="Calibri" w:hAnsi="Calibri" w:cs="Calibri"/>
        </w:rPr>
        <w:t>.</w:t>
      </w:r>
      <w:r w:rsidR="00500D9E">
        <w:rPr>
          <w:rFonts w:ascii="Calibri" w:eastAsia="Calibri" w:hAnsi="Calibri" w:cs="Calibri"/>
        </w:rPr>
        <w:t xml:space="preserve"> </w:t>
      </w:r>
      <w:commentRangeStart w:id="2"/>
      <w:commentRangeStart w:id="3"/>
      <w:r w:rsidR="002B2A23">
        <w:rPr>
          <w:rFonts w:ascii="Calibri" w:eastAsia="Calibri" w:hAnsi="Calibri" w:cs="Calibri"/>
        </w:rPr>
        <w:t>Under our assumptions</w:t>
      </w:r>
      <w:r w:rsidR="00466921">
        <w:rPr>
          <w:rFonts w:ascii="Calibri" w:eastAsia="Calibri" w:hAnsi="Calibri" w:cs="Calibri"/>
        </w:rPr>
        <w:t xml:space="preserve"> ab</w:t>
      </w:r>
      <w:r w:rsidR="00B81FB5">
        <w:rPr>
          <w:rFonts w:ascii="Calibri" w:eastAsia="Calibri" w:hAnsi="Calibri" w:cs="Calibri"/>
        </w:rPr>
        <w:t>o</w:t>
      </w:r>
      <w:r w:rsidR="00466921">
        <w:rPr>
          <w:rFonts w:ascii="Calibri" w:eastAsia="Calibri" w:hAnsi="Calibri" w:cs="Calibri"/>
        </w:rPr>
        <w:t>ut the timing of spend</w:t>
      </w:r>
      <w:r w:rsidR="00B81FB5">
        <w:rPr>
          <w:rFonts w:ascii="Calibri" w:eastAsia="Calibri" w:hAnsi="Calibri" w:cs="Calibri"/>
        </w:rPr>
        <w:t>ing from fiscal stimulus</w:t>
      </w:r>
      <w:r w:rsidR="002B2A23">
        <w:rPr>
          <w:rFonts w:ascii="Calibri" w:eastAsia="Calibri" w:hAnsi="Calibri" w:cs="Calibri"/>
        </w:rPr>
        <w:t xml:space="preserve">, the effect of </w:t>
      </w:r>
      <w:r w:rsidR="00B81FB5">
        <w:rPr>
          <w:rFonts w:ascii="Calibri" w:eastAsia="Calibri" w:hAnsi="Calibri" w:cs="Calibri"/>
        </w:rPr>
        <w:t>last spring’s legislation</w:t>
      </w:r>
      <w:r w:rsidR="0061552F">
        <w:rPr>
          <w:rFonts w:ascii="Calibri" w:eastAsia="Calibri" w:hAnsi="Calibri" w:cs="Calibri"/>
        </w:rPr>
        <w:t xml:space="preserve"> </w:t>
      </w:r>
      <w:r w:rsidR="002B2A23">
        <w:rPr>
          <w:rFonts w:ascii="Calibri" w:eastAsia="Calibri" w:hAnsi="Calibri" w:cs="Calibri"/>
        </w:rPr>
        <w:t xml:space="preserve">will be mostly </w:t>
      </w:r>
      <w:r w:rsidR="00466921">
        <w:rPr>
          <w:rFonts w:ascii="Calibri" w:eastAsia="Calibri" w:hAnsi="Calibri" w:cs="Calibri"/>
        </w:rPr>
        <w:t xml:space="preserve">gone </w:t>
      </w:r>
      <w:r w:rsidR="002B2A23">
        <w:rPr>
          <w:rFonts w:ascii="Calibri" w:eastAsia="Calibri" w:hAnsi="Calibri" w:cs="Calibri"/>
        </w:rPr>
        <w:t>by the second quarter of 2021</w:t>
      </w:r>
      <w:r w:rsidR="00B81FB5">
        <w:rPr>
          <w:rFonts w:ascii="Calibri" w:eastAsia="Calibri" w:hAnsi="Calibri" w:cs="Calibri"/>
        </w:rPr>
        <w:t>.</w:t>
      </w:r>
      <w:r w:rsidR="002B2A23">
        <w:rPr>
          <w:rFonts w:ascii="Calibri" w:eastAsia="Calibri" w:hAnsi="Calibri" w:cs="Calibri"/>
        </w:rPr>
        <w:t xml:space="preserve"> </w:t>
      </w:r>
      <w:commentRangeEnd w:id="2"/>
      <w:r w:rsidR="00EA6261">
        <w:rPr>
          <w:rStyle w:val="CommentReference"/>
        </w:rPr>
        <w:commentReference w:id="2"/>
      </w:r>
      <w:commentRangeEnd w:id="3"/>
      <w:r w:rsidR="001146DE">
        <w:rPr>
          <w:rStyle w:val="CommentReference"/>
        </w:rPr>
        <w:commentReference w:id="3"/>
      </w:r>
      <w:r w:rsidR="00072822">
        <w:rPr>
          <w:rFonts w:ascii="Calibri" w:eastAsia="Calibri" w:hAnsi="Calibri" w:cs="Calibri"/>
        </w:rPr>
        <w:t xml:space="preserve">As a result, </w:t>
      </w:r>
      <w:r w:rsidR="00FA6BD2">
        <w:rPr>
          <w:rFonts w:ascii="Calibri" w:eastAsia="Calibri" w:hAnsi="Calibri" w:cs="Calibri"/>
        </w:rPr>
        <w:t xml:space="preserve">in our projection, fiscal policy becomes sharply negative. </w:t>
      </w:r>
      <w:r w:rsidR="00263772" w:rsidRPr="00C40A6E">
        <w:t>While additional legislation to support the economy is possible, we don’t know what form it will take</w:t>
      </w:r>
      <w:r w:rsidR="0096499D">
        <w:rPr>
          <w:color w:val="538135" w:themeColor="accent6" w:themeShade="BF"/>
        </w:rPr>
        <w:t>,</w:t>
      </w:r>
      <w:r w:rsidR="00263772" w:rsidRPr="00C40A6E">
        <w:t xml:space="preserve"> </w:t>
      </w:r>
      <w:r w:rsidR="00263772" w:rsidRPr="008073BB">
        <w:t xml:space="preserve">and </w:t>
      </w:r>
      <w:r w:rsidR="0096499D" w:rsidRPr="008073BB">
        <w:t xml:space="preserve">thus </w:t>
      </w:r>
      <w:r w:rsidR="00263772" w:rsidRPr="008073BB">
        <w:t xml:space="preserve">have </w:t>
      </w:r>
      <w:r w:rsidR="00263772" w:rsidRPr="00C40A6E">
        <w:t>not included it in our forecast</w:t>
      </w:r>
      <w:r w:rsidR="00C22011" w:rsidRPr="00C40A6E">
        <w:t>.</w:t>
      </w:r>
      <w:r w:rsidR="00263772" w:rsidRPr="00C40A6E">
        <w:rPr>
          <w:rFonts w:ascii="Calibri" w:eastAsia="Calibri" w:hAnsi="Calibri" w:cs="Calibri"/>
        </w:rPr>
        <w:t xml:space="preserve"> </w:t>
      </w:r>
      <w:commentRangeStart w:id="4"/>
      <w:commentRangeEnd w:id="4"/>
      <w:r w:rsidR="00EC5FDC" w:rsidRPr="00C40A6E">
        <w:rPr>
          <w:rStyle w:val="CommentReference"/>
        </w:rPr>
        <w:commentReference w:id="4"/>
      </w:r>
    </w:p>
    <w:p w14:paraId="18796B05" w14:textId="0EE9F106" w:rsidR="006F24DD" w:rsidRPr="00C93CBF" w:rsidRDefault="006F24DD" w:rsidP="006F24DD">
      <w:pPr>
        <w:rPr>
          <w:rFonts w:ascii="Calibri" w:eastAsia="Calibri" w:hAnsi="Calibri" w:cs="Calibri"/>
        </w:rPr>
      </w:pPr>
      <w:r>
        <w:rPr>
          <w:rFonts w:ascii="Calibri" w:eastAsia="Calibri" w:hAnsi="Calibri" w:cs="Calibri"/>
        </w:rPr>
        <w:t>While the overall trajectory of the FIM is clear—a near-term boost to</w:t>
      </w:r>
      <w:r w:rsidRPr="5B2213C7">
        <w:rPr>
          <w:rFonts w:ascii="Calibri" w:eastAsia="Calibri" w:hAnsi="Calibri" w:cs="Calibri"/>
        </w:rPr>
        <w:t xml:space="preserve"> the</w:t>
      </w:r>
      <w:r>
        <w:rPr>
          <w:rFonts w:ascii="Calibri" w:eastAsia="Calibri" w:hAnsi="Calibri" w:cs="Calibri"/>
        </w:rPr>
        <w:t xml:space="preserve"> economy that abates quickly, followed by several quarters of restraint—the exact magnitude and timing of the effects are not. For the current projection, we’ve made several assumptions: about the timing of the outlays from the recent legislation, for example, and, importantly, about the behavioral responses to it. </w:t>
      </w:r>
      <w:r>
        <w:t>The impact of taxes and government transfers on the pace of GDP growth depends on the marginal propensities to consume (MPC</w:t>
      </w:r>
      <w:r w:rsidR="00D95407">
        <w:t>s</w:t>
      </w:r>
      <w:r>
        <w:t>)—for instance, how much households spend versus how much they save from the $1,200</w:t>
      </w:r>
      <w:r w:rsidR="00531CB7">
        <w:t xml:space="preserve"> per </w:t>
      </w:r>
      <w:r>
        <w:t>person payment that the CARES Act provided to most households. During the pandemic, the MPCs could be smaller or larger than in normal times. The effects of lockdowns and social distancing could reduce consumption; the progressivity of the increased federal spending—particularly the $600 per week increase in unemployment benefits—could produce larger effects on consumption. Data available thus far suggest the spending response has been robust, and we have boosted our standard MPCs</w:t>
      </w:r>
      <w:r w:rsidR="00EB506F">
        <w:t xml:space="preserve"> a bit</w:t>
      </w:r>
      <w:r>
        <w:t xml:space="preserve">, both for the payments to households and the expanded unemployment benefits, </w:t>
      </w:r>
      <w:r w:rsidR="00FF2C89">
        <w:t xml:space="preserve">but, because of social distancing, </w:t>
      </w:r>
      <w:r w:rsidR="009A6B40">
        <w:t xml:space="preserve">we also </w:t>
      </w:r>
      <w:r w:rsidR="00FF2C89">
        <w:t xml:space="preserve">have </w:t>
      </w:r>
      <w:r w:rsidR="00E138F8">
        <w:t>assumed the spending occurs over a longer time period.</w:t>
      </w:r>
    </w:p>
    <w:p w14:paraId="225D4B02" w14:textId="03291D02" w:rsidR="006F24DD" w:rsidRDefault="006F24DD" w:rsidP="006F24DD">
      <w:r>
        <w:t xml:space="preserve">Estimating the impact of the PPP on GDP is particularly difficult, as it </w:t>
      </w:r>
      <w:r w:rsidR="327C6AE8">
        <w:t>requires knowing</w:t>
      </w:r>
      <w:r>
        <w:t xml:space="preserve"> what share of those grants went to businesses that would have otherwise laid off employees—in which case the PPP funding operates much like unemployment insurance—and what share should be viewed like standard </w:t>
      </w:r>
      <w:r>
        <w:lastRenderedPageBreak/>
        <w:t>business tax cuts that have only small near-term effects on business spending. Recent evidence</w:t>
      </w:r>
      <w:r w:rsidR="560BA72D">
        <w:t xml:space="preserve"> </w:t>
      </w:r>
      <w:r>
        <w:t xml:space="preserve">suggests that </w:t>
      </w:r>
      <w:hyperlink r:id="rId10" w:history="1">
        <w:r>
          <w:t xml:space="preserve">these loans did boost employment, although only for a </w:t>
        </w:r>
        <w:r w:rsidR="6F6F2C9E">
          <w:t xml:space="preserve">small </w:t>
        </w:r>
        <w:r w:rsidRPr="282AE923">
          <w:rPr>
            <w:rStyle w:val="Hyperlink"/>
          </w:rPr>
          <w:t>minority of the firms that received them</w:t>
        </w:r>
      </w:hyperlink>
      <w:r w:rsidR="007B110F">
        <w:t>.</w:t>
      </w:r>
      <w:r w:rsidR="003A3C59">
        <w:t xml:space="preserve"> </w:t>
      </w:r>
      <w:r>
        <w:t xml:space="preserve">As a result, we’ve assumed that additional spending as a result of the PPP grants is likely to be relatively small and slow. </w:t>
      </w:r>
      <w:r w:rsidR="00E138F8">
        <w:t xml:space="preserve">State and local governments are also cutting their purchases, suggesting spending of the grants </w:t>
      </w:r>
      <w:r w:rsidR="006742A3">
        <w:t xml:space="preserve">provided to them </w:t>
      </w:r>
      <w:r w:rsidR="00E138F8">
        <w:t xml:space="preserve">in the CARES Act will also be very gradual. </w:t>
      </w:r>
    </w:p>
    <w:p w14:paraId="70135FF1" w14:textId="77777777" w:rsidR="006F24DD" w:rsidRDefault="006F24DD" w:rsidP="006F24DD">
      <w:r>
        <w:t xml:space="preserve">Before the onset of the COVID-19 pandemic, federal, state, and local fiscal policies were providing a modest boost to GDP growth. </w:t>
      </w:r>
    </w:p>
    <w:p w14:paraId="3254A70C" w14:textId="77777777" w:rsidR="006F24DD" w:rsidRDefault="006F24DD" w:rsidP="006F24DD">
      <w:pPr>
        <w:rPr>
          <w:i/>
          <w:iCs/>
        </w:rPr>
      </w:pPr>
      <w:r w:rsidRPr="4C8E298E">
        <w:rPr>
          <w:i/>
          <w:iCs/>
        </w:rPr>
        <w:t xml:space="preserve">For more on </w:t>
      </w:r>
      <w:r>
        <w:rPr>
          <w:i/>
          <w:iCs/>
        </w:rPr>
        <w:t>the FIM,</w:t>
      </w:r>
      <w:r w:rsidRPr="4C8E298E">
        <w:rPr>
          <w:i/>
          <w:iCs/>
        </w:rPr>
        <w:t xml:space="preserve"> see our </w:t>
      </w:r>
      <w:hyperlink r:id="rId11" w:history="1">
        <w:r w:rsidRPr="00413462">
          <w:rPr>
            <w:rStyle w:val="Hyperlink"/>
            <w:i/>
            <w:iCs/>
          </w:rPr>
          <w:t>methodology »</w:t>
        </w:r>
      </w:hyperlink>
      <w:r w:rsidRPr="4C8E298E">
        <w:rPr>
          <w:i/>
          <w:iCs/>
        </w:rPr>
        <w:t xml:space="preserve">. You can also read our </w:t>
      </w:r>
      <w:hyperlink r:id="rId12" w:history="1">
        <w:r w:rsidRPr="00E17ABE">
          <w:rPr>
            <w:rStyle w:val="Hyperlink"/>
            <w:i/>
            <w:iCs/>
          </w:rPr>
          <w:t>Guide to the FIM »</w:t>
        </w:r>
      </w:hyperlink>
      <w:r w:rsidRPr="4C8E298E">
        <w:rPr>
          <w:i/>
          <w:iCs/>
        </w:rPr>
        <w:t>.</w:t>
      </w:r>
    </w:p>
    <w:p w14:paraId="749952FE" w14:textId="77777777" w:rsidR="006F24DD" w:rsidRDefault="006F24DD" w:rsidP="006F24DD">
      <w:pPr>
        <w:rPr>
          <w:rFonts w:ascii="Calibri" w:eastAsia="Calibri" w:hAnsi="Calibri" w:cs="Calibri"/>
        </w:rPr>
      </w:pPr>
    </w:p>
    <w:p w14:paraId="3911E019" w14:textId="77777777" w:rsidR="006F24DD" w:rsidRDefault="006F24DD" w:rsidP="006F24DD">
      <w:pPr>
        <w:rPr>
          <w:rFonts w:ascii="Calibri" w:eastAsia="Calibri" w:hAnsi="Calibri" w:cs="Calibri"/>
        </w:rPr>
      </w:pPr>
    </w:p>
    <w:p w14:paraId="7DCEE270" w14:textId="77777777" w:rsidR="006F24DD" w:rsidRDefault="006F24DD" w:rsidP="006F24DD"/>
    <w:p w14:paraId="5B5E725C" w14:textId="77777777" w:rsidR="00541BF5" w:rsidRDefault="00541BF5"/>
    <w:sectPr w:rsidR="00541B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vid Wessel" w:date="2020-10-29T20:02:00Z" w:initials="DW">
    <w:p w14:paraId="6021D4CA" w14:textId="1632657C" w:rsidR="00EA6261" w:rsidRDefault="00EA6261">
      <w:pPr>
        <w:pStyle w:val="CommentText"/>
      </w:pPr>
      <w:r>
        <w:rPr>
          <w:rStyle w:val="CommentReference"/>
        </w:rPr>
        <w:annotationRef/>
      </w:r>
      <w:r>
        <w:t xml:space="preserve">Don’t get this? </w:t>
      </w:r>
    </w:p>
  </w:comment>
  <w:comment w:id="3" w:author="Kadija Yilla" w:date="2020-10-30T08:51:00Z" w:initials="KDY">
    <w:p w14:paraId="2CAFAB88" w14:textId="77777777" w:rsidR="001146DE" w:rsidRDefault="001146DE">
      <w:pPr>
        <w:pStyle w:val="CommentText"/>
      </w:pPr>
      <w:r>
        <w:rPr>
          <w:rStyle w:val="CommentReference"/>
        </w:rPr>
        <w:annotationRef/>
      </w:r>
      <w:r>
        <w:t>What about now?</w:t>
      </w:r>
    </w:p>
    <w:p w14:paraId="061CDB2D" w14:textId="7C56E582" w:rsidR="001146DE" w:rsidRDefault="001146DE">
      <w:pPr>
        <w:pStyle w:val="CommentText"/>
      </w:pPr>
    </w:p>
  </w:comment>
  <w:comment w:id="4" w:author="Louise Sheiner" w:date="2020-10-30T08:50:00Z" w:initials="LS">
    <w:p w14:paraId="32BA6846" w14:textId="39A58E52" w:rsidR="00EC5FDC" w:rsidRDefault="00EC5FDC">
      <w:pPr>
        <w:pStyle w:val="CommentText"/>
      </w:pPr>
      <w:r>
        <w:rPr>
          <w:rStyle w:val="CommentReference"/>
        </w:rPr>
        <w:annotationRef/>
      </w:r>
      <w:r>
        <w:t xml:space="preserve">We say next that the timing is uncertain. I don’t want to focus on a one-quarter sharp drop—better to focus on the overall story.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21D4CA" w15:done="1"/>
  <w15:commentEx w15:paraId="061CDB2D" w15:paraIdParent="6021D4CA" w15:done="1"/>
  <w15:commentEx w15:paraId="32BA684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59E4B" w16cex:dateUtc="2020-10-30T00:02:00Z"/>
  <w16cex:commentExtensible w16cex:durableId="234652A8" w16cex:dateUtc="2020-10-30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21D4CA" w16cid:durableId="23459E4B"/>
  <w16cid:commentId w16cid:paraId="061CDB2D" w16cid:durableId="234652A8"/>
  <w16cid:commentId w16cid:paraId="32BA6846" w16cid:durableId="234652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Wessel">
    <w15:presenceInfo w15:providerId="AD" w15:userId="S::dwessel@brookings.edu::ccb472b7-686c-4155-a47e-adf138012449"/>
  </w15:person>
  <w15:person w15:author="Kadija Yilla">
    <w15:presenceInfo w15:providerId="AD" w15:userId="S::kyilla@brookings.edu::1d0f8558-0594-40f7-8134-e540cb01b2cb"/>
  </w15:person>
  <w15:person w15:author="Louise Sheiner">
    <w15:presenceInfo w15:providerId="AD" w15:userId="S::LSheiner@brookings.edu::9c830d1a-1c7c-4e4e-8c95-7efdd04f46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DD"/>
    <w:rsid w:val="000078CA"/>
    <w:rsid w:val="000203D4"/>
    <w:rsid w:val="000529E1"/>
    <w:rsid w:val="00057CA1"/>
    <w:rsid w:val="000643C1"/>
    <w:rsid w:val="00072822"/>
    <w:rsid w:val="0007424B"/>
    <w:rsid w:val="00075EE3"/>
    <w:rsid w:val="00082182"/>
    <w:rsid w:val="00084AD5"/>
    <w:rsid w:val="00086A35"/>
    <w:rsid w:val="000912AF"/>
    <w:rsid w:val="000A2560"/>
    <w:rsid w:val="000A31AA"/>
    <w:rsid w:val="000B6F03"/>
    <w:rsid w:val="000B7B35"/>
    <w:rsid w:val="000C0808"/>
    <w:rsid w:val="000C510F"/>
    <w:rsid w:val="000C629A"/>
    <w:rsid w:val="000C76E2"/>
    <w:rsid w:val="000D6AD6"/>
    <w:rsid w:val="000E064B"/>
    <w:rsid w:val="000E271C"/>
    <w:rsid w:val="000E6EC2"/>
    <w:rsid w:val="001000D3"/>
    <w:rsid w:val="001038A6"/>
    <w:rsid w:val="001138D3"/>
    <w:rsid w:val="001146DE"/>
    <w:rsid w:val="00125598"/>
    <w:rsid w:val="001345FE"/>
    <w:rsid w:val="00136EBC"/>
    <w:rsid w:val="0013757D"/>
    <w:rsid w:val="00140877"/>
    <w:rsid w:val="00141692"/>
    <w:rsid w:val="00143AF2"/>
    <w:rsid w:val="00146404"/>
    <w:rsid w:val="0015630C"/>
    <w:rsid w:val="0016058A"/>
    <w:rsid w:val="00160E61"/>
    <w:rsid w:val="00175C7F"/>
    <w:rsid w:val="00194176"/>
    <w:rsid w:val="001944AA"/>
    <w:rsid w:val="00197677"/>
    <w:rsid w:val="001B3B2B"/>
    <w:rsid w:val="001C3616"/>
    <w:rsid w:val="001C4798"/>
    <w:rsid w:val="001D0484"/>
    <w:rsid w:val="001E7136"/>
    <w:rsid w:val="00202618"/>
    <w:rsid w:val="00237F9B"/>
    <w:rsid w:val="00263772"/>
    <w:rsid w:val="002678A9"/>
    <w:rsid w:val="002702D2"/>
    <w:rsid w:val="002B2A23"/>
    <w:rsid w:val="002B3544"/>
    <w:rsid w:val="002C1F93"/>
    <w:rsid w:val="002C551D"/>
    <w:rsid w:val="002C67D2"/>
    <w:rsid w:val="002E0D02"/>
    <w:rsid w:val="002E1CFB"/>
    <w:rsid w:val="002F0FEF"/>
    <w:rsid w:val="002F2210"/>
    <w:rsid w:val="002F5764"/>
    <w:rsid w:val="002F65C6"/>
    <w:rsid w:val="00304FCA"/>
    <w:rsid w:val="00310AA7"/>
    <w:rsid w:val="00313EA7"/>
    <w:rsid w:val="00314BDE"/>
    <w:rsid w:val="00316C84"/>
    <w:rsid w:val="00323B4B"/>
    <w:rsid w:val="00327A4A"/>
    <w:rsid w:val="00334118"/>
    <w:rsid w:val="003356DB"/>
    <w:rsid w:val="00337A2B"/>
    <w:rsid w:val="00341647"/>
    <w:rsid w:val="003618DD"/>
    <w:rsid w:val="00363C38"/>
    <w:rsid w:val="003804E4"/>
    <w:rsid w:val="003862EA"/>
    <w:rsid w:val="0038734A"/>
    <w:rsid w:val="00391694"/>
    <w:rsid w:val="003A3C59"/>
    <w:rsid w:val="003C32E8"/>
    <w:rsid w:val="003D0897"/>
    <w:rsid w:val="003D4994"/>
    <w:rsid w:val="003E65B0"/>
    <w:rsid w:val="003F792A"/>
    <w:rsid w:val="00400FD5"/>
    <w:rsid w:val="00402B05"/>
    <w:rsid w:val="004067D6"/>
    <w:rsid w:val="00414699"/>
    <w:rsid w:val="00424A49"/>
    <w:rsid w:val="004267FE"/>
    <w:rsid w:val="00432BF7"/>
    <w:rsid w:val="00436326"/>
    <w:rsid w:val="00444B5C"/>
    <w:rsid w:val="00451F50"/>
    <w:rsid w:val="00453D99"/>
    <w:rsid w:val="004650C2"/>
    <w:rsid w:val="00466921"/>
    <w:rsid w:val="00471153"/>
    <w:rsid w:val="004838F0"/>
    <w:rsid w:val="004855F5"/>
    <w:rsid w:val="004A4208"/>
    <w:rsid w:val="004C7231"/>
    <w:rsid w:val="004D00BB"/>
    <w:rsid w:val="004E75B2"/>
    <w:rsid w:val="004F0B0B"/>
    <w:rsid w:val="004F3BBB"/>
    <w:rsid w:val="00500D9E"/>
    <w:rsid w:val="00500FA8"/>
    <w:rsid w:val="00511DBF"/>
    <w:rsid w:val="00531CB7"/>
    <w:rsid w:val="00541BF5"/>
    <w:rsid w:val="005452AE"/>
    <w:rsid w:val="005546C1"/>
    <w:rsid w:val="00566F2B"/>
    <w:rsid w:val="0058073D"/>
    <w:rsid w:val="00590C26"/>
    <w:rsid w:val="005B5679"/>
    <w:rsid w:val="005C41A5"/>
    <w:rsid w:val="005C606E"/>
    <w:rsid w:val="005D6A4F"/>
    <w:rsid w:val="005F13B3"/>
    <w:rsid w:val="006053F5"/>
    <w:rsid w:val="006058DC"/>
    <w:rsid w:val="0061194D"/>
    <w:rsid w:val="0061552F"/>
    <w:rsid w:val="00631C01"/>
    <w:rsid w:val="0064587F"/>
    <w:rsid w:val="00646376"/>
    <w:rsid w:val="006471EC"/>
    <w:rsid w:val="00647F78"/>
    <w:rsid w:val="00651BFD"/>
    <w:rsid w:val="00655AEC"/>
    <w:rsid w:val="006742A3"/>
    <w:rsid w:val="00683205"/>
    <w:rsid w:val="00686683"/>
    <w:rsid w:val="00690EE9"/>
    <w:rsid w:val="00691228"/>
    <w:rsid w:val="006B39E8"/>
    <w:rsid w:val="006D0D96"/>
    <w:rsid w:val="006F24DD"/>
    <w:rsid w:val="006F27E7"/>
    <w:rsid w:val="007033C2"/>
    <w:rsid w:val="0070480C"/>
    <w:rsid w:val="00726E8A"/>
    <w:rsid w:val="00773774"/>
    <w:rsid w:val="00773946"/>
    <w:rsid w:val="00782142"/>
    <w:rsid w:val="007A1231"/>
    <w:rsid w:val="007A482E"/>
    <w:rsid w:val="007B075C"/>
    <w:rsid w:val="007B110F"/>
    <w:rsid w:val="007B4ABD"/>
    <w:rsid w:val="007C773C"/>
    <w:rsid w:val="007D5AAB"/>
    <w:rsid w:val="007F0CFB"/>
    <w:rsid w:val="007F5F3C"/>
    <w:rsid w:val="007F7B59"/>
    <w:rsid w:val="008073BB"/>
    <w:rsid w:val="00810ED6"/>
    <w:rsid w:val="00817F1A"/>
    <w:rsid w:val="00820ADC"/>
    <w:rsid w:val="00833276"/>
    <w:rsid w:val="00853CCE"/>
    <w:rsid w:val="008605E3"/>
    <w:rsid w:val="00872087"/>
    <w:rsid w:val="0088043A"/>
    <w:rsid w:val="008852DA"/>
    <w:rsid w:val="008921BB"/>
    <w:rsid w:val="00892E32"/>
    <w:rsid w:val="008B34C8"/>
    <w:rsid w:val="008B378E"/>
    <w:rsid w:val="008B78B7"/>
    <w:rsid w:val="008D3F93"/>
    <w:rsid w:val="008D45C7"/>
    <w:rsid w:val="00907C87"/>
    <w:rsid w:val="00911DAD"/>
    <w:rsid w:val="00913E7C"/>
    <w:rsid w:val="00924D25"/>
    <w:rsid w:val="009264FD"/>
    <w:rsid w:val="00927BC9"/>
    <w:rsid w:val="009447FD"/>
    <w:rsid w:val="00953540"/>
    <w:rsid w:val="0096499D"/>
    <w:rsid w:val="0096618D"/>
    <w:rsid w:val="00971EA6"/>
    <w:rsid w:val="0097626D"/>
    <w:rsid w:val="0098208D"/>
    <w:rsid w:val="00982AC2"/>
    <w:rsid w:val="009904D2"/>
    <w:rsid w:val="00990F05"/>
    <w:rsid w:val="009A268D"/>
    <w:rsid w:val="009A36BC"/>
    <w:rsid w:val="009A6B40"/>
    <w:rsid w:val="009A76AB"/>
    <w:rsid w:val="009B3E02"/>
    <w:rsid w:val="009C3766"/>
    <w:rsid w:val="009C4D63"/>
    <w:rsid w:val="009D68C5"/>
    <w:rsid w:val="009E0AE2"/>
    <w:rsid w:val="009E2BFD"/>
    <w:rsid w:val="009E6681"/>
    <w:rsid w:val="009E7B03"/>
    <w:rsid w:val="009F2D2A"/>
    <w:rsid w:val="009F4B55"/>
    <w:rsid w:val="009F5419"/>
    <w:rsid w:val="009F5849"/>
    <w:rsid w:val="00A173F0"/>
    <w:rsid w:val="00A20139"/>
    <w:rsid w:val="00A44272"/>
    <w:rsid w:val="00A74C18"/>
    <w:rsid w:val="00AA3074"/>
    <w:rsid w:val="00AA3896"/>
    <w:rsid w:val="00AB4073"/>
    <w:rsid w:val="00AC23B8"/>
    <w:rsid w:val="00AC4539"/>
    <w:rsid w:val="00AF27DF"/>
    <w:rsid w:val="00B02B4E"/>
    <w:rsid w:val="00B204F3"/>
    <w:rsid w:val="00B21D85"/>
    <w:rsid w:val="00B24B32"/>
    <w:rsid w:val="00B32665"/>
    <w:rsid w:val="00B627FD"/>
    <w:rsid w:val="00B62E2A"/>
    <w:rsid w:val="00B7360E"/>
    <w:rsid w:val="00B75006"/>
    <w:rsid w:val="00B81FB5"/>
    <w:rsid w:val="00B865D3"/>
    <w:rsid w:val="00BB35FB"/>
    <w:rsid w:val="00BB3EE6"/>
    <w:rsid w:val="00BB485C"/>
    <w:rsid w:val="00BB4BBA"/>
    <w:rsid w:val="00BC3311"/>
    <w:rsid w:val="00BC3DFD"/>
    <w:rsid w:val="00BC46B2"/>
    <w:rsid w:val="00C22011"/>
    <w:rsid w:val="00C27D12"/>
    <w:rsid w:val="00C40A6E"/>
    <w:rsid w:val="00C42455"/>
    <w:rsid w:val="00C47E84"/>
    <w:rsid w:val="00C528C8"/>
    <w:rsid w:val="00C626BD"/>
    <w:rsid w:val="00C8600A"/>
    <w:rsid w:val="00CA180E"/>
    <w:rsid w:val="00CA350C"/>
    <w:rsid w:val="00CB7E80"/>
    <w:rsid w:val="00CC37DD"/>
    <w:rsid w:val="00CC5C3D"/>
    <w:rsid w:val="00CD754D"/>
    <w:rsid w:val="00CD78D2"/>
    <w:rsid w:val="00CE0235"/>
    <w:rsid w:val="00CE09BD"/>
    <w:rsid w:val="00D2177E"/>
    <w:rsid w:val="00D33F3A"/>
    <w:rsid w:val="00D3459E"/>
    <w:rsid w:val="00D3760A"/>
    <w:rsid w:val="00D51387"/>
    <w:rsid w:val="00D540B9"/>
    <w:rsid w:val="00D5705C"/>
    <w:rsid w:val="00D64EAA"/>
    <w:rsid w:val="00D676D5"/>
    <w:rsid w:val="00D71FC1"/>
    <w:rsid w:val="00D75D07"/>
    <w:rsid w:val="00D837D5"/>
    <w:rsid w:val="00D83E22"/>
    <w:rsid w:val="00D934A7"/>
    <w:rsid w:val="00D93D0E"/>
    <w:rsid w:val="00D95407"/>
    <w:rsid w:val="00D97DC0"/>
    <w:rsid w:val="00DA391F"/>
    <w:rsid w:val="00DB2A85"/>
    <w:rsid w:val="00DC1FE3"/>
    <w:rsid w:val="00DD28DC"/>
    <w:rsid w:val="00DD3F04"/>
    <w:rsid w:val="00DD4536"/>
    <w:rsid w:val="00DE018B"/>
    <w:rsid w:val="00DE3321"/>
    <w:rsid w:val="00E05483"/>
    <w:rsid w:val="00E138F8"/>
    <w:rsid w:val="00E40B1A"/>
    <w:rsid w:val="00E54493"/>
    <w:rsid w:val="00E63583"/>
    <w:rsid w:val="00E6728C"/>
    <w:rsid w:val="00E83A4E"/>
    <w:rsid w:val="00E93168"/>
    <w:rsid w:val="00E957FA"/>
    <w:rsid w:val="00EA6261"/>
    <w:rsid w:val="00EA6EF5"/>
    <w:rsid w:val="00EB506F"/>
    <w:rsid w:val="00EC587C"/>
    <w:rsid w:val="00EC5FDC"/>
    <w:rsid w:val="00ED1E29"/>
    <w:rsid w:val="00ED5275"/>
    <w:rsid w:val="00ED67A6"/>
    <w:rsid w:val="00EE7673"/>
    <w:rsid w:val="00F03DEF"/>
    <w:rsid w:val="00F06019"/>
    <w:rsid w:val="00F06FBC"/>
    <w:rsid w:val="00F30DDE"/>
    <w:rsid w:val="00F44213"/>
    <w:rsid w:val="00F84C53"/>
    <w:rsid w:val="00F9258D"/>
    <w:rsid w:val="00F94C1E"/>
    <w:rsid w:val="00FA0A49"/>
    <w:rsid w:val="00FA6BD2"/>
    <w:rsid w:val="00FA7A17"/>
    <w:rsid w:val="00FB4330"/>
    <w:rsid w:val="00FB6109"/>
    <w:rsid w:val="00FF2C89"/>
    <w:rsid w:val="00FF5619"/>
    <w:rsid w:val="00FF5C18"/>
    <w:rsid w:val="0174602A"/>
    <w:rsid w:val="01AC06FC"/>
    <w:rsid w:val="024778A4"/>
    <w:rsid w:val="02D54E63"/>
    <w:rsid w:val="03A8894F"/>
    <w:rsid w:val="044667D2"/>
    <w:rsid w:val="051ADF3A"/>
    <w:rsid w:val="05F76FBC"/>
    <w:rsid w:val="06D22708"/>
    <w:rsid w:val="099C214E"/>
    <w:rsid w:val="0A8FA275"/>
    <w:rsid w:val="0AD86FEA"/>
    <w:rsid w:val="0B7F7AE2"/>
    <w:rsid w:val="0BC53642"/>
    <w:rsid w:val="0D598A9C"/>
    <w:rsid w:val="0D77E658"/>
    <w:rsid w:val="0E0E8909"/>
    <w:rsid w:val="0EB8572D"/>
    <w:rsid w:val="0F8077B5"/>
    <w:rsid w:val="11B1B8B9"/>
    <w:rsid w:val="12B1E7A2"/>
    <w:rsid w:val="13DF57C1"/>
    <w:rsid w:val="13F177E1"/>
    <w:rsid w:val="163900E8"/>
    <w:rsid w:val="16D34DFE"/>
    <w:rsid w:val="17A259C9"/>
    <w:rsid w:val="18629B26"/>
    <w:rsid w:val="18F6C26D"/>
    <w:rsid w:val="19180C98"/>
    <w:rsid w:val="1AD2D041"/>
    <w:rsid w:val="1B373DBC"/>
    <w:rsid w:val="1BFDF204"/>
    <w:rsid w:val="1D780D03"/>
    <w:rsid w:val="1E5D5177"/>
    <w:rsid w:val="1F5A8F2B"/>
    <w:rsid w:val="1FEC568B"/>
    <w:rsid w:val="20E931C0"/>
    <w:rsid w:val="23988C5F"/>
    <w:rsid w:val="251F9C38"/>
    <w:rsid w:val="252A68FA"/>
    <w:rsid w:val="259CFF24"/>
    <w:rsid w:val="25FE44E6"/>
    <w:rsid w:val="277A1A0F"/>
    <w:rsid w:val="27DE5A76"/>
    <w:rsid w:val="282AE923"/>
    <w:rsid w:val="28BA8D8C"/>
    <w:rsid w:val="29420242"/>
    <w:rsid w:val="2A852E76"/>
    <w:rsid w:val="2AE58E8A"/>
    <w:rsid w:val="2B27C325"/>
    <w:rsid w:val="2B37AD31"/>
    <w:rsid w:val="2BEEACFD"/>
    <w:rsid w:val="2C2A3D33"/>
    <w:rsid w:val="2E188FC5"/>
    <w:rsid w:val="2E8F5441"/>
    <w:rsid w:val="2EEF47C9"/>
    <w:rsid w:val="2F15031F"/>
    <w:rsid w:val="30371615"/>
    <w:rsid w:val="314ACC5C"/>
    <w:rsid w:val="316E8A85"/>
    <w:rsid w:val="31C0C492"/>
    <w:rsid w:val="327C6AE8"/>
    <w:rsid w:val="3280800F"/>
    <w:rsid w:val="3419CABF"/>
    <w:rsid w:val="348ED53F"/>
    <w:rsid w:val="359ABAB0"/>
    <w:rsid w:val="3680800E"/>
    <w:rsid w:val="3779EAB3"/>
    <w:rsid w:val="377EB077"/>
    <w:rsid w:val="383CDBD5"/>
    <w:rsid w:val="384BB807"/>
    <w:rsid w:val="38E16B23"/>
    <w:rsid w:val="392805AD"/>
    <w:rsid w:val="3930F66C"/>
    <w:rsid w:val="3A5D43BD"/>
    <w:rsid w:val="3A9D8421"/>
    <w:rsid w:val="3C29B912"/>
    <w:rsid w:val="3C2A9D93"/>
    <w:rsid w:val="3C943B56"/>
    <w:rsid w:val="3D831C8C"/>
    <w:rsid w:val="3DF92B45"/>
    <w:rsid w:val="3E4E56B3"/>
    <w:rsid w:val="3EADC18C"/>
    <w:rsid w:val="3F464AAE"/>
    <w:rsid w:val="3F61A6B9"/>
    <w:rsid w:val="3FD00D18"/>
    <w:rsid w:val="3FE17416"/>
    <w:rsid w:val="40B2098E"/>
    <w:rsid w:val="4100BB7C"/>
    <w:rsid w:val="423AFA9A"/>
    <w:rsid w:val="4319170E"/>
    <w:rsid w:val="43E6320D"/>
    <w:rsid w:val="44729F10"/>
    <w:rsid w:val="44817ADD"/>
    <w:rsid w:val="46FA8A1D"/>
    <w:rsid w:val="481205C1"/>
    <w:rsid w:val="48F6DA95"/>
    <w:rsid w:val="49416D64"/>
    <w:rsid w:val="496D593B"/>
    <w:rsid w:val="496EF76A"/>
    <w:rsid w:val="4ADEB122"/>
    <w:rsid w:val="4D647656"/>
    <w:rsid w:val="4E95B01E"/>
    <w:rsid w:val="4EDA044F"/>
    <w:rsid w:val="4F92B6E0"/>
    <w:rsid w:val="505B7D64"/>
    <w:rsid w:val="5188B6CE"/>
    <w:rsid w:val="51D38EFD"/>
    <w:rsid w:val="53B91A3A"/>
    <w:rsid w:val="54C05AD0"/>
    <w:rsid w:val="55E09711"/>
    <w:rsid w:val="55F6EAC3"/>
    <w:rsid w:val="560BA72D"/>
    <w:rsid w:val="57BA5381"/>
    <w:rsid w:val="5862A545"/>
    <w:rsid w:val="58D76D0D"/>
    <w:rsid w:val="59DFDB85"/>
    <w:rsid w:val="5A32E2F3"/>
    <w:rsid w:val="5C482193"/>
    <w:rsid w:val="5C8080A5"/>
    <w:rsid w:val="5C81444F"/>
    <w:rsid w:val="5D59EA3B"/>
    <w:rsid w:val="5DDA1BDD"/>
    <w:rsid w:val="5E71B3DC"/>
    <w:rsid w:val="6257957A"/>
    <w:rsid w:val="63572D8C"/>
    <w:rsid w:val="6418B8CA"/>
    <w:rsid w:val="6454CB7C"/>
    <w:rsid w:val="65040738"/>
    <w:rsid w:val="657F5D0F"/>
    <w:rsid w:val="6639D232"/>
    <w:rsid w:val="675FAEB4"/>
    <w:rsid w:val="68137F2D"/>
    <w:rsid w:val="6883EEC9"/>
    <w:rsid w:val="68987B2A"/>
    <w:rsid w:val="68F181AF"/>
    <w:rsid w:val="6A04D5B3"/>
    <w:rsid w:val="6BF4A5F8"/>
    <w:rsid w:val="6DF2C9D8"/>
    <w:rsid w:val="6E920988"/>
    <w:rsid w:val="6F3CF523"/>
    <w:rsid w:val="6F6F2C9E"/>
    <w:rsid w:val="6FBA3E23"/>
    <w:rsid w:val="6FBBDE59"/>
    <w:rsid w:val="700FB900"/>
    <w:rsid w:val="70E7E4FC"/>
    <w:rsid w:val="727F5DEC"/>
    <w:rsid w:val="73254C3E"/>
    <w:rsid w:val="753B9FF1"/>
    <w:rsid w:val="75EC6E08"/>
    <w:rsid w:val="76FAA634"/>
    <w:rsid w:val="78859749"/>
    <w:rsid w:val="7A4F88CF"/>
    <w:rsid w:val="7A57A6EF"/>
    <w:rsid w:val="7F80A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2E6A"/>
  <w15:chartTrackingRefBased/>
  <w15:docId w15:val="{695D2CB4-CB13-417D-B848-DA7A26A51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F24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6F24DD"/>
    <w:pPr>
      <w:spacing w:line="240" w:lineRule="auto"/>
    </w:pPr>
    <w:rPr>
      <w:sz w:val="20"/>
      <w:szCs w:val="20"/>
    </w:rPr>
  </w:style>
  <w:style w:type="character" w:customStyle="1" w:styleId="CommentTextChar">
    <w:name w:val="Comment Text Char"/>
    <w:basedOn w:val="DefaultParagraphFont"/>
    <w:link w:val="CommentText"/>
    <w:uiPriority w:val="99"/>
    <w:semiHidden/>
    <w:rsid w:val="006F24DD"/>
    <w:rPr>
      <w:sz w:val="20"/>
      <w:szCs w:val="20"/>
    </w:rPr>
  </w:style>
  <w:style w:type="character" w:styleId="CommentReference">
    <w:name w:val="annotation reference"/>
    <w:basedOn w:val="DefaultParagraphFont"/>
    <w:uiPriority w:val="99"/>
    <w:semiHidden/>
    <w:unhideWhenUsed/>
    <w:rsid w:val="006F24DD"/>
    <w:rPr>
      <w:sz w:val="16"/>
      <w:szCs w:val="16"/>
    </w:rPr>
  </w:style>
  <w:style w:type="character" w:styleId="Hyperlink">
    <w:name w:val="Hyperlink"/>
    <w:basedOn w:val="DefaultParagraphFont"/>
    <w:uiPriority w:val="99"/>
    <w:unhideWhenUsed/>
    <w:rsid w:val="006F24DD"/>
    <w:rPr>
      <w:color w:val="0563C1" w:themeColor="hyperlink"/>
      <w:u w:val="single"/>
    </w:rPr>
  </w:style>
  <w:style w:type="paragraph" w:styleId="BalloonText">
    <w:name w:val="Balloon Text"/>
    <w:basedOn w:val="Normal"/>
    <w:link w:val="BalloonTextChar"/>
    <w:uiPriority w:val="99"/>
    <w:semiHidden/>
    <w:unhideWhenUsed/>
    <w:rsid w:val="006F24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4D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51387"/>
    <w:rPr>
      <w:b/>
      <w:bCs/>
    </w:rPr>
  </w:style>
  <w:style w:type="character" w:customStyle="1" w:styleId="CommentSubjectChar">
    <w:name w:val="Comment Subject Char"/>
    <w:basedOn w:val="CommentTextChar"/>
    <w:link w:val="CommentSubject"/>
    <w:uiPriority w:val="99"/>
    <w:semiHidden/>
    <w:rsid w:val="00D51387"/>
    <w:rPr>
      <w:b/>
      <w:bCs/>
      <w:sz w:val="20"/>
      <w:szCs w:val="20"/>
    </w:rPr>
  </w:style>
  <w:style w:type="character" w:styleId="UnresolvedMention">
    <w:name w:val="Unresolved Mention"/>
    <w:basedOn w:val="DefaultParagraphFont"/>
    <w:uiPriority w:val="99"/>
    <w:unhideWhenUsed/>
    <w:rsid w:val="001138D3"/>
    <w:rPr>
      <w:color w:val="605E5C"/>
      <w:shd w:val="clear" w:color="auto" w:fill="E1DFDD"/>
    </w:rPr>
  </w:style>
  <w:style w:type="character" w:styleId="Mention">
    <w:name w:val="Mention"/>
    <w:basedOn w:val="DefaultParagraphFont"/>
    <w:uiPriority w:val="99"/>
    <w:unhideWhenUsed/>
    <w:rsid w:val="001138D3"/>
    <w:rPr>
      <w:color w:val="2B579A"/>
      <w:shd w:val="clear" w:color="auto" w:fill="E1DFDD"/>
    </w:rPr>
  </w:style>
  <w:style w:type="paragraph" w:styleId="Revision">
    <w:name w:val="Revision"/>
    <w:hidden/>
    <w:uiPriority w:val="99"/>
    <w:semiHidden/>
    <w:rsid w:val="00D837D5"/>
    <w:pPr>
      <w:spacing w:after="0" w:line="240" w:lineRule="auto"/>
    </w:pPr>
  </w:style>
  <w:style w:type="character" w:styleId="FollowedHyperlink">
    <w:name w:val="FollowedHyperlink"/>
    <w:basedOn w:val="DefaultParagraphFont"/>
    <w:uiPriority w:val="99"/>
    <w:semiHidden/>
    <w:unhideWhenUsed/>
    <w:rsid w:val="00971E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hyperlink" Target="https://www.brookings.edu/2019/07/26/a-guide-to-the-hutchins-center-fiscal-impact-measure/%20/" TargetMode="Externa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rookings.edu/research/the-hutchins-centers-fiscal-impact-measur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conomics.mit.edu/files/20094" TargetMode="External"/><Relationship Id="rId4" Type="http://schemas.openxmlformats.org/officeDocument/2006/relationships/styles" Target="styl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66951ee6-cd93-49c7-9437-e871b2a117d6">
      <UserInfo>
        <DisplayName>Louise Sheiner</DisplayName>
        <AccountId>34</AccountId>
        <AccountType/>
      </UserInfo>
      <UserInfo>
        <DisplayName>Kadija Yilla</DisplayName>
        <AccountId>1405</AccountId>
        <AccountType/>
      </UserInfo>
      <UserInfo>
        <DisplayName>David Wessel</DisplayName>
        <AccountId>59</AccountId>
        <AccountType/>
      </UserInfo>
      <UserInfo>
        <DisplayName>Manuel Alcala Kovalski</DisplayName>
        <AccountId>1406</AccountId>
        <AccountType/>
      </UserInfo>
      <UserInfo>
        <DisplayName>Stephanie Cencula</DisplayName>
        <AccountId>24</AccountId>
        <AccountType/>
      </UserInfo>
      <UserInfo>
        <DisplayName>Tyler Powell</DisplayName>
        <AccountId>1778</AccountId>
        <AccountType/>
      </UserInfo>
    </SharedWithUsers>
  </documentManagement>
</p:properties>
</file>

<file path=customXml/itemProps1.xml><?xml version="1.0" encoding="utf-8"?>
<ds:datastoreItem xmlns:ds="http://schemas.openxmlformats.org/officeDocument/2006/customXml" ds:itemID="{03F0F6E5-5E4D-4141-ACA5-300996C398BB}">
  <ds:schemaRefs>
    <ds:schemaRef ds:uri="http://schemas.microsoft.com/sharepoint/v3/contenttype/forms"/>
  </ds:schemaRefs>
</ds:datastoreItem>
</file>

<file path=customXml/itemProps2.xml><?xml version="1.0" encoding="utf-8"?>
<ds:datastoreItem xmlns:ds="http://schemas.openxmlformats.org/officeDocument/2006/customXml" ds:itemID="{9D7E8B9E-6D8D-44BC-B304-0DCA672150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168F56-2B9D-493E-A677-688CC2205166}">
  <ds:schemaRefs>
    <ds:schemaRef ds:uri="http://schemas.microsoft.com/office/2006/metadata/properties"/>
    <ds:schemaRef ds:uri="http://schemas.microsoft.com/office/2006/documentManagement/types"/>
    <ds:schemaRef ds:uri="http://schemas.microsoft.com/office/infopath/2007/PartnerControls"/>
    <ds:schemaRef ds:uri="http://purl.org/dc/elements/1.1/"/>
    <ds:schemaRef ds:uri="http://purl.org/dc/terms/"/>
    <ds:schemaRef ds:uri="http://schemas.openxmlformats.org/package/2006/metadata/core-properties"/>
    <ds:schemaRef ds:uri="http://purl.org/dc/dcmitype/"/>
    <ds:schemaRef ds:uri="66951ee6-cd93-49c7-9437-e871b2a117d6"/>
    <ds:schemaRef ds:uri="cac5d118-ba7b-4807-b700-df6f95cfff5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4946</CharactersWithSpaces>
  <SharedDoc>false</SharedDoc>
  <HLinks>
    <vt:vector size="18" baseType="variant">
      <vt:variant>
        <vt:i4>1310731</vt:i4>
      </vt:variant>
      <vt:variant>
        <vt:i4>6</vt:i4>
      </vt:variant>
      <vt:variant>
        <vt:i4>0</vt:i4>
      </vt:variant>
      <vt:variant>
        <vt:i4>5</vt:i4>
      </vt:variant>
      <vt:variant>
        <vt:lpwstr>https://www.brookings.edu/2019/07/26/a-guide-to-the-hutchins-center-fiscal-impact-measure/ /</vt:lpwstr>
      </vt:variant>
      <vt:variant>
        <vt:lpwstr/>
      </vt:variant>
      <vt:variant>
        <vt:i4>3539048</vt:i4>
      </vt:variant>
      <vt:variant>
        <vt:i4>3</vt:i4>
      </vt:variant>
      <vt:variant>
        <vt:i4>0</vt:i4>
      </vt:variant>
      <vt:variant>
        <vt:i4>5</vt:i4>
      </vt:variant>
      <vt:variant>
        <vt:lpwstr>https://www.brookings.edu/research/the-hutchins-centers-fiscal-impact-measure/</vt:lpwstr>
      </vt:variant>
      <vt:variant>
        <vt:lpwstr/>
      </vt:variant>
      <vt:variant>
        <vt:i4>1704013</vt:i4>
      </vt:variant>
      <vt:variant>
        <vt:i4>0</vt:i4>
      </vt:variant>
      <vt:variant>
        <vt:i4>0</vt:i4>
      </vt:variant>
      <vt:variant>
        <vt:i4>5</vt:i4>
      </vt:variant>
      <vt:variant>
        <vt:lpwstr>https://economics.mit.edu/files/20094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Alcala Kovalski</dc:creator>
  <cp:keywords/>
  <dc:description/>
  <cp:lastModifiedBy>Kadija Yilla</cp:lastModifiedBy>
  <cp:revision>2</cp:revision>
  <dcterms:created xsi:type="dcterms:W3CDTF">2020-11-25T16:40:00Z</dcterms:created>
  <dcterms:modified xsi:type="dcterms:W3CDTF">2020-11-25T16:40:00Z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