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1D" w:rsidRDefault="0033121D" w:rsidP="0033121D">
      <w:pPr>
        <w:rPr>
          <w:rFonts w:asciiTheme="minorHAnsi" w:hAnsiTheme="minorHAnsi" w:cstheme="minorBidi"/>
          <w:color w:val="1F497D" w:themeColor="dark2"/>
        </w:rPr>
      </w:pP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considers the “indirect effect” of federal compensation on consumption as an added effect beyond just the 1:1 contribution of “G” to </w:t>
      </w:r>
      <w:proofErr w:type="gramStart"/>
      <w:r>
        <w:rPr>
          <w:rFonts w:asciiTheme="minorHAnsi" w:hAnsiTheme="minorHAnsi" w:cstheme="minorBidi"/>
          <w:color w:val="1F497D" w:themeColor="dark2"/>
        </w:rPr>
        <w:t>GDP .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Intuitively, it would have a secondary effect on GDP since federal compensation is also a part of labor income and thus consumption. We don’t do such an adjustment, and I don’t think the Fed does either.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deals with the contribution of taxes and transfers to personal consumption differently than we do. We basically take total PCE, add outlays * MPCs, and subtract taxes * MPCs, and then calculate the growth rate from there. I think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takes the change in transfers, outlays, etc.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FI separates out unemployment benefits from other transfer payments. It’s not entirely clear to me why they do this.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annualized their numbers differently. We’re taking our fraction to the fourth power; they are multiplying by four.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doesn’t consider corporate taxes/capital gains at all. The Fed uses both in their measure. Currently, we’re using corporate taxes without making any adjustments for capital gains.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For personal taxes,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splits up labor income from asset income. We don’t.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Taking Contribution to GDP = [share] * [growth rate], when we calculate the “share” we only consider the share in the previous quarter.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and the Fed average together the share in the current quarter and the share in the previous quarter. Making this change </w:t>
      </w:r>
      <w:r>
        <w:rPr>
          <w:rFonts w:asciiTheme="minorHAnsi" w:hAnsiTheme="minorHAnsi" w:cstheme="minorBidi"/>
          <w:i/>
          <w:color w:val="1F497D" w:themeColor="dark2"/>
        </w:rPr>
        <w:t>barely</w:t>
      </w:r>
      <w:r>
        <w:rPr>
          <w:rFonts w:asciiTheme="minorHAnsi" w:hAnsiTheme="minorHAnsi" w:cstheme="minorBidi"/>
          <w:color w:val="1F497D" w:themeColor="dark2"/>
        </w:rPr>
        <w:t xml:space="preserve"> changes our data (it’s really insignificant), so I’d propose just being consistent with Macro/the Fed. </w:t>
      </w:r>
    </w:p>
    <w:p w:rsidR="00F27518" w:rsidRDefault="00F27518">
      <w:bookmarkStart w:id="0" w:name="_GoBack"/>
      <w:bookmarkEnd w:id="0"/>
    </w:p>
    <w:sectPr w:rsidR="00F2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F9C"/>
    <w:multiLevelType w:val="hybridMultilevel"/>
    <w:tmpl w:val="B16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1D"/>
    <w:rsid w:val="000905B0"/>
    <w:rsid w:val="0033121D"/>
    <w:rsid w:val="00D90534"/>
    <w:rsid w:val="00F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1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1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F520D-3FB0-4B33-A60E-AFBC141CC767}"/>
</file>

<file path=customXml/itemProps2.xml><?xml version="1.0" encoding="utf-8"?>
<ds:datastoreItem xmlns:ds="http://schemas.openxmlformats.org/officeDocument/2006/customXml" ds:itemID="{84BBEBB7-07F6-40EB-B900-E92D99E649FC}"/>
</file>

<file path=customXml/itemProps3.xml><?xml version="1.0" encoding="utf-8"?>
<ds:datastoreItem xmlns:ds="http://schemas.openxmlformats.org/officeDocument/2006/customXml" ds:itemID="{951F5F17-1741-4F49-8B00-BEE9BDBFE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>The Brookings Institution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1</cp:revision>
  <dcterms:created xsi:type="dcterms:W3CDTF">2014-09-15T18:29:00Z</dcterms:created>
  <dcterms:modified xsi:type="dcterms:W3CDTF">2014-09-15T18:29:00Z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