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rawings/drawing1.xml" ContentType="application/vnd.openxmlformats-officedocument.drawingml.chartshapes+xml"/>
  <Override PartName="/word/document.xml" ContentType="application/vnd.openxmlformats-officedocument.wordprocessingml.document.main+xml"/>
  <Override PartName="/word/charts/colors1.xml" ContentType="application/vnd.ms-office.chartcolorstyle+xml"/>
  <Override PartName="/word/theme/theme1.xml" ContentType="application/vnd.openxmlformats-officedocument.theme+xml"/>
  <Override PartName="/word/charts/chart1.xml" ContentType="application/vnd.openxmlformats-officedocument.drawingml.chart+xml"/>
  <Override PartName="/word/charts/style1.xml" ContentType="application/vnd.ms-office.chartstyl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730" w:rsidRDefault="00665730" w:rsidP="00665730">
      <w:r>
        <w:t>We recently updated the Hutchins Center Fiscal Impact Measure (FIM) with the latest government data. The FIM is a tool created by experts with the Hutchins Center to illustrate how much fiscal policy adds to or subtracts</w:t>
      </w:r>
      <w:r>
        <w:t xml:space="preserve"> from overall economic growth. </w:t>
      </w:r>
    </w:p>
    <w:p w:rsidR="00665730" w:rsidRDefault="00665730" w:rsidP="00665730">
      <w:pPr>
        <w:jc w:val="center"/>
      </w:pPr>
      <w:hyperlink r:id="rId4" w:history="1">
        <w:r w:rsidRPr="00665730">
          <w:rPr>
            <w:rStyle w:val="Hyperlink"/>
          </w:rPr>
          <w:t>View the updated FIM</w:t>
        </w:r>
      </w:hyperlink>
    </w:p>
    <w:p w:rsidR="00665730" w:rsidRDefault="009F5944" w:rsidP="009F5944">
      <w:r>
        <w:t xml:space="preserve">According to the latest reading, federal, state and local fiscal policies added to the pace of economic growth in the second quarter. Fiscal policy at all levels of government contributed 0.6 percentage points to GDP growth in the second quarter, its highest contribution in over two years. </w:t>
      </w:r>
    </w:p>
    <w:p w:rsidR="00665730" w:rsidRDefault="00665730" w:rsidP="009F5944">
      <w:pPr>
        <w:rPr>
          <w:i/>
        </w:rPr>
      </w:pPr>
      <w:r>
        <w:rPr>
          <w:noProof/>
        </w:rPr>
        <w:drawing>
          <wp:inline distT="0" distB="0" distL="0" distR="0" wp14:anchorId="4C392603" wp14:editId="0F15B495">
            <wp:extent cx="5248217" cy="3836275"/>
            <wp:effectExtent l="0" t="0" r="1016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65730" w:rsidRPr="00665730" w:rsidRDefault="00665730" w:rsidP="009F5944">
      <w:r>
        <w:t>The FIM now sits above what we estimate to be neutral—that is, the level at which fiscal policy’s contribution to GDP is in line with potential real GDP growth. While we expect the FIM to be positive, on average, the most recent reading suggests federal policies are providing additional stimulus to the economy beyond what is consistent with trend growth.</w:t>
      </w:r>
    </w:p>
    <w:p w:rsidR="00665730" w:rsidRDefault="00665730" w:rsidP="00665730">
      <w:r>
        <w:t xml:space="preserve">Want to know more about the FIM? Read an </w:t>
      </w:r>
      <w:hyperlink r:id="rId6" w:history="1">
        <w:r w:rsidRPr="00665730">
          <w:rPr>
            <w:rStyle w:val="Hyperlink"/>
          </w:rPr>
          <w:t>explainer from Louise Sheiner on the methodology</w:t>
        </w:r>
      </w:hyperlink>
      <w:r>
        <w:t xml:space="preserve">. </w:t>
      </w:r>
    </w:p>
    <w:p w:rsidR="00665730" w:rsidRDefault="00665730" w:rsidP="00665730">
      <w:bookmarkStart w:id="0" w:name="_GoBack"/>
      <w:bookmarkEnd w:id="0"/>
    </w:p>
    <w:p w:rsidR="00665730" w:rsidRDefault="00665730" w:rsidP="00665730">
      <w:r>
        <w:t>Sincerely,</w:t>
      </w:r>
    </w:p>
    <w:p w:rsidR="00665730" w:rsidRDefault="00665730" w:rsidP="00665730">
      <w:r>
        <w:t>David Wessel</w:t>
      </w:r>
    </w:p>
    <w:p w:rsidR="00665730" w:rsidRPr="009F5944" w:rsidRDefault="00665730" w:rsidP="00665730">
      <w:pPr>
        <w:rPr>
          <w:i/>
        </w:rPr>
      </w:pPr>
      <w:r>
        <w:t>Director, Hutchins Center on Fiscal and Monetary Policy at Brookings</w:t>
      </w:r>
    </w:p>
    <w:sectPr w:rsidR="00665730" w:rsidRPr="009F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44"/>
    <w:rsid w:val="00256B28"/>
    <w:rsid w:val="006554B5"/>
    <w:rsid w:val="00665730"/>
    <w:rsid w:val="009C19D5"/>
    <w:rsid w:val="009F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8737"/>
  <w15:chartTrackingRefBased/>
  <w15:docId w15:val="{2CAD1E2F-798B-4F97-A927-6FAA7DFC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228776">
      <w:bodyDiv w:val="1"/>
      <w:marLeft w:val="0"/>
      <w:marRight w:val="0"/>
      <w:marTop w:val="0"/>
      <w:marBottom w:val="0"/>
      <w:divBdr>
        <w:top w:val="none" w:sz="0" w:space="0" w:color="auto"/>
        <w:left w:val="none" w:sz="0" w:space="0" w:color="auto"/>
        <w:bottom w:val="none" w:sz="0" w:space="0" w:color="auto"/>
        <w:right w:val="none" w:sz="0" w:space="0" w:color="auto"/>
      </w:divBdr>
    </w:div>
    <w:div w:id="211517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ookings.edu/research/the-hutchins-centers-fiscal-impact-measure/?utm_campaign=Hutchins%20Center&amp;utm_source=hs_email&amp;utm_medium=email&amp;utm_content=54810632" TargetMode="External"/><Relationship Id="rId11" Type="http://schemas.openxmlformats.org/officeDocument/2006/relationships/customXml" Target="../customXml/item3.xml"/><Relationship Id="rId5" Type="http://schemas.openxmlformats.org/officeDocument/2006/relationships/chart" Target="charts/chart1.xml"/><Relationship Id="rId10" Type="http://schemas.openxmlformats.org/officeDocument/2006/relationships/customXml" Target="../customXml/item2.xml"/><Relationship Id="rId4" Type="http://schemas.openxmlformats.org/officeDocument/2006/relationships/hyperlink" Target="https://www.brookings.edu/interactives/hutchins-center-fiscal-impact-measure/?preview_id=364199&amp;preview_nonce=fd0e1ab9b9&amp;_thumbnail_id=364263&amp;preview=true&amp;language_slug=en" TargetMode="External"/><Relationship Id="rId9"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3" Type="http://schemas.openxmlformats.org/officeDocument/2006/relationships/oleObject" Target="file:///\\fpnas01\Files_ES\Common\Hutchins\Projects\Fiscal%20Impact\7-27-2018\Fiscal_impact_072718.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8518876433711881E-2"/>
          <c:y val="0.13586879567636417"/>
          <c:w val="0.92699425869185947"/>
          <c:h val="0.66504345724726943"/>
        </c:manualLayout>
      </c:layout>
      <c:barChart>
        <c:barDir val="col"/>
        <c:grouping val="stacked"/>
        <c:varyColors val="0"/>
        <c:ser>
          <c:idx val="1"/>
          <c:order val="1"/>
          <c:tx>
            <c:v>Quarterly fiscal impact</c:v>
          </c:tx>
          <c:spPr>
            <a:solidFill>
              <a:srgbClr val="E7619F"/>
            </a:solidFill>
            <a:ln>
              <a:noFill/>
            </a:ln>
            <a:effectLst/>
          </c:spPr>
          <c:invertIfNegative val="0"/>
          <c:cat>
            <c:numRef>
              <c:f>Fiscal_impact_072718!$A$2:$A$75</c:f>
              <c:numCache>
                <c:formatCode>mm/dd/yy</c:formatCode>
                <c:ptCount val="74"/>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40908</c:v>
                </c:pt>
                <c:pt idx="48">
                  <c:v>40999</c:v>
                </c:pt>
                <c:pt idx="49">
                  <c:v>41090</c:v>
                </c:pt>
                <c:pt idx="50">
                  <c:v>41182</c:v>
                </c:pt>
                <c:pt idx="51">
                  <c:v>41274</c:v>
                </c:pt>
                <c:pt idx="52">
                  <c:v>41364</c:v>
                </c:pt>
                <c:pt idx="53">
                  <c:v>41455</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42735</c:v>
                </c:pt>
                <c:pt idx="68">
                  <c:v>42825</c:v>
                </c:pt>
                <c:pt idx="69">
                  <c:v>42916</c:v>
                </c:pt>
                <c:pt idx="70">
                  <c:v>43008</c:v>
                </c:pt>
                <c:pt idx="71">
                  <c:v>43100</c:v>
                </c:pt>
                <c:pt idx="72">
                  <c:v>43190</c:v>
                </c:pt>
                <c:pt idx="73">
                  <c:v>43281</c:v>
                </c:pt>
              </c:numCache>
            </c:numRef>
          </c:cat>
          <c:val>
            <c:numRef>
              <c:f>Fiscal_impact_072718!$D$2:$D$75</c:f>
              <c:numCache>
                <c:formatCode>0.00</c:formatCode>
                <c:ptCount val="74"/>
                <c:pt idx="0">
                  <c:v>-0.85206622826566059</c:v>
                </c:pt>
                <c:pt idx="1">
                  <c:v>0.474280846961323</c:v>
                </c:pt>
                <c:pt idx="2">
                  <c:v>-0.33805481769554635</c:v>
                </c:pt>
                <c:pt idx="3">
                  <c:v>0.43131290443068876</c:v>
                </c:pt>
                <c:pt idx="4">
                  <c:v>1.1886060016488147</c:v>
                </c:pt>
                <c:pt idx="5">
                  <c:v>1.4217042958150481</c:v>
                </c:pt>
                <c:pt idx="6">
                  <c:v>1.040366032036008</c:v>
                </c:pt>
                <c:pt idx="7">
                  <c:v>2.3835711604627865</c:v>
                </c:pt>
                <c:pt idx="8">
                  <c:v>2.4005195335473637</c:v>
                </c:pt>
                <c:pt idx="9">
                  <c:v>2.2052218910512833</c:v>
                </c:pt>
                <c:pt idx="10">
                  <c:v>1.7893888210610873</c:v>
                </c:pt>
                <c:pt idx="11">
                  <c:v>1.6907628487818336</c:v>
                </c:pt>
                <c:pt idx="12">
                  <c:v>1.2547537381136946</c:v>
                </c:pt>
                <c:pt idx="13">
                  <c:v>1.8119044129793676</c:v>
                </c:pt>
                <c:pt idx="14">
                  <c:v>1.1460221150314966</c:v>
                </c:pt>
                <c:pt idx="15">
                  <c:v>1.1156514832126008</c:v>
                </c:pt>
                <c:pt idx="16">
                  <c:v>0.66237930993404104</c:v>
                </c:pt>
                <c:pt idx="17">
                  <c:v>0.4679864894271486</c:v>
                </c:pt>
                <c:pt idx="18">
                  <c:v>0.14510834105199819</c:v>
                </c:pt>
                <c:pt idx="19">
                  <c:v>-1.6407609448500893E-2</c:v>
                </c:pt>
                <c:pt idx="20">
                  <c:v>-7.3019114313607303E-2</c:v>
                </c:pt>
                <c:pt idx="21">
                  <c:v>-0.48467153147329683</c:v>
                </c:pt>
                <c:pt idx="22">
                  <c:v>-0.15458288413235255</c:v>
                </c:pt>
                <c:pt idx="23">
                  <c:v>-0.44765625201349063</c:v>
                </c:pt>
                <c:pt idx="24">
                  <c:v>0.42498406315370973</c:v>
                </c:pt>
                <c:pt idx="25">
                  <c:v>-0.63272809480807746</c:v>
                </c:pt>
                <c:pt idx="26">
                  <c:v>-0.41611078222078413</c:v>
                </c:pt>
                <c:pt idx="27">
                  <c:v>0.23734242607950468</c:v>
                </c:pt>
                <c:pt idx="28">
                  <c:v>-0.16730419208184311</c:v>
                </c:pt>
                <c:pt idx="29">
                  <c:v>0.35302064258946431</c:v>
                </c:pt>
                <c:pt idx="30">
                  <c:v>0.25197064772855937</c:v>
                </c:pt>
                <c:pt idx="31">
                  <c:v>0.68232796952311781</c:v>
                </c:pt>
                <c:pt idx="32">
                  <c:v>0.19469958770001677</c:v>
                </c:pt>
                <c:pt idx="33">
                  <c:v>2.8108150576694353</c:v>
                </c:pt>
                <c:pt idx="34">
                  <c:v>1.5386222027190481</c:v>
                </c:pt>
                <c:pt idx="35">
                  <c:v>1.3423547669319302</c:v>
                </c:pt>
                <c:pt idx="36">
                  <c:v>3.3968845727346459</c:v>
                </c:pt>
                <c:pt idx="37">
                  <c:v>2.744368133127332</c:v>
                </c:pt>
                <c:pt idx="38">
                  <c:v>2.7372157520776232</c:v>
                </c:pt>
                <c:pt idx="39">
                  <c:v>2.4783602694197442</c:v>
                </c:pt>
                <c:pt idx="40">
                  <c:v>1.8856461579381558</c:v>
                </c:pt>
                <c:pt idx="41">
                  <c:v>1.6525917708260716</c:v>
                </c:pt>
                <c:pt idx="42">
                  <c:v>0.73467233908461138</c:v>
                </c:pt>
                <c:pt idx="43">
                  <c:v>0.54312434319118608</c:v>
                </c:pt>
                <c:pt idx="44">
                  <c:v>-1.2496099915417194</c:v>
                </c:pt>
                <c:pt idx="45">
                  <c:v>-0.9911355072739636</c:v>
                </c:pt>
                <c:pt idx="46">
                  <c:v>-1.7489576754598981</c:v>
                </c:pt>
                <c:pt idx="47">
                  <c:v>-0.65358829593625034</c:v>
                </c:pt>
                <c:pt idx="48">
                  <c:v>-1.0663680963301272</c:v>
                </c:pt>
                <c:pt idx="49">
                  <c:v>-0.97666550228075377</c:v>
                </c:pt>
                <c:pt idx="50">
                  <c:v>-0.5635251871611231</c:v>
                </c:pt>
                <c:pt idx="51">
                  <c:v>-1.3090734554903665</c:v>
                </c:pt>
                <c:pt idx="52">
                  <c:v>-1.55798742508211</c:v>
                </c:pt>
                <c:pt idx="53">
                  <c:v>-1.0070087242174983</c:v>
                </c:pt>
                <c:pt idx="54">
                  <c:v>-0.83016793139424272</c:v>
                </c:pt>
                <c:pt idx="55">
                  <c:v>-1.0949397843351383</c:v>
                </c:pt>
                <c:pt idx="56">
                  <c:v>-0.94239084774406412</c:v>
                </c:pt>
                <c:pt idx="57">
                  <c:v>-0.43797925718670305</c:v>
                </c:pt>
                <c:pt idx="58">
                  <c:v>0.19502321910982534</c:v>
                </c:pt>
                <c:pt idx="59">
                  <c:v>-0.27447877007936172</c:v>
                </c:pt>
                <c:pt idx="60">
                  <c:v>0.38923532663229121</c:v>
                </c:pt>
                <c:pt idx="61">
                  <c:v>0.66945242431115326</c:v>
                </c:pt>
                <c:pt idx="62">
                  <c:v>0.26337225723962843</c:v>
                </c:pt>
                <c:pt idx="63">
                  <c:v>0.10159428769054057</c:v>
                </c:pt>
                <c:pt idx="64">
                  <c:v>0.67096018386687839</c:v>
                </c:pt>
                <c:pt idx="65">
                  <c:v>-0.11191520229763222</c:v>
                </c:pt>
                <c:pt idx="66" formatCode="0.000">
                  <c:v>9.1471653754678958E-2</c:v>
                </c:pt>
                <c:pt idx="67" formatCode="0.000">
                  <c:v>1.434766491236323E-2</c:v>
                </c:pt>
                <c:pt idx="68" formatCode="0.000">
                  <c:v>-5.4269848143431429E-2</c:v>
                </c:pt>
                <c:pt idx="69" formatCode="0.000">
                  <c:v>8.1499882096952192E-2</c:v>
                </c:pt>
                <c:pt idx="70" formatCode="0.000">
                  <c:v>-0.12964868618693673</c:v>
                </c:pt>
                <c:pt idx="71" formatCode="0.000">
                  <c:v>0.45052136924303027</c:v>
                </c:pt>
                <c:pt idx="72" formatCode="0.000">
                  <c:v>0.41353846623410451</c:v>
                </c:pt>
                <c:pt idx="73" formatCode="0.000">
                  <c:v>0.64206771717741662</c:v>
                </c:pt>
              </c:numCache>
            </c:numRef>
          </c:val>
          <c:extLst>
            <c:ext xmlns:c16="http://schemas.microsoft.com/office/drawing/2014/chart" uri="{C3380CC4-5D6E-409C-BE32-E72D297353CC}">
              <c16:uniqueId val="{00000000-CFD3-4682-AD51-848F3C7FF81A}"/>
            </c:ext>
          </c:extLst>
        </c:ser>
        <c:dLbls>
          <c:showLegendKey val="0"/>
          <c:showVal val="0"/>
          <c:showCatName val="0"/>
          <c:showSerName val="0"/>
          <c:showPercent val="0"/>
          <c:showBubbleSize val="0"/>
        </c:dLbls>
        <c:gapWidth val="60"/>
        <c:overlap val="100"/>
        <c:axId val="582267440"/>
        <c:axId val="582274984"/>
      </c:barChart>
      <c:barChart>
        <c:barDir val="col"/>
        <c:grouping val="stacked"/>
        <c:varyColors val="0"/>
        <c:ser>
          <c:idx val="2"/>
          <c:order val="2"/>
          <c:tx>
            <c:v>Recession</c:v>
          </c:tx>
          <c:spPr>
            <a:solidFill>
              <a:schemeClr val="tx1">
                <a:lumMod val="95000"/>
                <a:lumOff val="5000"/>
                <a:alpha val="6000"/>
              </a:schemeClr>
            </a:solidFill>
            <a:ln>
              <a:noFill/>
            </a:ln>
            <a:effectLst/>
          </c:spPr>
          <c:invertIfNegative val="0"/>
          <c:cat>
            <c:numRef>
              <c:f>Fiscal_impact_072718!$A$2:$A$73</c:f>
              <c:numCache>
                <c:formatCode>mm/dd/yy</c:formatCode>
                <c:ptCount val="72"/>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40908</c:v>
                </c:pt>
                <c:pt idx="48">
                  <c:v>40999</c:v>
                </c:pt>
                <c:pt idx="49">
                  <c:v>41090</c:v>
                </c:pt>
                <c:pt idx="50">
                  <c:v>41182</c:v>
                </c:pt>
                <c:pt idx="51">
                  <c:v>41274</c:v>
                </c:pt>
                <c:pt idx="52">
                  <c:v>41364</c:v>
                </c:pt>
                <c:pt idx="53">
                  <c:v>41455</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42735</c:v>
                </c:pt>
                <c:pt idx="68">
                  <c:v>42825</c:v>
                </c:pt>
                <c:pt idx="69">
                  <c:v>42916</c:v>
                </c:pt>
                <c:pt idx="70">
                  <c:v>43008</c:v>
                </c:pt>
                <c:pt idx="71">
                  <c:v>43100</c:v>
                </c:pt>
              </c:numCache>
            </c:numRef>
          </c:cat>
          <c:val>
            <c:numRef>
              <c:f>Fiscal_impact_072718!$C$2:$C$73</c:f>
              <c:numCache>
                <c:formatCode>General</c:formatCode>
                <c:ptCount val="72"/>
                <c:pt idx="0">
                  <c:v>0</c:v>
                </c:pt>
                <c:pt idx="1">
                  <c:v>0</c:v>
                </c:pt>
                <c:pt idx="2">
                  <c:v>0</c:v>
                </c:pt>
                <c:pt idx="3">
                  <c:v>0</c:v>
                </c:pt>
                <c:pt idx="4">
                  <c:v>0</c:v>
                </c:pt>
                <c:pt idx="5">
                  <c:v>1</c:v>
                </c:pt>
                <c:pt idx="6">
                  <c:v>1</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1</c:v>
                </c:pt>
                <c:pt idx="34">
                  <c:v>1</c:v>
                </c:pt>
                <c:pt idx="35">
                  <c:v>1</c:v>
                </c:pt>
                <c:pt idx="36">
                  <c:v>1</c:v>
                </c:pt>
                <c:pt idx="37">
                  <c:v>1</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numCache>
            </c:numRef>
          </c:val>
          <c:extLst>
            <c:ext xmlns:c16="http://schemas.microsoft.com/office/drawing/2014/chart" uri="{C3380CC4-5D6E-409C-BE32-E72D297353CC}">
              <c16:uniqueId val="{00000001-CFD3-4682-AD51-848F3C7FF81A}"/>
            </c:ext>
          </c:extLst>
        </c:ser>
        <c:dLbls>
          <c:showLegendKey val="0"/>
          <c:showVal val="0"/>
          <c:showCatName val="0"/>
          <c:showSerName val="0"/>
          <c:showPercent val="0"/>
          <c:showBubbleSize val="0"/>
        </c:dLbls>
        <c:gapWidth val="0"/>
        <c:overlap val="100"/>
        <c:axId val="220990672"/>
        <c:axId val="220989360"/>
      </c:barChart>
      <c:lineChart>
        <c:grouping val="standard"/>
        <c:varyColors val="0"/>
        <c:ser>
          <c:idx val="0"/>
          <c:order val="0"/>
          <c:tx>
            <c:v>Four-quarter moving average</c:v>
          </c:tx>
          <c:spPr>
            <a:ln w="15875" cap="rnd">
              <a:solidFill>
                <a:schemeClr val="tx1"/>
              </a:solidFill>
              <a:round/>
            </a:ln>
            <a:effectLst/>
          </c:spPr>
          <c:marker>
            <c:symbol val="circle"/>
            <c:size val="3"/>
            <c:spPr>
              <a:solidFill>
                <a:schemeClr val="tx1"/>
              </a:solidFill>
              <a:ln w="9525">
                <a:solidFill>
                  <a:schemeClr val="tx1"/>
                </a:solidFill>
              </a:ln>
              <a:effectLst/>
            </c:spPr>
          </c:marker>
          <c:cat>
            <c:numRef>
              <c:f>Fiscal_impact_072718!$A$2:$A$75</c:f>
              <c:numCache>
                <c:formatCode>mm/dd/yy</c:formatCode>
                <c:ptCount val="74"/>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40908</c:v>
                </c:pt>
                <c:pt idx="48">
                  <c:v>40999</c:v>
                </c:pt>
                <c:pt idx="49">
                  <c:v>41090</c:v>
                </c:pt>
                <c:pt idx="50">
                  <c:v>41182</c:v>
                </c:pt>
                <c:pt idx="51">
                  <c:v>41274</c:v>
                </c:pt>
                <c:pt idx="52">
                  <c:v>41364</c:v>
                </c:pt>
                <c:pt idx="53">
                  <c:v>41455</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42735</c:v>
                </c:pt>
                <c:pt idx="68">
                  <c:v>42825</c:v>
                </c:pt>
                <c:pt idx="69">
                  <c:v>42916</c:v>
                </c:pt>
                <c:pt idx="70">
                  <c:v>43008</c:v>
                </c:pt>
                <c:pt idx="71">
                  <c:v>43100</c:v>
                </c:pt>
                <c:pt idx="72">
                  <c:v>43190</c:v>
                </c:pt>
                <c:pt idx="73">
                  <c:v>43281</c:v>
                </c:pt>
              </c:numCache>
            </c:numRef>
          </c:cat>
          <c:val>
            <c:numRef>
              <c:f>Fiscal_impact_072718!$B$2:$B$75</c:f>
              <c:numCache>
                <c:formatCode>0.00</c:formatCode>
                <c:ptCount val="74"/>
                <c:pt idx="0">
                  <c:v>0.23592420424043442</c:v>
                </c:pt>
                <c:pt idx="1">
                  <c:v>0.32242415391036527</c:v>
                </c:pt>
                <c:pt idx="2">
                  <c:v>6.3376964250652756E-2</c:v>
                </c:pt>
                <c:pt idx="3">
                  <c:v>-7.1131823642298794E-2</c:v>
                </c:pt>
                <c:pt idx="4">
                  <c:v>0.43903623383632001</c:v>
                </c:pt>
                <c:pt idx="5">
                  <c:v>0.67589209604975131</c:v>
                </c:pt>
                <c:pt idx="6">
                  <c:v>1.0204973084826399</c:v>
                </c:pt>
                <c:pt idx="7">
                  <c:v>1.5085618724906644</c:v>
                </c:pt>
                <c:pt idx="8">
                  <c:v>1.8115402554653017</c:v>
                </c:pt>
                <c:pt idx="9">
                  <c:v>2.0074196542743605</c:v>
                </c:pt>
                <c:pt idx="10">
                  <c:v>2.1946753515306301</c:v>
                </c:pt>
                <c:pt idx="11">
                  <c:v>2.021473273610392</c:v>
                </c:pt>
                <c:pt idx="12">
                  <c:v>1.7350318247519747</c:v>
                </c:pt>
                <c:pt idx="13">
                  <c:v>1.6367024552339957</c:v>
                </c:pt>
                <c:pt idx="14">
                  <c:v>1.475860778726598</c:v>
                </c:pt>
                <c:pt idx="15">
                  <c:v>1.33208293733429</c:v>
                </c:pt>
                <c:pt idx="16">
                  <c:v>1.1839893302893763</c:v>
                </c:pt>
                <c:pt idx="17">
                  <c:v>0.84800984940132174</c:v>
                </c:pt>
                <c:pt idx="18">
                  <c:v>0.59778140590644713</c:v>
                </c:pt>
                <c:pt idx="19">
                  <c:v>0.31476663274117173</c:v>
                </c:pt>
                <c:pt idx="20">
                  <c:v>0.13091702667925967</c:v>
                </c:pt>
                <c:pt idx="21">
                  <c:v>-0.1072474785458517</c:v>
                </c:pt>
                <c:pt idx="22">
                  <c:v>-0.18217028484193939</c:v>
                </c:pt>
                <c:pt idx="23">
                  <c:v>-0.28998244548318686</c:v>
                </c:pt>
                <c:pt idx="24">
                  <c:v>-0.16548165111635757</c:v>
                </c:pt>
                <c:pt idx="25">
                  <c:v>-0.20249579195005274</c:v>
                </c:pt>
                <c:pt idx="26">
                  <c:v>-0.26787776647216061</c:v>
                </c:pt>
                <c:pt idx="27">
                  <c:v>-9.6628096948911793E-2</c:v>
                </c:pt>
                <c:pt idx="28">
                  <c:v>-0.24470016075779996</c:v>
                </c:pt>
                <c:pt idx="29">
                  <c:v>1.7370235915854376E-3</c:v>
                </c:pt>
                <c:pt idx="30">
                  <c:v>0.1687573810789213</c:v>
                </c:pt>
                <c:pt idx="31">
                  <c:v>0.28000376693982459</c:v>
                </c:pt>
                <c:pt idx="32">
                  <c:v>0.37050471188528961</c:v>
                </c:pt>
                <c:pt idx="33">
                  <c:v>0.98495331565528232</c:v>
                </c:pt>
                <c:pt idx="34">
                  <c:v>1.3066162044029044</c:v>
                </c:pt>
                <c:pt idx="35">
                  <c:v>1.4716229037551076</c:v>
                </c:pt>
                <c:pt idx="36">
                  <c:v>2.2721691500137648</c:v>
                </c:pt>
                <c:pt idx="37">
                  <c:v>2.2555574188782392</c:v>
                </c:pt>
                <c:pt idx="38">
                  <c:v>2.5552058062178826</c:v>
                </c:pt>
                <c:pt idx="39">
                  <c:v>2.8392071818398361</c:v>
                </c:pt>
                <c:pt idx="40">
                  <c:v>2.4613975781407138</c:v>
                </c:pt>
                <c:pt idx="41">
                  <c:v>2.1884534875653987</c:v>
                </c:pt>
                <c:pt idx="42">
                  <c:v>1.6878176343171458</c:v>
                </c:pt>
                <c:pt idx="43">
                  <c:v>1.2040086527600062</c:v>
                </c:pt>
                <c:pt idx="44">
                  <c:v>0.42019461539003733</c:v>
                </c:pt>
                <c:pt idx="45">
                  <c:v>-0.24073720413497135</c:v>
                </c:pt>
                <c:pt idx="46">
                  <c:v>-0.86164470777109869</c:v>
                </c:pt>
                <c:pt idx="47">
                  <c:v>-1.1608228675529579</c:v>
                </c:pt>
                <c:pt idx="48">
                  <c:v>-1.1150123937500598</c:v>
                </c:pt>
                <c:pt idx="49">
                  <c:v>-1.1113948925017574</c:v>
                </c:pt>
                <c:pt idx="50">
                  <c:v>-0.81503677042706357</c:v>
                </c:pt>
                <c:pt idx="51">
                  <c:v>-0.97890806031559274</c:v>
                </c:pt>
                <c:pt idx="52">
                  <c:v>-1.1018128925035884</c:v>
                </c:pt>
                <c:pt idx="53">
                  <c:v>-1.1093986979877744</c:v>
                </c:pt>
                <c:pt idx="54">
                  <c:v>-1.1760593840460545</c:v>
                </c:pt>
                <c:pt idx="55">
                  <c:v>-1.1225259662572473</c:v>
                </c:pt>
                <c:pt idx="56">
                  <c:v>-0.96862682192273586</c:v>
                </c:pt>
                <c:pt idx="57">
                  <c:v>-0.82636945516503701</c:v>
                </c:pt>
                <c:pt idx="58">
                  <c:v>-0.57007166753901994</c:v>
                </c:pt>
                <c:pt idx="59">
                  <c:v>-0.36495641397507594</c:v>
                </c:pt>
                <c:pt idx="60">
                  <c:v>-3.2049870380987056E-2</c:v>
                </c:pt>
                <c:pt idx="61">
                  <c:v>0.24480804999347702</c:v>
                </c:pt>
                <c:pt idx="62">
                  <c:v>0.26189530952592777</c:v>
                </c:pt>
                <c:pt idx="63">
                  <c:v>0.3559135739684034</c:v>
                </c:pt>
                <c:pt idx="64">
                  <c:v>0.42634478827705019</c:v>
                </c:pt>
                <c:pt idx="65">
                  <c:v>0.23100288162485383</c:v>
                </c:pt>
                <c:pt idx="66" formatCode="0.000">
                  <c:v>0.18802773075361642</c:v>
                </c:pt>
                <c:pt idx="67" formatCode="0.000">
                  <c:v>0.1662160750590721</c:v>
                </c:pt>
                <c:pt idx="68" formatCode="0.000">
                  <c:v>-1.5091432943505364E-2</c:v>
                </c:pt>
                <c:pt idx="69" formatCode="0.000">
                  <c:v>3.3262338155140736E-2</c:v>
                </c:pt>
                <c:pt idx="70" formatCode="0.000">
                  <c:v>-2.2017746830263182E-2</c:v>
                </c:pt>
                <c:pt idx="71" formatCode="0.000">
                  <c:v>8.7025679252403579E-2</c:v>
                </c:pt>
                <c:pt idx="72" formatCode="0.000">
                  <c:v>0.20397775784678757</c:v>
                </c:pt>
                <c:pt idx="73" formatCode="0.000">
                  <c:v>0.34411971661690366</c:v>
                </c:pt>
              </c:numCache>
            </c:numRef>
          </c:val>
          <c:smooth val="0"/>
          <c:extLst>
            <c:ext xmlns:c16="http://schemas.microsoft.com/office/drawing/2014/chart" uri="{C3380CC4-5D6E-409C-BE32-E72D297353CC}">
              <c16:uniqueId val="{00000002-CFD3-4682-AD51-848F3C7FF81A}"/>
            </c:ext>
          </c:extLst>
        </c:ser>
        <c:dLbls>
          <c:showLegendKey val="0"/>
          <c:showVal val="0"/>
          <c:showCatName val="0"/>
          <c:showSerName val="0"/>
          <c:showPercent val="0"/>
          <c:showBubbleSize val="0"/>
        </c:dLbls>
        <c:marker val="1"/>
        <c:smooth val="0"/>
        <c:axId val="582267440"/>
        <c:axId val="582274984"/>
      </c:lineChart>
      <c:catAx>
        <c:axId val="582267440"/>
        <c:scaling>
          <c:orientation val="minMax"/>
        </c:scaling>
        <c:delete val="0"/>
        <c:axPos val="b"/>
        <c:numFmt formatCode="\'yy" sourceLinked="0"/>
        <c:majorTickMark val="none"/>
        <c:minorTickMark val="none"/>
        <c:tickLblPos val="low"/>
        <c:spPr>
          <a:noFill/>
          <a:ln w="6350" cap="flat" cmpd="sng" algn="ctr">
            <a:solidFill>
              <a:schemeClr val="bg1">
                <a:lumMod val="85000"/>
              </a:schemeClr>
            </a:solidFill>
            <a:round/>
          </a:ln>
          <a:effectLst/>
        </c:spPr>
        <c:txPr>
          <a:bodyPr rot="-60000000" spcFirstLastPara="1" vertOverflow="ellipsis" vert="horz" wrap="square" anchor="ctr" anchorCtr="1"/>
          <a:lstStyle/>
          <a:p>
            <a:pPr>
              <a:defRPr sz="600" b="1"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crossAx val="582274984"/>
        <c:crosses val="autoZero"/>
        <c:auto val="0"/>
        <c:lblAlgn val="ctr"/>
        <c:lblOffset val="100"/>
        <c:tickLblSkip val="4"/>
        <c:noMultiLvlLbl val="0"/>
      </c:catAx>
      <c:valAx>
        <c:axId val="582274984"/>
        <c:scaling>
          <c:orientation val="minMax"/>
          <c:min val="-2"/>
        </c:scaling>
        <c:delete val="0"/>
        <c:axPos val="l"/>
        <c:majorGridlines>
          <c:spPr>
            <a:ln w="9525" cap="flat" cmpd="sng" algn="ctr">
              <a:solidFill>
                <a:schemeClr val="bg1">
                  <a:lumMod val="85000"/>
                </a:schemeClr>
              </a:solidFill>
              <a:round/>
            </a:ln>
            <a:effectLst/>
          </c:spPr>
        </c:majorGridlines>
        <c:numFmt formatCode="0" sourceLinked="0"/>
        <c:majorTickMark val="none"/>
        <c:minorTickMark val="none"/>
        <c:tickLblPos val="nextTo"/>
        <c:spPr>
          <a:noFill/>
          <a:ln w="9525">
            <a:solidFill>
              <a:schemeClr val="tx1"/>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crossAx val="582267440"/>
        <c:crosses val="autoZero"/>
        <c:crossBetween val="between"/>
      </c:valAx>
      <c:valAx>
        <c:axId val="220989360"/>
        <c:scaling>
          <c:orientation val="minMax"/>
          <c:max val="1"/>
          <c:min val="0"/>
        </c:scaling>
        <c:delete val="0"/>
        <c:axPos val="r"/>
        <c:numFmt formatCode="General" sourceLinked="1"/>
        <c:majorTickMark val="out"/>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990672"/>
        <c:crosses val="max"/>
        <c:crossBetween val="between"/>
      </c:valAx>
      <c:dateAx>
        <c:axId val="220990672"/>
        <c:scaling>
          <c:orientation val="minMax"/>
        </c:scaling>
        <c:delete val="1"/>
        <c:axPos val="b"/>
        <c:numFmt formatCode="mm/dd/yy" sourceLinked="1"/>
        <c:majorTickMark val="out"/>
        <c:minorTickMark val="none"/>
        <c:tickLblPos val="nextTo"/>
        <c:crossAx val="220989360"/>
        <c:crosses val="autoZero"/>
        <c:auto val="1"/>
        <c:lblOffset val="100"/>
        <c:baseTimeUnit val="months"/>
      </c:dateAx>
      <c:spPr>
        <a:noFill/>
        <a:ln>
          <a:noFill/>
        </a:ln>
        <a:effectLst/>
      </c:spPr>
    </c:plotArea>
    <c:legend>
      <c:legendPos val="r"/>
      <c:legendEntry>
        <c:idx val="1"/>
        <c:delete val="1"/>
      </c:legendEntry>
      <c:layout>
        <c:manualLayout>
          <c:xMode val="edge"/>
          <c:yMode val="edge"/>
          <c:x val="2.1769788919847828E-2"/>
          <c:y val="0.86814402218204401"/>
          <c:w val="0.35232824282039682"/>
          <c:h val="8.9443076386708148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0.00718</cdr:x>
      <cdr:y>0.01819</cdr:y>
    </cdr:from>
    <cdr:to>
      <cdr:x>0.63502</cdr:x>
      <cdr:y>0.07193</cdr:y>
    </cdr:to>
    <cdr:sp macro="" textlink="">
      <cdr:nvSpPr>
        <cdr:cNvPr id="2" name="TextBox 1"/>
        <cdr:cNvSpPr txBox="1"/>
      </cdr:nvSpPr>
      <cdr:spPr>
        <a:xfrm xmlns:a="http://schemas.openxmlformats.org/drawingml/2006/main">
          <a:off x="37487" y="57807"/>
          <a:ext cx="3278811" cy="17079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Helvetica" panose="020B0604020202020204" pitchFamily="34" charset="0"/>
              <a:cs typeface="Helvetica" panose="020B0604020202020204" pitchFamily="34" charset="0"/>
            </a:rPr>
            <a:t>Hutchins</a:t>
          </a:r>
          <a:r>
            <a:rPr lang="en-US" sz="800" b="1" baseline="0">
              <a:latin typeface="Helvetica" panose="020B0604020202020204" pitchFamily="34" charset="0"/>
              <a:cs typeface="Helvetica" panose="020B0604020202020204" pitchFamily="34" charset="0"/>
            </a:rPr>
            <a:t> Center Fiscal Impact Measure: Total</a:t>
          </a:r>
          <a:endParaRPr lang="en-US" sz="800" b="1">
            <a:latin typeface="Helvetica" panose="020B0604020202020204" pitchFamily="34" charset="0"/>
            <a:cs typeface="Helvetica" panose="020B0604020202020204" pitchFamily="34" charset="0"/>
          </a:endParaRPr>
        </a:p>
      </cdr:txBody>
    </cdr:sp>
  </cdr:relSizeAnchor>
  <cdr:relSizeAnchor xmlns:cdr="http://schemas.openxmlformats.org/drawingml/2006/chartDrawing">
    <cdr:from>
      <cdr:x>0.00682</cdr:x>
      <cdr:y>0.05939</cdr:y>
    </cdr:from>
    <cdr:to>
      <cdr:x>0.63467</cdr:x>
      <cdr:y>0.11313</cdr:y>
    </cdr:to>
    <cdr:sp macro="" textlink="">
      <cdr:nvSpPr>
        <cdr:cNvPr id="3" name="TextBox 1"/>
        <cdr:cNvSpPr txBox="1"/>
      </cdr:nvSpPr>
      <cdr:spPr>
        <a:xfrm xmlns:a="http://schemas.openxmlformats.org/drawingml/2006/main">
          <a:off x="35623" y="188748"/>
          <a:ext cx="3278811" cy="1707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700" b="0">
              <a:latin typeface="Helvetica" panose="020B0604020202020204" pitchFamily="34" charset="0"/>
              <a:cs typeface="Helvetica" panose="020B0604020202020204" pitchFamily="34" charset="0"/>
            </a:rPr>
            <a:t>Contribution of Fiscal Policy to Real GDP Growth (percentage points)</a:t>
          </a:r>
        </a:p>
      </cdr:txBody>
    </cdr:sp>
  </cdr:relSizeAnchor>
  <cdr:relSizeAnchor xmlns:cdr="http://schemas.openxmlformats.org/drawingml/2006/chartDrawing">
    <cdr:from>
      <cdr:x>0.57187</cdr:x>
      <cdr:y>0.84941</cdr:y>
    </cdr:from>
    <cdr:to>
      <cdr:x>1</cdr:x>
      <cdr:y>0.92766</cdr:y>
    </cdr:to>
    <cdr:sp macro="" textlink="">
      <cdr:nvSpPr>
        <cdr:cNvPr id="4" name="TextBox 1"/>
        <cdr:cNvSpPr txBox="1"/>
      </cdr:nvSpPr>
      <cdr:spPr>
        <a:xfrm xmlns:a="http://schemas.openxmlformats.org/drawingml/2006/main">
          <a:off x="2986471" y="2699478"/>
          <a:ext cx="2235858" cy="2486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a:solidFill>
                <a:schemeClr val="tx1">
                  <a:lumMod val="65000"/>
                  <a:lumOff val="35000"/>
                </a:schemeClr>
              </a:solidFill>
              <a:latin typeface="Helvetica" panose="020B0604020202020204" pitchFamily="34" charset="0"/>
              <a:cs typeface="Helvetica" panose="020B0604020202020204" pitchFamily="34" charset="0"/>
            </a:rPr>
            <a:t>Source: Hutchins Center calculations from Bureau</a:t>
          </a:r>
          <a:r>
            <a:rPr lang="en-US" sz="600" baseline="0">
              <a:solidFill>
                <a:schemeClr val="tx1">
                  <a:lumMod val="65000"/>
                  <a:lumOff val="35000"/>
                </a:schemeClr>
              </a:solidFill>
              <a:latin typeface="Helvetica" panose="020B0604020202020204" pitchFamily="34" charset="0"/>
              <a:cs typeface="Helvetica" panose="020B0604020202020204" pitchFamily="34" charset="0"/>
            </a:rPr>
            <a:t> of Economic Analysis data; shaded areas indicate recessions.</a:t>
          </a:r>
          <a:endParaRPr lang="en-US" sz="600">
            <a:solidFill>
              <a:schemeClr val="tx1">
                <a:lumMod val="65000"/>
                <a:lumOff val="35000"/>
              </a:schemeClr>
            </a:solidFill>
            <a:latin typeface="Helvetica" panose="020B0604020202020204" pitchFamily="34" charset="0"/>
            <a:cs typeface="Helvetica" panose="020B0604020202020204" pitchFamily="34" charset="0"/>
          </a:endParaRPr>
        </a:p>
      </cdr:txBody>
    </cdr:sp>
  </cdr:relSizeAnchor>
  <cdr:relSizeAnchor xmlns:cdr="http://schemas.openxmlformats.org/drawingml/2006/chartDrawing">
    <cdr:from>
      <cdr:x>0.93335</cdr:x>
      <cdr:y>0.92972</cdr:y>
    </cdr:from>
    <cdr:to>
      <cdr:x>0.96813</cdr:x>
      <cdr:y>0.99173</cdr:y>
    </cdr:to>
    <cdr:pic>
      <cdr:nvPicPr>
        <cdr:cNvPr id="5" name="Picture 4"/>
        <cdr:cNvPicPr>
          <a:picLocks xmlns:a="http://schemas.openxmlformats.org/drawingml/2006/main"/>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4874265" y="2954720"/>
          <a:ext cx="181641" cy="197069"/>
        </a:xfrm>
        <a:prstGeom xmlns:a="http://schemas.openxmlformats.org/drawingml/2006/main" prst="rect">
          <a:avLst/>
        </a:prstGeom>
      </cdr:spPr>
    </cdr:pic>
  </cdr:relSizeAnchor>
  <cdr:relSizeAnchor xmlns:cdr="http://schemas.openxmlformats.org/drawingml/2006/chartDrawing">
    <cdr:from>
      <cdr:x>0.67654</cdr:x>
      <cdr:y>0.93822</cdr:y>
    </cdr:from>
    <cdr:to>
      <cdr:x>0.94064</cdr:x>
      <cdr:y>0.99173</cdr:y>
    </cdr:to>
    <cdr:pic>
      <cdr:nvPicPr>
        <cdr:cNvPr id="6" name="Picture 5"/>
        <cdr:cNvPicPr>
          <a:picLocks xmlns:a="http://schemas.openxmlformats.org/drawingml/2006/main"/>
        </cdr:cNvPicPr>
      </cdr:nvPicPr>
      <cdr:blipFill rotWithShape="1">
        <a:blip xmlns:a="http://schemas.openxmlformats.org/drawingml/2006/main" xmlns:r="http://schemas.openxmlformats.org/officeDocument/2006/relationships" r:embed="rId2">
          <a:extLst>
            <a:ext uri="{28A0092B-C50C-407E-A947-70E740481C1C}">
              <a14:useLocalDpi xmlns:a14="http://schemas.microsoft.com/office/drawing/2010/main" val="0"/>
            </a:ext>
          </a:extLst>
        </a:blip>
        <a:srcRect xmlns:a="http://schemas.openxmlformats.org/drawingml/2006/main" t="19866" b="32554"/>
        <a:stretch xmlns:a="http://schemas.openxmlformats.org/drawingml/2006/main"/>
      </cdr:blipFill>
      <cdr:spPr>
        <a:xfrm xmlns:a="http://schemas.openxmlformats.org/drawingml/2006/main">
          <a:off x="3533092" y="2981717"/>
          <a:ext cx="1379240" cy="170073"/>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0290CE-8C15-43AD-B59F-FD8881D91A64}"/>
</file>

<file path=customXml/itemProps2.xml><?xml version="1.0" encoding="utf-8"?>
<ds:datastoreItem xmlns:ds="http://schemas.openxmlformats.org/officeDocument/2006/customXml" ds:itemID="{9DADE010-0F98-48F2-A72D-1D3032F95F59}"/>
</file>

<file path=customXml/itemProps3.xml><?xml version="1.0" encoding="utf-8"?>
<ds:datastoreItem xmlns:ds="http://schemas.openxmlformats.org/officeDocument/2006/customXml" ds:itemID="{80FF0C87-CDA2-44C0-9F59-77913ACBE843}"/>
</file>

<file path=docProps/app.xml><?xml version="1.0" encoding="utf-8"?>
<Properties xmlns="http://schemas.openxmlformats.org/officeDocument/2006/extended-properties" xmlns:vt="http://schemas.openxmlformats.org/officeDocument/2006/docPropsVTypes">
  <Template>Normal</Template>
  <TotalTime>6</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2018-07-30T12:35:00Z</dcterms:created>
  <dcterms:modified xsi:type="dcterms:W3CDTF">2018-07-30T20:24:00Z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