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NIPA</w:t>
      </w:r>
      <w:r>
        <w:t xml:space="preserve"> </w:t>
      </w:r>
      <w:r>
        <w:t xml:space="preserve">Consistent</w:t>
      </w:r>
      <w:r>
        <w:t xml:space="preserve"> </w:t>
      </w:r>
      <w:r>
        <w:t xml:space="preserve">Fiscal</w:t>
      </w:r>
      <w:r>
        <w:t xml:space="preserve"> </w:t>
      </w:r>
      <w:r>
        <w:t xml:space="preserve">Impact</w:t>
      </w:r>
      <w:r>
        <w:t xml:space="preserve"> </w:t>
      </w:r>
      <w:r>
        <w:t xml:space="preserve">Measure</w:t>
      </w:r>
      <w:r>
        <w:t xml:space="preserve"> </w:t>
      </w:r>
      <w:r>
        <w:t xml:space="preserve">Walkthrough</w:t>
      </w:r>
    </w:p>
    <w:p>
      <w:pPr>
        <w:pStyle w:val="Author"/>
      </w:pPr>
      <w:r>
        <w:t xml:space="preserve">Manuel</w:t>
      </w:r>
      <w:r>
        <w:t xml:space="preserve"> </w:t>
      </w:r>
      <w:r>
        <w:t xml:space="preserve">Alcala</w:t>
      </w:r>
      <w:r>
        <w:t xml:space="preserve"> </w:t>
      </w:r>
      <w:r>
        <w:t xml:space="preserve">Kovalski</w:t>
      </w:r>
    </w:p>
    <w:p>
      <w:pPr>
        <w:pStyle w:val="Date"/>
      </w:pPr>
      <w:r>
        <w:t xml:space="preserve">2021-09-03</w:t>
      </w:r>
    </w:p>
    <w:bookmarkStart w:id="20" w:name="fiscal-impact"/>
    <w:p>
      <w:pPr>
        <w:pStyle w:val="Heading2"/>
      </w:pPr>
      <w:r>
        <w:rPr>
          <w:bCs/>
          <w:b/>
        </w:rPr>
        <w:t xml:space="preserve">Fiscal Impact</w:t>
      </w:r>
    </w:p>
    <w:p>
      <w:pPr>
        <w:pStyle w:val="FirstParagraph"/>
      </w:pPr>
      <w:r>
        <w:t xml:space="preserve">The FIM is defined as the actual contributions of real government purchases and real consumption to GDP less the contributions that would have prevailed if real purchases, real taxes, and real transfers were growing with potential GDP.</w:t>
      </w:r>
    </w:p>
    <w:p>
      <w:pPr>
        <w:pStyle w:val="BodyText"/>
      </w:pPr>
      <w:r>
        <w:t xml:space="preserve">Define</w:t>
      </w:r>
      <w:r>
        <w:t xml:space="preserve"> </w:t>
      </w:r>
      <m:oMath>
        <m:r>
          <m:t>G</m:t>
        </m:r>
      </m:oMath>
      <w:r>
        <w:t xml:space="preserve"> </w:t>
      </w:r>
      <w:r>
        <w:t xml:space="preserve">as nominal government purchases,</w:t>
      </w:r>
      <w:r>
        <w:t xml:space="preserve"> </w:t>
      </w:r>
      <m:oMath>
        <m:sSub>
          <m:e>
            <m:r>
              <m:t>π</m:t>
            </m:r>
          </m:e>
          <m:sub>
            <m:r>
              <m:t>G</m:t>
            </m:r>
          </m:sub>
        </m:sSub>
      </m:oMath>
      <w:r>
        <w:t xml:space="preserve"> </w:t>
      </w:r>
      <w:r>
        <w:t xml:space="preserve">as the inflation rate for government purchases,</w:t>
      </w:r>
      <w:r>
        <w:t xml:space="preserve"> </w:t>
      </w:r>
      <m:oMath>
        <m:r>
          <m:t>C</m:t>
        </m:r>
      </m:oMath>
      <w:r>
        <w:t xml:space="preserve"> </w:t>
      </w:r>
      <w:r>
        <w:t xml:space="preserve">as nominal consumption,</w:t>
      </w:r>
      <w:r>
        <w:t xml:space="preserve"> </w:t>
      </w:r>
      <m:oMath>
        <m:r>
          <m:t>C</m:t>
        </m:r>
      </m:oMath>
      <w:r>
        <w:t xml:space="preserve"> </w:t>
      </w:r>
      <w:r>
        <w:t xml:space="preserve">as nominal consumption,</w:t>
      </w:r>
      <w:r>
        <w:t xml:space="preserve"> </w:t>
      </w:r>
      <m:oMath>
        <m:r>
          <m:t>T</m:t>
        </m:r>
      </m:oMath>
      <w:r>
        <w:t xml:space="preserve"> </w:t>
      </w:r>
      <w:r>
        <w:t xml:space="preserve">as nominal tax or transfer payments,</w:t>
      </w:r>
      <w:r>
        <w:t xml:space="preserve"> </w:t>
      </w:r>
      <m:oMath>
        <m:r>
          <m:t>Y</m:t>
        </m:r>
      </m:oMath>
      <w:r>
        <w:t xml:space="preserve"> </w:t>
      </w:r>
      <w:r>
        <w:t xml:space="preserve">as nominal GDP, and</w:t>
      </w:r>
      <w:r>
        <w:t xml:space="preserve"> </w:t>
      </w:r>
      <m:oMath>
        <m:r>
          <m:t>μ</m:t>
        </m:r>
      </m:oMath>
      <w:r>
        <w:t xml:space="preserve"> </w:t>
      </w:r>
      <w:r>
        <w:t xml:space="preserve">as real potential output growth.</w:t>
      </w:r>
    </w:p>
    <w:bookmarkEnd w:id="20"/>
    <w:bookmarkStart w:id="21" w:name="purchases"/>
    <w:p>
      <w:pPr>
        <w:pStyle w:val="Heading2"/>
      </w:pPr>
      <w:r>
        <w:rPr>
          <w:bCs/>
          <w:b/>
        </w:rPr>
        <w:t xml:space="preserve">Purchases</w:t>
      </w:r>
    </w:p>
    <w:p>
      <w:pPr>
        <w:pStyle w:val="FirstParagraph"/>
      </w:pPr>
      <w:r>
        <w:t xml:space="preserve">The contribution of real purchases to GDP is the growth rate of real government purchases times the share of government in GDP:</w:t>
      </w:r>
    </w:p>
    <w:p>
      <w:pPr>
        <w:pStyle w:val="BodyText"/>
      </w:pPr>
      <m:oMathPara>
        <m:oMathParaPr>
          <m:jc m:val="center"/>
        </m:oMathParaPr>
        <m:oMath>
          <m:f>
            <m:fPr>
              <m:type m:val="bar"/>
            </m:fPr>
            <m:num>
              <m:sSub>
                <m:e>
                  <m:r>
                    <m:t>G</m:t>
                  </m:r>
                </m:e>
                <m:sub>
                  <m:r>
                    <m:t>t</m:t>
                  </m:r>
                </m:sub>
              </m:sSub>
            </m:num>
            <m:den>
              <m:sSub>
                <m:e>
                  <m:r>
                    <m:t>G</m:t>
                  </m:r>
                </m:e>
                <m:sub>
                  <m:r>
                    <m:t>t</m:t>
                  </m:r>
                  <m:r>
                    <m:rPr>
                      <m:sty m:val="p"/>
                    </m:rPr>
                    <m:t>−</m:t>
                  </m:r>
                  <m:r>
                    <m:t>1</m:t>
                  </m:r>
                </m:sub>
              </m:sSub>
            </m:den>
          </m:f>
          <m:r>
            <m:rPr>
              <m:sty m:val="p"/>
            </m:rPr>
            <m:t>−</m:t>
          </m:r>
          <m:f>
            <m:fPr>
              <m:type m:val="bar"/>
            </m:fPr>
            <m:num>
              <m:sSub>
                <m:e>
                  <m:r>
                    <m:t>G</m:t>
                  </m:r>
                </m:e>
                <m:sub>
                  <m:r>
                    <m:t>t</m:t>
                  </m:r>
                  <m:r>
                    <m:rPr>
                      <m:sty m:val="p"/>
                    </m:rPr>
                    <m:t>−</m:t>
                  </m:r>
                  <m:r>
                    <m:t>1</m:t>
                  </m:r>
                </m:sub>
              </m:sSub>
            </m:num>
            <m:den>
              <m:sSub>
                <m:e>
                  <m:r>
                    <m:t>Y</m:t>
                  </m:r>
                </m:e>
                <m:sub>
                  <m:r>
                    <m:t>t</m:t>
                  </m:r>
                  <m:r>
                    <m:rPr>
                      <m:sty m:val="p"/>
                    </m:rPr>
                    <m:t>−</m:t>
                  </m:r>
                  <m:r>
                    <m:t>1</m:t>
                  </m:r>
                </m:sub>
              </m:sSub>
            </m:den>
          </m:f>
          <m:r>
            <m:rPr>
              <m:sty m:val="p"/>
            </m:rPr>
            <m:t>×</m:t>
          </m:r>
          <m:r>
            <m:rPr>
              <m:sty m:val="p"/>
            </m:rPr>
            <m:t>(</m:t>
          </m:r>
          <m:r>
            <m:t>1</m:t>
          </m:r>
          <m:r>
            <m:rPr>
              <m:sty m:val="p"/>
            </m:rPr>
            <m:t>+</m:t>
          </m:r>
          <m:sSub>
            <m:e>
              <m:r>
                <m:t>π</m:t>
              </m:r>
            </m:e>
            <m:sub>
              <m:r>
                <m:t>G</m:t>
              </m:r>
            </m:sub>
          </m:sSub>
          <m:r>
            <m:rPr>
              <m:sty m:val="p"/>
            </m:rPr>
            <m:t>)</m:t>
          </m:r>
          <m:r>
            <m:rPr>
              <m:sty m:val="p"/>
            </m:rPr>
            <m:t>=</m:t>
          </m:r>
          <m:f>
            <m:fPr>
              <m:type m:val="bar"/>
            </m:fPr>
            <m:num>
              <m:sSub>
                <m:e>
                  <m:r>
                    <m:t>G</m:t>
                  </m:r>
                </m:e>
                <m:sub>
                  <m:r>
                    <m:t>t</m:t>
                  </m:r>
                </m:sub>
              </m:sSub>
              <m:r>
                <m:rPr>
                  <m:sty m:val="p"/>
                </m:rPr>
                <m:t>−</m:t>
              </m:r>
              <m:sSub>
                <m:e>
                  <m:r>
                    <m:t>G</m:t>
                  </m:r>
                </m:e>
                <m:sub>
                  <m:r>
                    <m:t>t</m:t>
                  </m:r>
                  <m:r>
                    <m:rPr>
                      <m:sty m:val="p"/>
                    </m:rPr>
                    <m:t>−</m:t>
                  </m:r>
                  <m:r>
                    <m:t>1</m:t>
                  </m:r>
                </m:sub>
              </m:sSub>
              <m:r>
                <m:rPr>
                  <m:sty m:val="p"/>
                </m:rPr>
                <m:t>×</m:t>
              </m:r>
              <m:r>
                <m:rPr>
                  <m:sty m:val="p"/>
                </m:rPr>
                <m:t>(</m:t>
              </m:r>
              <m:r>
                <m:t>1</m:t>
              </m:r>
              <m:r>
                <m:rPr>
                  <m:sty m:val="p"/>
                </m:rPr>
                <m:t>+</m:t>
              </m:r>
              <m:sSub>
                <m:e>
                  <m:r>
                    <m:t>π</m:t>
                  </m:r>
                </m:e>
                <m:sub>
                  <m:r>
                    <m:t>G</m:t>
                  </m:r>
                </m:sub>
              </m:sSub>
              <m:r>
                <m:rPr>
                  <m:sty m:val="p"/>
                </m:rPr>
                <m:t>)</m:t>
              </m:r>
            </m:num>
            <m:den>
              <m:sSub>
                <m:e>
                  <m:r>
                    <m:t>Y</m:t>
                  </m:r>
                </m:e>
                <m:sub>
                  <m:r>
                    <m:t>t</m:t>
                  </m:r>
                  <m:r>
                    <m:rPr>
                      <m:sty m:val="p"/>
                    </m:rPr>
                    <m:t>−</m:t>
                  </m:r>
                  <m:r>
                    <m:t>1</m:t>
                  </m:r>
                </m:sub>
              </m:sSub>
            </m:den>
          </m:f>
        </m:oMath>
      </m:oMathPara>
    </w:p>
    <w:p>
      <w:pPr>
        <w:pStyle w:val="FirstParagraph"/>
      </w:pPr>
      <w:r>
        <w:t xml:space="preserve">In order to calculate the effects of government policy on the economy, it is necessary to specify a counterfactual; in other words, we need to know what the effects of a particular set of policies are compared to some alternative.</w:t>
      </w:r>
    </w:p>
    <w:p>
      <w:pPr>
        <w:pStyle w:val="BodyText"/>
      </w:pPr>
      <w:r>
        <w:t xml:space="preserve">The counterfactual assumed by the FIM is that taxes and spending rise with potential GDP—the gross domestic output that would be obtained if the economy were at full employment.</w:t>
      </w:r>
    </w:p>
    <w:p>
      <w:pPr>
        <w:pStyle w:val="BodyText"/>
      </w:pPr>
      <m:oMathPara>
        <m:oMathParaPr>
          <m:jc m:val="center"/>
        </m:oMathParaPr>
        <m:oMath>
          <m:r>
            <m:t>μ</m:t>
          </m:r>
          <m:f>
            <m:fPr>
              <m:type m:val="bar"/>
            </m:fPr>
            <m:num>
              <m:sSub>
                <m:e>
                  <m:r>
                    <m:t>G</m:t>
                  </m:r>
                </m:e>
                <m:sub>
                  <m:r>
                    <m:t>t</m:t>
                  </m:r>
                  <m:r>
                    <m:rPr>
                      <m:sty m:val="p"/>
                    </m:rPr>
                    <m:t>−</m:t>
                  </m:r>
                  <m:r>
                    <m:t>1</m:t>
                  </m:r>
                </m:sub>
              </m:sSub>
            </m:num>
            <m:den>
              <m:sSub>
                <m:e>
                  <m:r>
                    <m:t>Y</m:t>
                  </m:r>
                </m:e>
                <m:sub>
                  <m:r>
                    <m:t>t</m:t>
                  </m:r>
                  <m:r>
                    <m:rPr>
                      <m:sty m:val="p"/>
                    </m:rPr>
                    <m:t>−</m:t>
                  </m:r>
                  <m:r>
                    <m:t>1</m:t>
                  </m:r>
                </m:sub>
              </m:sSub>
            </m:den>
          </m:f>
        </m:oMath>
      </m:oMathPara>
    </w:p>
    <w:p>
      <w:pPr>
        <w:pStyle w:val="FirstParagraph"/>
      </w:pPr>
      <w:r>
        <w:t xml:space="preserve">Thus, the FIM for purchases is defined as</w:t>
      </w:r>
    </w:p>
    <w:p>
      <w:pPr>
        <w:pStyle w:val="BodyText"/>
      </w:pPr>
      <m:oMathPara>
        <m:oMathParaPr>
          <m:jc m:val="center"/>
        </m:oMathParaPr>
        <m:oMath>
          <m:sSubSup>
            <m:e>
              <m:r>
                <m:rPr>
                  <m:nor/>
                  <m:sty m:val="p"/>
                </m:rPr>
                <m:t>FIM</m:t>
              </m:r>
            </m:e>
            <m:sub>
              <m:r>
                <m:t>t</m:t>
              </m:r>
            </m:sub>
            <m:sup>
              <m:r>
                <m:t>G</m:t>
              </m:r>
            </m:sup>
          </m:sSubSup>
          <m:r>
            <m:rPr>
              <m:sty m:val="p"/>
            </m:rPr>
            <m:t>=</m:t>
          </m:r>
          <m:f>
            <m:fPr>
              <m:type m:val="bar"/>
            </m:fPr>
            <m:num>
              <m:sSub>
                <m:e>
                  <m:r>
                    <m:t>G</m:t>
                  </m:r>
                </m:e>
                <m:sub>
                  <m:r>
                    <m:t>t</m:t>
                  </m:r>
                </m:sub>
              </m:sSub>
              <m:r>
                <m:rPr>
                  <m:sty m:val="p"/>
                </m:rPr>
                <m:t>−</m:t>
              </m:r>
              <m:sSub>
                <m:e>
                  <m:r>
                    <m:t>G</m:t>
                  </m:r>
                </m:e>
                <m:sub>
                  <m:r>
                    <m:t>t</m:t>
                  </m:r>
                  <m:r>
                    <m:rPr>
                      <m:sty m:val="p"/>
                    </m:rPr>
                    <m:t>−</m:t>
                  </m:r>
                  <m:r>
                    <m:t>1</m:t>
                  </m:r>
                </m:sub>
              </m:sSub>
              <m:r>
                <m:rPr>
                  <m:sty m:val="p"/>
                </m:rPr>
                <m:t>×</m:t>
              </m:r>
              <m:d>
                <m:dPr>
                  <m:begChr m:val="("/>
                  <m:endChr m:val=")"/>
                  <m:grow/>
                </m:dPr>
                <m:e>
                  <m:r>
                    <m:t>1</m:t>
                  </m:r>
                  <m:r>
                    <m:rPr>
                      <m:sty m:val="p"/>
                    </m:rPr>
                    <m:t>+</m:t>
                  </m:r>
                  <m:sSub>
                    <m:e>
                      <m:r>
                        <m:t>π</m:t>
                      </m:r>
                    </m:e>
                    <m:sub>
                      <m:r>
                        <m:t>G</m:t>
                      </m:r>
                    </m:sub>
                  </m:sSub>
                  <m:r>
                    <m:rPr>
                      <m:sty m:val="p"/>
                    </m:rPr>
                    <m:t>+</m:t>
                  </m:r>
                  <m:r>
                    <m:t>μ</m:t>
                  </m:r>
                </m:e>
              </m:d>
            </m:num>
            <m:den>
              <m:sSub>
                <m:e>
                  <m:r>
                    <m:t>Y</m:t>
                  </m:r>
                </m:e>
                <m:sub>
                  <m:r>
                    <m:t>t</m:t>
                  </m:r>
                  <m:r>
                    <m:rPr>
                      <m:sty m:val="p"/>
                    </m:rPr>
                    <m:t>−</m:t>
                  </m:r>
                  <m:r>
                    <m:t>1</m:t>
                  </m:r>
                </m:sub>
              </m:sSub>
            </m:den>
          </m:f>
        </m:oMath>
      </m:oMathPara>
    </w:p>
    <w:bookmarkEnd w:id="21"/>
    <w:bookmarkStart w:id="22" w:name="taxes-and-transfers"/>
    <w:p>
      <w:pPr>
        <w:pStyle w:val="Heading2"/>
      </w:pPr>
      <w:r>
        <w:rPr>
          <w:bCs/>
          <w:b/>
        </w:rPr>
        <w:t xml:space="preserve">Taxes and Transfers</w:t>
      </w:r>
    </w:p>
    <w:p>
      <w:pPr>
        <w:pStyle w:val="FirstParagraph"/>
      </w:pPr>
      <w:r>
        <w:t xml:space="preserve">Calculating the contribution of taxes and transfers to GDP requires translating taxes and transfer payments into dollars of consumption as well as specifying the counterfactual path for consumption due to taxes and transfer payments, which we do in manner analogous to that for purchases.</w:t>
      </w:r>
    </w:p>
    <w:p>
      <w:pPr>
        <w:pStyle w:val="BodyText"/>
      </w:pPr>
      <w:r>
        <w:t xml:space="preserve">We assume that households’ consumption responses to changes in taxes and transfers are slow and vary by the kind of payment. Thus in order to translate taxes and transfers into dollars of consumption, we apply the respective marginal propensities to consume (MPC) over the appropriate lags to each of the tax and transfer pieces. Let</w:t>
      </w:r>
      <w:r>
        <w:t xml:space="preserve"> </w:t>
      </w:r>
      <m:oMath>
        <m:r>
          <m:t>j</m:t>
        </m:r>
      </m:oMath>
      <w:r>
        <w:t xml:space="preserve"> </w:t>
      </w:r>
      <w:r>
        <w:t xml:space="preserve">denote a kind of tax or transfer payment (for example, corporate taxes) and</w:t>
      </w:r>
      <w:r>
        <w:t xml:space="preserve"> </w:t>
      </w:r>
      <m:oMath>
        <m:r>
          <m:t>i</m:t>
        </m:r>
      </m:oMath>
      <w:r>
        <w:t xml:space="preserve"> </w:t>
      </w:r>
      <w:r>
        <w:t xml:space="preserve">denote number of lags (in quarters). Then the consumption due to all tax or transfer payments</w:t>
      </w:r>
      <w:r>
        <w:t xml:space="preserve"> </w:t>
      </w:r>
      <m:oMath>
        <m:r>
          <m:t>T</m:t>
        </m:r>
      </m:oMath>
      <w:r>
        <w:t xml:space="preserve"> </w:t>
      </w:r>
      <w:r>
        <w:t xml:space="preserve">in period</w:t>
      </w:r>
      <w:r>
        <w:t xml:space="preserve"> </w:t>
      </w:r>
      <m:oMath>
        <m:r>
          <m:t>t</m:t>
        </m:r>
      </m:oMath>
      <w:r>
        <w:t xml:space="preserve"> </w:t>
      </w:r>
      <w:r>
        <w:t xml:space="preserve">is given by</w:t>
      </w:r>
    </w:p>
    <w:p>
      <w:pPr>
        <w:pStyle w:val="BodyText"/>
      </w:pPr>
      <m:oMathPara>
        <m:oMathParaPr>
          <m:jc m:val="center"/>
        </m:oMathParaPr>
        <m:oMath>
          <m:nary>
            <m:naryPr>
              <m:chr m:val="∑"/>
              <m:limLoc m:val="undOvr"/>
              <m:subHide m:val="0"/>
              <m:supHide m:val="0"/>
            </m:naryPr>
            <m:sub>
              <m:r>
                <m:t>j</m:t>
              </m:r>
              <m:r>
                <m:rPr>
                  <m:sty m:val="p"/>
                </m:rPr>
                <m:t>=</m:t>
              </m:r>
              <m:r>
                <m:t>1</m:t>
              </m:r>
            </m:sub>
            <m:sup>
              <m:r>
                <m:t>3</m:t>
              </m:r>
            </m:sup>
            <m:e>
              <m:nary>
                <m:naryPr>
                  <m:chr m:val="∑"/>
                  <m:limLoc m:val="undOvr"/>
                  <m:subHide m:val="0"/>
                  <m:supHide m:val="0"/>
                </m:naryPr>
                <m:sub>
                  <m:r>
                    <m:t>i</m:t>
                  </m:r>
                  <m:r>
                    <m:rPr>
                      <m:sty m:val="p"/>
                    </m:rPr>
                    <m:t>=</m:t>
                  </m:r>
                  <m:r>
                    <m:t>0</m:t>
                  </m:r>
                </m:sub>
                <m:sup>
                  <m:r>
                    <m:t>11</m:t>
                  </m:r>
                </m:sup>
                <m:e>
                  <m:r>
                    <m:t>M</m:t>
                  </m:r>
                </m:e>
              </m:nary>
            </m:e>
          </m:nary>
          <m:r>
            <m:t>P</m:t>
          </m:r>
          <m:sSub>
            <m:e>
              <m:r>
                <m:t>C</m:t>
              </m:r>
            </m:e>
            <m:sub>
              <m:r>
                <m:t>j</m:t>
              </m:r>
              <m:r>
                <m:rPr>
                  <m:sty m:val="p"/>
                </m:rPr>
                <m:t>,</m:t>
              </m:r>
              <m:r>
                <m:t>t</m:t>
              </m:r>
              <m:r>
                <m:rPr>
                  <m:sty m:val="p"/>
                </m:rPr>
                <m:t>−</m:t>
              </m:r>
              <m:r>
                <m:t>i</m:t>
              </m:r>
            </m:sub>
          </m:sSub>
          <m:sSub>
            <m:e>
              <m:r>
                <m:t>T</m:t>
              </m:r>
            </m:e>
            <m:sub>
              <m:r>
                <m:t>j</m:t>
              </m:r>
              <m:r>
                <m:rPr>
                  <m:sty m:val="p"/>
                </m:rPr>
                <m:t>,</m:t>
              </m:r>
              <m:r>
                <m:t>t</m:t>
              </m:r>
              <m:r>
                <m:rPr>
                  <m:sty m:val="p"/>
                </m:rPr>
                <m:t>−</m:t>
              </m:r>
              <m:r>
                <m:t>i</m:t>
              </m:r>
            </m:sub>
          </m:sSub>
        </m:oMath>
      </m:oMathPara>
    </w:p>
    <w:p>
      <w:pPr>
        <w:pStyle w:val="FirstParagraph"/>
      </w:pPr>
      <w:r>
        <w:t xml:space="preserve">Where</w:t>
      </w:r>
      <w:r>
        <w:t xml:space="preserve"> </w:t>
      </w:r>
      <m:oMath>
        <m:r>
          <m:t>M</m:t>
        </m:r>
        <m:r>
          <m:t>P</m:t>
        </m:r>
        <m:sSub>
          <m:e>
            <m:r>
              <m:t>C</m:t>
            </m:r>
          </m:e>
          <m:sub>
            <m:r>
              <m:t>j</m:t>
            </m:r>
            <m:r>
              <m:rPr>
                <m:sty m:val="p"/>
              </m:rPr>
              <m:t>,</m:t>
            </m:r>
            <m:r>
              <m:t>t</m:t>
            </m:r>
            <m:r>
              <m:rPr>
                <m:sty m:val="p"/>
              </m:rPr>
              <m:t>−</m:t>
            </m:r>
            <m:r>
              <m:t>i</m:t>
            </m:r>
          </m:sub>
        </m:sSub>
      </m:oMath>
      <w:r>
        <w:t xml:space="preserve"> </w:t>
      </w:r>
      <w:r>
        <w:t xml:space="preserve">is the appropriate MPC for tax or transfer payment</w:t>
      </w:r>
      <w:r>
        <w:t xml:space="preserve"> </w:t>
      </w:r>
      <m:oMath>
        <m:r>
          <m:t>j</m:t>
        </m:r>
      </m:oMath>
      <w:r>
        <w:t xml:space="preserve"> </w:t>
      </w:r>
      <w:r>
        <w:t xml:space="preserve">at lag</w:t>
      </w:r>
      <w:r>
        <w:t xml:space="preserve"> </w:t>
      </w:r>
      <m:oMath>
        <m:r>
          <m:t>i</m:t>
        </m:r>
      </m:oMath>
      <w:r>
        <w:t xml:space="preserve">. A table of assumed MPCs is provided in Table 1 below.</w:t>
      </w:r>
    </w:p>
    <w:p>
      <w:pPr>
        <w:pStyle w:val="BodyText"/>
      </w:pPr>
      <w:r>
        <w:t xml:space="preserve">Analogous to the purchases, the counterfactual level of a tax or transfer payment of kind</w:t>
      </w:r>
      <w:r>
        <w:t xml:space="preserve"> </w:t>
      </w:r>
      <m:oMath>
        <m:r>
          <m:t>j</m:t>
        </m:r>
      </m:oMath>
      <w:r>
        <w:t xml:space="preserve"> </w:t>
      </w:r>
      <w:r>
        <w:t xml:space="preserve">in quarter</w:t>
      </w:r>
      <w:r>
        <w:t xml:space="preserve"> </w:t>
      </w:r>
      <m:oMath>
        <m:r>
          <m:t>t</m:t>
        </m:r>
      </m:oMath>
      <w:r>
        <w:t xml:space="preserve"> </w:t>
      </w:r>
      <w:r>
        <w:t xml:space="preserve">is given by</w:t>
      </w:r>
    </w:p>
    <w:p>
      <w:pPr>
        <w:pStyle w:val="BodyText"/>
      </w:pPr>
      <m:oMathPara>
        <m:oMathParaPr>
          <m:jc m:val="center"/>
        </m:oMathParaPr>
        <m:oMath>
          <m:sSub>
            <m:e>
              <m:acc>
                <m:accPr>
                  <m:chr m:val="̃"/>
                </m:accPr>
                <m:e>
                  <m:r>
                    <m:t>T</m:t>
                  </m:r>
                </m:e>
              </m:acc>
            </m:e>
            <m:sub>
              <m:r>
                <m:t>j</m:t>
              </m:r>
              <m:r>
                <m:rPr>
                  <m:sty m:val="p"/>
                </m:rPr>
                <m:t>,</m:t>
              </m:r>
              <m:r>
                <m:t>t</m:t>
              </m:r>
            </m:sub>
          </m:sSub>
          <m:r>
            <m:rPr>
              <m:sty m:val="p"/>
            </m:rPr>
            <m:t>=</m:t>
          </m:r>
          <m:sSub>
            <m:e>
              <m:r>
                <m:t>T</m:t>
              </m:r>
            </m:e>
            <m:sub>
              <m:r>
                <m:t>j</m:t>
              </m:r>
              <m:r>
                <m:rPr>
                  <m:sty m:val="p"/>
                </m:rPr>
                <m:t>,</m:t>
              </m:r>
              <m:r>
                <m:t>t</m:t>
              </m:r>
              <m:r>
                <m:rPr>
                  <m:sty m:val="p"/>
                </m:rPr>
                <m:t>−</m:t>
              </m:r>
              <m:r>
                <m:t>1</m:t>
              </m:r>
            </m:sub>
          </m:sSub>
          <m:r>
            <m:rPr>
              <m:sty m:val="p"/>
            </m:rPr>
            <m:t>(</m:t>
          </m:r>
          <m:r>
            <m:t>1</m:t>
          </m:r>
          <m:r>
            <m:rPr>
              <m:sty m:val="p"/>
            </m:rPr>
            <m:t>+</m:t>
          </m:r>
          <m:sSub>
            <m:e>
              <m:r>
                <m:t>π</m:t>
              </m:r>
            </m:e>
            <m:sub>
              <m:r>
                <m:t>C</m:t>
              </m:r>
            </m:sub>
          </m:sSub>
          <m:r>
            <m:rPr>
              <m:sty m:val="p"/>
            </m:rPr>
            <m:t>+</m:t>
          </m:r>
          <m:r>
            <m:t>μ</m:t>
          </m:r>
          <m:r>
            <m:rPr>
              <m:sty m:val="p"/>
            </m:rPr>
            <m:t>)</m:t>
          </m:r>
        </m:oMath>
      </m:oMathPara>
    </w:p>
    <w:p>
      <w:pPr>
        <w:pStyle w:val="FirstParagraph"/>
      </w:pPr>
      <w:r>
        <w:t xml:space="preserve">Thus, the consumption due to taxes and transfer payments in excess of that which would be consistent with taxes and transfers growing with potential GDP can be written as</w:t>
      </w:r>
    </w:p>
    <w:p>
      <w:pPr>
        <w:pStyle w:val="BodyText"/>
      </w:pPr>
      <m:oMathPara>
        <m:oMathParaPr>
          <m:jc m:val="center"/>
        </m:oMathParaPr>
        <m:oMath>
          <m:sSubSup>
            <m:e>
              <m:r>
                <m:t>T</m:t>
              </m:r>
            </m:e>
            <m:sub>
              <m:r>
                <m:t>t</m:t>
              </m:r>
            </m:sub>
            <m:sup>
              <m:r>
                <m:t>C</m:t>
              </m:r>
            </m:sup>
          </m:sSubSup>
          <m:r>
            <m:rPr>
              <m:sty m:val="p"/>
            </m:rPr>
            <m:t>=</m:t>
          </m:r>
          <m:nary>
            <m:naryPr>
              <m:chr m:val="∑"/>
              <m:limLoc m:val="undOvr"/>
              <m:subHide m:val="0"/>
              <m:supHide m:val="0"/>
            </m:naryPr>
            <m:sub>
              <m:r>
                <m:t>j</m:t>
              </m:r>
              <m:r>
                <m:rPr>
                  <m:sty m:val="p"/>
                </m:rPr>
                <m:t>=</m:t>
              </m:r>
              <m:r>
                <m:t>1</m:t>
              </m:r>
            </m:sub>
            <m:sup>
              <m:r>
                <m:t>3</m:t>
              </m:r>
            </m:sup>
            <m:e>
              <m:nary>
                <m:naryPr>
                  <m:chr m:val="∑"/>
                  <m:limLoc m:val="undOvr"/>
                  <m:subHide m:val="0"/>
                  <m:supHide m:val="0"/>
                </m:naryPr>
                <m:sub>
                  <m:r>
                    <m:t>i</m:t>
                  </m:r>
                  <m:r>
                    <m:rPr>
                      <m:sty m:val="p"/>
                    </m:rPr>
                    <m:t>=</m:t>
                  </m:r>
                  <m:r>
                    <m:t>0</m:t>
                  </m:r>
                </m:sub>
                <m:sup>
                  <m:r>
                    <m:t>11</m:t>
                  </m:r>
                </m:sup>
                <m:e>
                  <m:r>
                    <m:t>M</m:t>
                  </m:r>
                </m:e>
              </m:nary>
            </m:e>
          </m:nary>
          <m:r>
            <m:t>P</m:t>
          </m:r>
          <m:sSub>
            <m:e>
              <m:r>
                <m:t>C</m:t>
              </m:r>
            </m:e>
            <m:sub>
              <m:r>
                <m:t>j</m:t>
              </m:r>
              <m:r>
                <m:rPr>
                  <m:sty m:val="p"/>
                </m:rPr>
                <m:t>,</m:t>
              </m:r>
              <m:r>
                <m:t>t</m:t>
              </m:r>
              <m:r>
                <m:rPr>
                  <m:sty m:val="p"/>
                </m:rPr>
                <m:t>−</m:t>
              </m:r>
              <m:r>
                <m:t>i</m:t>
              </m:r>
            </m:sub>
          </m:sSub>
          <m:d>
            <m:dPr>
              <m:begChr m:val="("/>
              <m:endChr m:val=")"/>
              <m:grow/>
            </m:dPr>
            <m:e>
              <m:sSub>
                <m:e>
                  <m:r>
                    <m:t>T</m:t>
                  </m:r>
                </m:e>
                <m:sub>
                  <m:r>
                    <m:t>j</m:t>
                  </m:r>
                  <m:r>
                    <m:rPr>
                      <m:sty m:val="p"/>
                    </m:rPr>
                    <m:t>,</m:t>
                  </m:r>
                  <m:r>
                    <m:t>t</m:t>
                  </m:r>
                  <m:r>
                    <m:rPr>
                      <m:sty m:val="p"/>
                    </m:rPr>
                    <m:t>−</m:t>
                  </m:r>
                  <m:r>
                    <m:t>i</m:t>
                  </m:r>
                </m:sub>
              </m:sSub>
              <m:r>
                <m:rPr>
                  <m:sty m:val="p"/>
                </m:rPr>
                <m:t>−</m:t>
              </m:r>
              <m:sSub>
                <m:e>
                  <m:acc>
                    <m:accPr>
                      <m:chr m:val="̃"/>
                    </m:accPr>
                    <m:e>
                      <m:r>
                        <m:t>T</m:t>
                      </m:r>
                    </m:e>
                  </m:acc>
                </m:e>
                <m:sub>
                  <m:r>
                    <m:t>j</m:t>
                  </m:r>
                  <m:r>
                    <m:rPr>
                      <m:sty m:val="p"/>
                    </m:rPr>
                    <m:t>,</m:t>
                  </m:r>
                  <m:r>
                    <m:t>t</m:t>
                  </m:r>
                  <m:r>
                    <m:rPr>
                      <m:sty m:val="p"/>
                    </m:rPr>
                    <m:t>−</m:t>
                  </m:r>
                  <m:r>
                    <m:t>i</m:t>
                  </m:r>
                </m:sub>
              </m:sSub>
            </m:e>
          </m:d>
        </m:oMath>
      </m:oMathPara>
    </w:p>
    <w:p>
      <w:pPr>
        <w:pStyle w:val="FirstParagraph"/>
      </w:pPr>
      <w:r>
        <w:t xml:space="preserve">Stepping back, note that the contribution of real consumption to GDP is just the growth rate of real consumption times the share of consumption in GDP:</w:t>
      </w:r>
    </w:p>
    <w:p>
      <w:pPr>
        <w:pStyle w:val="BodyText"/>
      </w:pPr>
      <m:oMathPara>
        <m:oMathParaPr>
          <m:jc m:val="center"/>
        </m:oMathParaPr>
        <m:oMath>
          <m:d>
            <m:dPr>
              <m:begChr m:val="("/>
              <m:endChr m:val=")"/>
              <m:grow/>
            </m:dPr>
            <m:e>
              <m:f>
                <m:fPr>
                  <m:type m:val="bar"/>
                </m:fPr>
                <m:num>
                  <m:sSub>
                    <m:e>
                      <m:r>
                        <m:t>C</m:t>
                      </m:r>
                    </m:e>
                    <m:sub>
                      <m:r>
                        <m:t>t</m:t>
                      </m:r>
                    </m:sub>
                  </m:sSub>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oMath>
      </m:oMathPara>
    </w:p>
    <w:p>
      <w:pPr>
        <w:pStyle w:val="FirstParagraph"/>
      </w:pPr>
      <w:r>
        <w:t xml:space="preserve">The fiscal impact of changes in taxes and transfers is measured as the difference between the realized contribution of consumption to real GDP growth and the contribution that would have occurred had the excess consumption</w:t>
      </w:r>
      <w:r>
        <w:t xml:space="preserve"> </w:t>
      </w:r>
      <m:oMath>
        <m:sSubSup>
          <m:e>
            <m:r>
              <m:t>T</m:t>
            </m:r>
          </m:e>
          <m:sub>
            <m:r>
              <m:t>t</m:t>
            </m:r>
          </m:sub>
          <m:sup>
            <m:r>
              <m:t>c</m:t>
            </m:r>
          </m:sup>
        </m:sSubSup>
      </m:oMath>
      <w:r>
        <w:t xml:space="preserve"> </w:t>
      </w:r>
      <w:r>
        <w:t xml:space="preserve">not occurred. The FIM for taxes and transfers can then be written as</w:t>
      </w:r>
      <w:r>
        <w:br/>
      </w:r>
    </w:p>
    <w:p>
      <w:pPr>
        <w:pStyle w:val="BodyText"/>
      </w:pPr>
      <m:oMathPara>
        <m:oMathParaPr>
          <m:jc m:val="center"/>
        </m:oMathParaPr>
        <m:oMath>
          <m:r>
            <m:t>F</m:t>
          </m:r>
          <m:r>
            <m:t>I</m:t>
          </m:r>
          <m:sSubSup>
            <m:e>
              <m:r>
                <m:t>M</m:t>
              </m:r>
            </m:e>
            <m:sub>
              <m:r>
                <m:t>t</m:t>
              </m:r>
            </m:sub>
            <m:sup>
              <m:r>
                <m:t>T</m:t>
              </m:r>
            </m:sup>
          </m:sSubSup>
          <m:r>
            <m:rPr>
              <m:sty m:val="p"/>
            </m:rPr>
            <m:t>=</m:t>
          </m:r>
          <m:d>
            <m:dPr>
              <m:begChr m:val="("/>
              <m:endChr m:val=")"/>
              <m:grow/>
            </m:dPr>
            <m:e>
              <m:f>
                <m:fPr>
                  <m:type m:val="bar"/>
                </m:fPr>
                <m:num>
                  <m:sSub>
                    <m:e>
                      <m:r>
                        <m:t>C</m:t>
                      </m:r>
                    </m:e>
                    <m:sub>
                      <m:r>
                        <m:t>t</m:t>
                      </m:r>
                    </m:sub>
                  </m:sSub>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r>
            <m:rPr>
              <m:sty m:val="p"/>
            </m:rPr>
            <m:t>−</m:t>
          </m:r>
          <m:d>
            <m:dPr>
              <m:begChr m:val="("/>
              <m:endChr m:val=")"/>
              <m:grow/>
            </m:dPr>
            <m:e>
              <m:f>
                <m:fPr>
                  <m:type m:val="bar"/>
                </m:fPr>
                <m:num>
                  <m:sSub>
                    <m:e>
                      <m:r>
                        <m:t>C</m:t>
                      </m:r>
                    </m:e>
                    <m:sub>
                      <m:r>
                        <m:t>t</m:t>
                      </m:r>
                    </m:sub>
                  </m:sSub>
                  <m:r>
                    <m:rPr>
                      <m:sty m:val="p"/>
                    </m:rPr>
                    <m:t>−</m:t>
                  </m:r>
                  <m:sSubSup>
                    <m:e>
                      <m:r>
                        <m:t>T</m:t>
                      </m:r>
                    </m:e>
                    <m:sub>
                      <m:r>
                        <m:t>t</m:t>
                      </m:r>
                    </m:sub>
                    <m:sup>
                      <m:r>
                        <m:t>C</m:t>
                      </m:r>
                    </m:sup>
                  </m:sSubSup>
                </m:num>
                <m:den>
                  <m:sSub>
                    <m:e>
                      <m:r>
                        <m:t>C</m:t>
                      </m:r>
                    </m:e>
                    <m:sub>
                      <m:r>
                        <m:t>t</m:t>
                      </m:r>
                      <m:r>
                        <m:rPr>
                          <m:sty m:val="p"/>
                        </m:rPr>
                        <m:t>−</m:t>
                      </m:r>
                      <m:r>
                        <m:t>1</m:t>
                      </m:r>
                    </m:sub>
                  </m:sSub>
                </m:den>
              </m:f>
              <m:r>
                <m:rPr>
                  <m:sty m:val="p"/>
                </m:rPr>
                <m:t>−</m:t>
              </m:r>
              <m:r>
                <m:rPr>
                  <m:sty m:val="p"/>
                </m:rPr>
                <m:t>(</m:t>
              </m:r>
              <m:r>
                <m:t>1</m:t>
              </m:r>
              <m:r>
                <m:rPr>
                  <m:sty m:val="p"/>
                </m:rPr>
                <m:t>+</m:t>
              </m:r>
              <m:sSub>
                <m:e>
                  <m:r>
                    <m:t>π</m:t>
                  </m:r>
                </m:e>
                <m:sub>
                  <m:r>
                    <m:t>C</m:t>
                  </m:r>
                </m:sub>
              </m:sSub>
              <m:r>
                <m:rPr>
                  <m:sty m:val="p"/>
                </m:rPr>
                <m:t>)</m:t>
              </m:r>
            </m:e>
          </m:d>
          <m:f>
            <m:fPr>
              <m:type m:val="bar"/>
            </m:fPr>
            <m:num>
              <m:sSub>
                <m:e>
                  <m:r>
                    <m:t>C</m:t>
                  </m:r>
                </m:e>
                <m:sub>
                  <m:r>
                    <m:t>t</m:t>
                  </m:r>
                  <m:r>
                    <m:rPr>
                      <m:sty m:val="p"/>
                    </m:rPr>
                    <m:t>−</m:t>
                  </m:r>
                  <m:r>
                    <m:t>1</m:t>
                  </m:r>
                </m:sub>
              </m:sSub>
            </m:num>
            <m:den>
              <m:sSub>
                <m:e>
                  <m:r>
                    <m:t>Y</m:t>
                  </m:r>
                </m:e>
                <m:sub>
                  <m:r>
                    <m:t>t</m:t>
                  </m:r>
                  <m:r>
                    <m:rPr>
                      <m:sty m:val="p"/>
                    </m:rPr>
                    <m:t>−</m:t>
                  </m:r>
                  <m:r>
                    <m:t>1</m:t>
                  </m:r>
                </m:sub>
              </m:sSub>
            </m:den>
          </m:f>
        </m:oMath>
      </m:oMathPara>
    </w:p>
    <w:p>
      <w:pPr>
        <w:pStyle w:val="FirstParagraph"/>
      </w:pPr>
      <w:r>
        <w:t xml:space="preserve">Which simplifies to:</w:t>
      </w:r>
    </w:p>
    <w:p>
      <w:pPr>
        <w:pStyle w:val="BodyText"/>
      </w:pPr>
      <m:oMathPara>
        <m:oMathParaPr>
          <m:jc m:val="center"/>
        </m:oMathParaPr>
        <m:oMath>
          <m:r>
            <m:t>F</m:t>
          </m:r>
          <m:r>
            <m:t>I</m:t>
          </m:r>
          <m:sSubSup>
            <m:e>
              <m:r>
                <m:t>M</m:t>
              </m:r>
            </m:e>
            <m:sub>
              <m:r>
                <m:t>t</m:t>
              </m:r>
            </m:sub>
            <m:sup>
              <m:r>
                <m:t>T</m:t>
              </m:r>
            </m:sup>
          </m:sSubSup>
          <m:r>
            <m:rPr>
              <m:sty m:val="p"/>
            </m:rPr>
            <m:t>=</m:t>
          </m:r>
          <m:f>
            <m:fPr>
              <m:type m:val="bar"/>
            </m:fPr>
            <m:num>
              <m:sSubSup>
                <m:e>
                  <m:r>
                    <m:t>T</m:t>
                  </m:r>
                </m:e>
                <m:sub>
                  <m:r>
                    <m:t>t</m:t>
                  </m:r>
                </m:sub>
                <m:sup>
                  <m:r>
                    <m:t>C</m:t>
                  </m:r>
                </m:sup>
              </m:sSubSup>
            </m:num>
            <m:den>
              <m:sSub>
                <m:e>
                  <m:r>
                    <m:t>Y</m:t>
                  </m:r>
                </m:e>
                <m:sub>
                  <m:r>
                    <m:t>t</m:t>
                  </m:r>
                  <m:r>
                    <m:rPr>
                      <m:sty m:val="p"/>
                    </m:rPr>
                    <m:t>−</m:t>
                  </m:r>
                  <m:r>
                    <m:t>1</m:t>
                  </m:r>
                </m:sub>
              </m:sSub>
            </m:den>
          </m:f>
        </m:oMath>
      </m:oMathPara>
    </w:p>
    <w:p>
      <w:pPr>
        <w:pStyle w:val="FirstParagraph"/>
      </w:pPr>
      <w:r>
        <w:t xml:space="preserve">Summing together the impacts of taxes, transfers, and purchases, we define the total FIM as</w:t>
      </w:r>
    </w:p>
    <w:p>
      <w:pPr>
        <w:pStyle w:val="BodyText"/>
      </w:pPr>
      <m:oMathPara>
        <m:oMathParaPr>
          <m:jc m:val="center"/>
        </m:oMathParaPr>
        <m:oMath>
          <m:r>
            <m:t>F</m:t>
          </m:r>
          <m:r>
            <m:t>I</m:t>
          </m:r>
          <m:sSub>
            <m:e>
              <m:r>
                <m:t>M</m:t>
              </m:r>
            </m:e>
            <m:sub>
              <m:r>
                <m:t>t</m:t>
              </m:r>
            </m:sub>
          </m:sSub>
          <m:r>
            <m:rPr>
              <m:sty m:val="p"/>
            </m:rPr>
            <m:t>=</m:t>
          </m:r>
          <m:f>
            <m:fPr>
              <m:type m:val="bar"/>
            </m:fPr>
            <m:num>
              <m:sSub>
                <m:e>
                  <m:r>
                    <m:t>G</m:t>
                  </m:r>
                </m:e>
                <m:sub>
                  <m:r>
                    <m:t>t</m:t>
                  </m:r>
                </m:sub>
              </m:sSub>
              <m:r>
                <m:rPr>
                  <m:sty m:val="p"/>
                </m:rPr>
                <m:t>−</m:t>
              </m:r>
              <m:r>
                <m:rPr>
                  <m:sty m:val="p"/>
                </m:rPr>
                <m:t>(</m:t>
              </m:r>
              <m:r>
                <m:t>1</m:t>
              </m:r>
              <m:r>
                <m:rPr>
                  <m:sty m:val="p"/>
                </m:rPr>
                <m:t>+</m:t>
              </m:r>
              <m:sSub>
                <m:e>
                  <m:r>
                    <m:t>π</m:t>
                  </m:r>
                </m:e>
                <m:sub>
                  <m:r>
                    <m:t>G</m:t>
                  </m:r>
                </m:sub>
              </m:sSub>
              <m:r>
                <m:rPr>
                  <m:sty m:val="p"/>
                </m:rPr>
                <m:t>+</m:t>
              </m:r>
              <m:r>
                <m:t>μ</m:t>
              </m:r>
              <m:r>
                <m:rPr>
                  <m:sty m:val="p"/>
                </m:rPr>
                <m:t>)</m:t>
              </m:r>
              <m:sSub>
                <m:e>
                  <m:r>
                    <m:t>G</m:t>
                  </m:r>
                </m:e>
                <m:sub>
                  <m:r>
                    <m:t>t</m:t>
                  </m:r>
                  <m:r>
                    <m:rPr>
                      <m:sty m:val="p"/>
                    </m:rPr>
                    <m:t>−</m:t>
                  </m:r>
                  <m:r>
                    <m:t>1</m:t>
                  </m:r>
                </m:sub>
              </m:sSub>
              <m:r>
                <m:rPr>
                  <m:sty m:val="p"/>
                </m:rPr>
                <m:t>+</m:t>
              </m:r>
              <m:sSubSup>
                <m:e>
                  <m:r>
                    <m:t>T</m:t>
                  </m:r>
                </m:e>
                <m:sub>
                  <m:r>
                    <m:t>t</m:t>
                  </m:r>
                </m:sub>
                <m:sup>
                  <m:r>
                    <m:t>C</m:t>
                  </m:r>
                </m:sup>
              </m:sSubSup>
            </m:num>
            <m:den>
              <m:sSub>
                <m:e>
                  <m:r>
                    <m:t>Y</m:t>
                  </m:r>
                </m:e>
                <m:sub>
                  <m:r>
                    <m:t>t</m:t>
                  </m:r>
                  <m:r>
                    <m:rPr>
                      <m:sty m:val="p"/>
                    </m:rPr>
                    <m:t>−</m:t>
                  </m:r>
                  <m:r>
                    <m:t>1</m:t>
                  </m:r>
                </m:sub>
              </m:sSub>
            </m:den>
          </m:f>
        </m:oMath>
      </m:oMathPara>
    </w:p>
    <w:p>
      <w:pPr>
        <w:pStyle w:val="FirstParagraph"/>
      </w:pPr>
    </w:p>
    <w:bookmarkEnd w:id="22"/>
    <w:bookmarkStart w:id="23" w:name="Xbd243b63f3a5d0caa93de0b2d34dba33b8dee25"/>
    <w:p>
      <w:pPr>
        <w:pStyle w:val="Heading2"/>
      </w:pPr>
      <w:r>
        <w:rPr>
          <w:bCs/>
          <w:b/>
        </w:rPr>
        <w:t xml:space="preserve">How does the FIM differ from the National Income and Product Accounts?</w:t>
      </w:r>
    </w:p>
    <w:p>
      <w:pPr>
        <w:pStyle w:val="FirstParagraph"/>
      </w:pPr>
      <w:r>
        <w:t xml:space="preserve">Each quarter, BEA measures how much federal, state, and local governments spend on goods and services and reports what contribution those expenditures made to the headline GDP number (see Table 1.1.2 in the GDP release, for example).</w:t>
      </w:r>
      <w:r>
        <w:t xml:space="preserve"> </w:t>
      </w:r>
      <w:r>
        <w:t xml:space="preserve">The FIM is related to this measure, but estimates instead the contribution that government policies are making to GDP beyond the contribution they would make if they were growing in line with the longer-run, potential path of the economy.</w:t>
      </w:r>
      <w:r>
        <w:t xml:space="preserve"> </w:t>
      </w:r>
      <w:r>
        <w:t xml:space="preserve">Therefore, the FIM can be interpreted as a measure of how expansionary or contractionary fiscal policy is relative to the potential path of the economy.</w:t>
      </w:r>
    </w:p>
    <w:p>
      <w:pPr>
        <w:pStyle w:val="BodyText"/>
      </w:pPr>
      <w:r>
        <w:t xml:space="preserve">In the BEA’s National Income and Product Accounts (NIPA), government spending is attributed to the level of government that spends the money rather than to the level of government that finances the spending.</w:t>
      </w:r>
      <w:r>
        <w:t xml:space="preserve"> </w:t>
      </w:r>
      <w:r>
        <w:t xml:space="preserve">To better attribute spending to the entity that made the policy decision, we reallocate to the federal government state and local spending that is financed by the federal government. </w:t>
      </w:r>
    </w:p>
    <w:p>
      <w:pPr>
        <w:pStyle w:val="BodyText"/>
      </w:pPr>
      <w:r>
        <w:t xml:space="preserve">In particular, we use data on the federal share of Medicaid spending to split Medicaid expenditures into federal and state expenditures and to categorize the remainder of federal grants to states (i.e., for purposes other than Medicaid) as federal purchases.</w:t>
      </w:r>
    </w:p>
    <w:p>
      <w:pPr>
        <w:pStyle w:val="BodyText"/>
      </w:pPr>
      <w:r>
        <w:t xml:space="preserve">Moreover, we spread out the $150 billion Coronavirus Relief Fund established by the CARES Act to reflect our assumptions on when state &amp; local governments will spend these funds.</w:t>
      </w:r>
    </w:p>
    <w:bookmarkEnd w:id="23"/>
    <w:bookmarkStart w:id="25" w:name="data"/>
    <w:p>
      <w:pPr>
        <w:pStyle w:val="Heading2"/>
      </w:pPr>
      <w:r>
        <w:rPr>
          <w:bCs/>
          <w:b/>
        </w:rPr>
        <w:t xml:space="preserve">Data</w:t>
      </w:r>
    </w:p>
    <w:p>
      <w:pPr>
        <w:pStyle w:val="FirstParagraph"/>
      </w:pPr>
      <w:r>
        <w:t xml:space="preserve">Most of the data are from the the BEA’s</w:t>
      </w:r>
      <w:r>
        <w:t xml:space="preserve"> </w:t>
      </w:r>
      <w:hyperlink r:id="rId24">
        <w:r>
          <w:rPr>
            <w:rStyle w:val="Hyperlink"/>
          </w:rPr>
          <w:t xml:space="preserve">NIPA tables</w:t>
        </w:r>
      </w:hyperlink>
      <w:r>
        <w:t xml:space="preserve">.</w:t>
      </w:r>
      <w:r>
        <w:t xml:space="preserve"> </w:t>
      </w:r>
      <w:r>
        <w:t xml:space="preserve">Apart from the NIPA data, we use the Congressional Budget Office’s (CBO) economic and budget projections to inform our forecasts.</w:t>
      </w:r>
    </w:p>
    <w:bookmarkEnd w:id="25"/>
    <w:bookmarkStart w:id="26" w:name="beas-methodology"/>
    <w:p>
      <w:pPr>
        <w:pStyle w:val="Heading2"/>
      </w:pPr>
      <w:r>
        <w:rPr>
          <w:bCs/>
          <w:b/>
        </w:rPr>
        <w:t xml:space="preserve">BEA’s Methodology</w:t>
      </w:r>
    </w:p>
    <w:p>
      <w:pPr>
        <w:pStyle w:val="FirstParagraph"/>
      </w:pPr>
      <w:r>
        <w:t xml:space="preserve">The contribution of purchases consistent with the BEA’s methodology is calculated as</w:t>
      </w:r>
    </w:p>
    <w:p>
      <w:pPr>
        <w:pStyle w:val="BodyText"/>
      </w:pPr>
      <m:oMathPara>
        <m:oMathParaPr>
          <m:jc m:val="center"/>
        </m:oMathParaPr>
        <m:oMath>
          <m:f>
            <m:fPr>
              <m:type m:val="bar"/>
            </m:fPr>
            <m:num>
              <m:sSub>
                <m:e>
                  <m:r>
                    <m:t>G</m:t>
                  </m:r>
                </m:e>
                <m:sub>
                  <m:r>
                    <m:t>i</m:t>
                  </m:r>
                  <m:r>
                    <m:rPr>
                      <m:sty m:val="p"/>
                    </m:rPr>
                    <m:t>,</m:t>
                  </m:r>
                  <m:r>
                    <m:t>t</m:t>
                  </m:r>
                </m:sub>
              </m:sSub>
              <m:r>
                <m:rPr>
                  <m:sty m:val="p"/>
                </m:rPr>
                <m:t>−</m:t>
              </m:r>
              <m:sSub>
                <m:e>
                  <m:r>
                    <m:t>G</m:t>
                  </m:r>
                </m:e>
                <m:sub>
                  <m:r>
                    <m:t>i</m:t>
                  </m:r>
                  <m:r>
                    <m:rPr>
                      <m:sty m:val="p"/>
                    </m:rPr>
                    <m:t>,</m:t>
                  </m:r>
                  <m:r>
                    <m:t>t</m:t>
                  </m:r>
                  <m:r>
                    <m:rPr>
                      <m:sty m:val="p"/>
                    </m:rPr>
                    <m:t>−</m:t>
                  </m:r>
                  <m:r>
                    <m:t>1</m:t>
                  </m:r>
                </m:sub>
              </m:sSub>
              <m:r>
                <m:rPr>
                  <m:sty m:val="p"/>
                </m:rPr>
                <m:t>×</m:t>
              </m:r>
              <m:r>
                <m:rPr>
                  <m:sty m:val="p"/>
                </m:rPr>
                <m:t>(</m:t>
              </m:r>
              <m:r>
                <m:t>1</m:t>
              </m:r>
              <m:r>
                <m:rPr>
                  <m:sty m:val="p"/>
                </m:rPr>
                <m:t>+</m:t>
              </m:r>
              <m:sSub>
                <m:e>
                  <m:r>
                    <m:t>π</m:t>
                  </m:r>
                </m:e>
                <m:sub>
                  <m:r>
                    <m:t>i</m:t>
                  </m:r>
                  <m:r>
                    <m:rPr>
                      <m:sty m:val="p"/>
                    </m:rPr>
                    <m:t>,</m:t>
                  </m:r>
                  <m:r>
                    <m:t>t</m:t>
                  </m:r>
                </m:sub>
              </m:sSub>
              <m:r>
                <m:rPr>
                  <m:sty m:val="p"/>
                </m:rPr>
                <m:t>)</m:t>
              </m:r>
            </m:num>
            <m:den>
              <m:sSub>
                <m:e>
                  <m:r>
                    <m:t>Y</m:t>
                  </m:r>
                </m:e>
                <m:sub>
                  <m:r>
                    <m:t>t</m:t>
                  </m:r>
                  <m:r>
                    <m:rPr>
                      <m:sty m:val="p"/>
                    </m:rPr>
                    <m:t>−</m:t>
                  </m:r>
                  <m:r>
                    <m:t>1</m:t>
                  </m:r>
                </m:sub>
              </m:sSub>
            </m:den>
          </m:f>
        </m:oMath>
      </m:oMathPara>
    </w:p>
    <w:p>
      <w:pPr>
        <w:pStyle w:val="FirstParagraph"/>
      </w:pPr>
      <m:oMathPara>
        <m:oMathParaPr>
          <m:jc m:val="center"/>
        </m:oMathParaPr>
        <m:oMath>
          <m:r>
            <m:rPr>
              <m:nor/>
              <m:sty m:val="p"/>
            </m:rPr>
            <m:t>where </m:t>
          </m:r>
          <m:r>
            <m:t>i</m:t>
          </m:r>
          <m:r>
            <m:rPr>
              <m:sty m:val="p"/>
            </m:rPr>
            <m:t>=</m:t>
          </m:r>
          <m:r>
            <m:rPr>
              <m:nor/>
              <m:sty m:val="p"/>
            </m:rPr>
            <m:t>Federal purchases, state purchases, federal grants</m:t>
          </m:r>
        </m:oMath>
      </m:oMathPara>
    </w:p>
    <w:p>
      <w:pPr>
        <w:pStyle w:val="FirstParagraph"/>
      </w:pPr>
      <w:r>
        <w:t xml:space="preserve">. We could compute this in</w:t>
      </w:r>
      <w:r>
        <w:t xml:space="preserve"> </w:t>
      </w:r>
      <w:r>
        <w:rPr>
          <w:rStyle w:val="VerbatimChar"/>
        </w:rPr>
        <w:t xml:space="preserve">R</w:t>
      </w:r>
      <w:r>
        <w:t xml:space="preserve"> </w:t>
      </w:r>
      <w:r>
        <w:t xml:space="preserve">as follows: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rPr>
          <w:rStyle w:val="FunctionTok"/>
        </w:rPr>
        <w:t xml:space="preserve">over</w:t>
      </w:r>
      <w:r>
        <w:rPr>
          <w:rStyle w:val="NormalTok"/>
        </w:rPr>
        <w:t xml:space="preserve">(</w:t>
      </w:r>
      <w:r>
        <w:rPr>
          <w:rStyle w:val="FunctionTok"/>
        </w:rPr>
        <w:t xml:space="preserve">c</w:t>
      </w:r>
      <w:r>
        <w:rPr>
          <w:rStyle w:val="NormalTok"/>
        </w:rPr>
        <w:t xml:space="preserve">(</w:t>
      </w:r>
      <w:r>
        <w:rPr>
          <w:rStyle w:val="StringTok"/>
        </w:rPr>
        <w:t xml:space="preserve">'federal_purchases'</w:t>
      </w:r>
      <w:r>
        <w:rPr>
          <w:rStyle w:val="NormalTok"/>
        </w:rPr>
        <w:t xml:space="preserve">, </w:t>
      </w:r>
      <w:r>
        <w:br/>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br/>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w:t>
      </w:r>
    </w:p>
    <w:bookmarkEnd w:id="26"/>
    <w:bookmarkStart w:id="27" w:name="hutchins-methodology"/>
    <w:p>
      <w:pPr>
        <w:pStyle w:val="Heading2"/>
      </w:pPr>
      <w:r>
        <w:rPr>
          <w:bCs/>
          <w:b/>
        </w:rPr>
        <w:t xml:space="preserve">Hutchins Methodology</w:t>
      </w:r>
    </w:p>
    <w:p>
      <w:pPr>
        <w:pStyle w:val="FirstParagraph"/>
      </w:pPr>
      <w:r>
        <w:t xml:space="preserve">The FIM’s contributions differ slightly because we estimate the contribution of government policies to GDP relative to the contribution they would make if they were growing at the same rate as the potential path of the economy.</w:t>
      </w:r>
    </w:p>
    <w:p>
      <w:pPr>
        <w:pStyle w:val="BodyText"/>
      </w:pPr>
      <w:r>
        <w:t xml:space="preserve">Recall that the FIM for purchases is defined as</w:t>
      </w:r>
    </w:p>
    <w:p>
      <w:pPr>
        <w:pStyle w:val="BodyText"/>
      </w:pPr>
      <m:oMathPara>
        <m:oMathParaPr>
          <m:jc m:val="center"/>
        </m:oMathParaPr>
        <m:oMath>
          <m:r>
            <m:t>F</m:t>
          </m:r>
          <m:r>
            <m:t>I</m:t>
          </m:r>
          <m:sSubSup>
            <m:e>
              <m:r>
                <m:t>M</m:t>
              </m:r>
            </m:e>
            <m:sub>
              <m:r>
                <m:t>t</m:t>
              </m:r>
            </m:sub>
            <m:sup>
              <m:r>
                <m:t>G</m:t>
              </m:r>
            </m:sup>
          </m:sSubSup>
          <m:r>
            <m:rPr>
              <m:sty m:val="p"/>
            </m:rPr>
            <m:t>=</m:t>
          </m:r>
          <m:f>
            <m:fPr>
              <m:type m:val="bar"/>
            </m:fPr>
            <m:num>
              <m:sSub>
                <m:e>
                  <m:r>
                    <m:t>G</m:t>
                  </m:r>
                </m:e>
                <m:sub>
                  <m:r>
                    <m:t>t</m:t>
                  </m:r>
                </m:sub>
              </m:sSub>
              <m:r>
                <m:rPr>
                  <m:sty m:val="p"/>
                </m:rPr>
                <m:t>−</m:t>
              </m:r>
              <m:sSub>
                <m:e>
                  <m:r>
                    <m:t>G</m:t>
                  </m:r>
                </m:e>
                <m:sub>
                  <m:r>
                    <m:t>t</m:t>
                  </m:r>
                  <m:r>
                    <m:rPr>
                      <m:sty m:val="p"/>
                    </m:rPr>
                    <m:t>−</m:t>
                  </m:r>
                  <m:r>
                    <m:t>1</m:t>
                  </m:r>
                </m:sub>
              </m:sSub>
              <m:r>
                <m:rPr>
                  <m:sty m:val="p"/>
                </m:rPr>
                <m:t>×</m:t>
              </m:r>
              <m:d>
                <m:dPr>
                  <m:begChr m:val="("/>
                  <m:endChr m:val=")"/>
                  <m:grow/>
                </m:dPr>
                <m:e>
                  <m:r>
                    <m:t>1</m:t>
                  </m:r>
                  <m:r>
                    <m:rPr>
                      <m:sty m:val="p"/>
                    </m:rPr>
                    <m:t>+</m:t>
                  </m:r>
                  <m:sSub>
                    <m:e>
                      <m:r>
                        <m:t>π</m:t>
                      </m:r>
                    </m:e>
                    <m:sub>
                      <m:r>
                        <m:t>G</m:t>
                      </m:r>
                    </m:sub>
                  </m:sSub>
                  <m:r>
                    <m:rPr>
                      <m:sty m:val="p"/>
                    </m:rPr>
                    <m:t>+</m:t>
                  </m:r>
                  <m:r>
                    <m:t>μ</m:t>
                  </m:r>
                </m:e>
              </m:d>
            </m:num>
            <m:den>
              <m:sSub>
                <m:e>
                  <m:r>
                    <m:t>Y</m:t>
                  </m:r>
                </m:e>
                <m:sub>
                  <m:r>
                    <m:t>t</m:t>
                  </m:r>
                  <m:r>
                    <m:rPr>
                      <m:sty m:val="p"/>
                    </m:rPr>
                    <m:t>−</m:t>
                  </m:r>
                  <m:r>
                    <m:t>1</m:t>
                  </m:r>
                </m:sub>
              </m:sSub>
            </m:den>
          </m:f>
        </m:oMath>
      </m:oMathPara>
    </w:p>
    <w:p>
      <w:pPr>
        <w:pStyle w:val="SourceCode"/>
      </w:pPr>
      <w:r>
        <w:rPr>
          <w:rStyle w:val="NormalTok"/>
        </w:rPr>
        <w:t xml:space="preserve">  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over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'federal_purchases'</w:t>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rPr>
          <w:rStyle w:val="SpecialCharTok"/>
        </w:rPr>
        <w:t xml:space="preserve">+</w:t>
      </w:r>
      <w:r>
        <w:rPr>
          <w:rStyle w:val="NormalTok"/>
        </w:rPr>
        <w:t xml:space="preserve"> real_potential_gdp_growth))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 </w:t>
      </w:r>
    </w:p>
    <w:p>
      <w:pPr>
        <w:pStyle w:val="FirstParagraph"/>
      </w:pPr>
      <w:r>
        <w:t xml:space="preserve">Finally, we reallocate the contribution of federal grants to federal purchases and subtract them from the contribution of state purchases.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grants_contribution =</w:t>
      </w:r>
      <w:r>
        <w:rPr>
          <w:rStyle w:val="NormalTok"/>
        </w:rPr>
        <w:t xml:space="preserve"> consumption_grants_net_contribution </w:t>
      </w:r>
      <w:r>
        <w:rPr>
          <w:rStyle w:val="SpecialCharTok"/>
        </w:rPr>
        <w:t xml:space="preserve">+</w:t>
      </w:r>
      <w:r>
        <w:rPr>
          <w:rStyle w:val="NormalTok"/>
        </w:rPr>
        <w:t xml:space="preserve"> investment_grants_contribution,</w:t>
      </w:r>
      <w:r>
        <w:br/>
      </w:r>
      <w:r>
        <w:rPr>
          <w:rStyle w:val="NormalTok"/>
        </w:rPr>
        <w:t xml:space="preserve">    </w:t>
      </w:r>
      <w:r>
        <w:rPr>
          <w:rStyle w:val="AttributeTok"/>
        </w:rPr>
        <w:t xml:space="preserve">federal_contribution =</w:t>
      </w:r>
      <w:r>
        <w:rPr>
          <w:rStyle w:val="NormalTok"/>
        </w:rPr>
        <w:t xml:space="preserve"> federal_purchases_contribution </w:t>
      </w:r>
      <w:r>
        <w:rPr>
          <w:rStyle w:val="SpecialCharTok"/>
        </w:rPr>
        <w:t xml:space="preserve">+</w:t>
      </w:r>
      <w:r>
        <w:rPr>
          <w:rStyle w:val="NormalTok"/>
        </w:rPr>
        <w:t xml:space="preserve"> grants_contribution,</w:t>
      </w:r>
      <w:r>
        <w:br/>
      </w:r>
      <w:r>
        <w:rPr>
          <w:rStyle w:val="NormalTok"/>
        </w:rPr>
        <w:t xml:space="preserve">    </w:t>
      </w:r>
      <w:r>
        <w:rPr>
          <w:rStyle w:val="AttributeTok"/>
        </w:rPr>
        <w:t xml:space="preserve">state_contribution =</w:t>
      </w:r>
      <w:r>
        <w:rPr>
          <w:rStyle w:val="NormalTok"/>
        </w:rPr>
        <w:t xml:space="preserve"> state_purchases_contribution </w:t>
      </w:r>
      <w:r>
        <w:rPr>
          <w:rStyle w:val="SpecialCharTok"/>
        </w:rPr>
        <w:t xml:space="preserve">-</w:t>
      </w:r>
      <w:r>
        <w:rPr>
          <w:rStyle w:val="NormalTok"/>
        </w:rPr>
        <w:t xml:space="preserve"> grants_contribution</w:t>
      </w:r>
      <w:r>
        <w:br/>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s.bea.gov/iTable/iTable.cfm?reqid=19&amp;step=2#reqid=19&amp;step=2&amp;isuri=1&amp;1921=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s://apps.bea.gov/iTable/iTable.cfm?reqid=19&amp;step=2#reqid=19&amp;step=2&amp;isuri=1&amp;1921=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NIPA Consistent Fiscal Impact Measure Walkthrough</dc:title>
  <dc:creator>Manuel Alcala Kovalski</dc:creator>
  <cp:keywords/>
  <dcterms:created xsi:type="dcterms:W3CDTF">2021-09-03T16:31:57Z</dcterms:created>
  <dcterms:modified xsi:type="dcterms:W3CDTF">2021-09-03T16:31:57Z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2021-09-03</vt:lpwstr>
  </property>
  <property fmtid="{D5CDD505-2E9C-101B-9397-08002B2CF9AE}" pid="4" name="output">
    <vt:lpwstr/>
  </property>
  <property fmtid="{D5CDD505-2E9C-101B-9397-08002B2CF9AE}" pid="5" name="toc-title">
    <vt:lpwstr>Table of Contents</vt:lpwstr>
  </property>
  <property fmtid="{D5CDD505-2E9C-101B-9397-08002B2CF9AE}" pid="6" name="vignette">
    <vt:lpwstr>% % %</vt:lpwstr>
  </property>
</Properties>
</file>