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305588B" w:rsidR="00AC2E97" w:rsidRDefault="00AC2E97" w:rsidP="00C13F28">
            <w:pPr>
              <w:jc w:val="center"/>
              <w:rPr>
                <w:sz w:val="28"/>
              </w:rPr>
            </w:pPr>
            <w:r>
              <w:rPr>
                <w:sz w:val="28"/>
              </w:rPr>
              <w:t xml:space="preserve">Machine </w:t>
            </w:r>
            <w:r w:rsidR="00DD0B02">
              <w:rPr>
                <w:sz w:val="28"/>
              </w:rPr>
              <w:t>Learning</w:t>
            </w:r>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635914B0" w:rsidR="00AC2E97" w:rsidRDefault="00AC2E97" w:rsidP="00C13F28">
            <w:pPr>
              <w:jc w:val="center"/>
              <w:rPr>
                <w:sz w:val="40"/>
              </w:rPr>
            </w:pPr>
            <w:r>
              <w:rPr>
                <w:sz w:val="40"/>
              </w:rPr>
              <w:t xml:space="preserve">Projet de Machine </w:t>
            </w:r>
            <w:r w:rsidR="00DD0B02">
              <w:rPr>
                <w:sz w:val="40"/>
              </w:rPr>
              <w:t>Learning</w:t>
            </w:r>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35B21ACC"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5E1AEC71" w14:textId="3177B803"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602CA47" w14:textId="6A124543"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282B56DC" w14:textId="77777777" w:rsidR="009D7BFB" w:rsidRDefault="006453E3" w:rsidP="001A6140">
      <w:pPr>
        <w:jc w:val="both"/>
        <w:rPr>
          <w:noProof/>
        </w:rPr>
      </w:pPr>
      <w:r w:rsidRPr="00B636D2">
        <w:rPr>
          <w:rFonts w:ascii="Times New Roman" w:hAnsi="Times New Roman" w:cs="Times New Roman"/>
          <w:sz w:val="24"/>
          <w:szCs w:val="24"/>
        </w:rPr>
        <w:t xml:space="preserve"> </w:t>
      </w:r>
    </w:p>
    <w:p w14:paraId="177324A9" w14:textId="77777777" w:rsidR="009D7BFB" w:rsidRDefault="003F5B8F" w:rsidP="009D7BFB">
      <w:pPr>
        <w:keepNext/>
        <w:jc w:val="both"/>
      </w:pPr>
      <w:r>
        <w:rPr>
          <w:noProof/>
        </w:rPr>
        <w:lastRenderedPageBreak/>
        <w:drawing>
          <wp:inline distT="0" distB="0" distL="0" distR="0" wp14:anchorId="72FC1FDE" wp14:editId="4353ADEE">
            <wp:extent cx="47148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078" t="13510" r="7077" b="14694"/>
                    <a:stretch/>
                  </pic:blipFill>
                  <pic:spPr bwMode="auto">
                    <a:xfrm>
                      <a:off x="0" y="0"/>
                      <a:ext cx="4714875" cy="3543300"/>
                    </a:xfrm>
                    <a:prstGeom prst="rect">
                      <a:avLst/>
                    </a:prstGeom>
                    <a:ln>
                      <a:noFill/>
                    </a:ln>
                    <a:extLst>
                      <a:ext uri="{53640926-AAD7-44D8-BBD7-CCE9431645EC}">
                        <a14:shadowObscured xmlns:a14="http://schemas.microsoft.com/office/drawing/2010/main"/>
                      </a:ext>
                    </a:extLst>
                  </pic:spPr>
                </pic:pic>
              </a:graphicData>
            </a:graphic>
          </wp:inline>
        </w:drawing>
      </w:r>
    </w:p>
    <w:p w14:paraId="49CAA032" w14:textId="41E583A8" w:rsidR="00D32DAD" w:rsidRPr="00E24110" w:rsidRDefault="009D7BFB" w:rsidP="00E24110">
      <w:pPr>
        <w:pStyle w:val="Lgende"/>
        <w:jc w:val="both"/>
        <w:rPr>
          <w:rFonts w:ascii="Times New Roman" w:hAnsi="Times New Roman" w:cs="Times New Roman"/>
          <w:sz w:val="24"/>
          <w:szCs w:val="24"/>
        </w:rPr>
      </w:pPr>
      <w:r w:rsidRPr="009D7BFB">
        <w:rPr>
          <w:sz w:val="24"/>
          <w:szCs w:val="24"/>
        </w:rPr>
        <w:t xml:space="preserve">Figure </w:t>
      </w:r>
      <w:r w:rsidRPr="009D7BFB">
        <w:rPr>
          <w:sz w:val="24"/>
          <w:szCs w:val="24"/>
        </w:rPr>
        <w:fldChar w:fldCharType="begin"/>
      </w:r>
      <w:r w:rsidRPr="009D7BFB">
        <w:rPr>
          <w:sz w:val="24"/>
          <w:szCs w:val="24"/>
        </w:rPr>
        <w:instrText xml:space="preserve"> SEQ Figure \* ARABIC </w:instrText>
      </w:r>
      <w:r w:rsidRPr="009D7BFB">
        <w:rPr>
          <w:sz w:val="24"/>
          <w:szCs w:val="24"/>
        </w:rPr>
        <w:fldChar w:fldCharType="separate"/>
      </w:r>
      <w:r w:rsidRPr="009D7BFB">
        <w:rPr>
          <w:noProof/>
          <w:sz w:val="24"/>
          <w:szCs w:val="24"/>
        </w:rPr>
        <w:t>1</w:t>
      </w:r>
      <w:r w:rsidRPr="009D7BFB">
        <w:rPr>
          <w:sz w:val="24"/>
          <w:szCs w:val="24"/>
        </w:rPr>
        <w:fldChar w:fldCharType="end"/>
      </w:r>
      <w:r w:rsidRPr="009D7BFB">
        <w:rPr>
          <w:sz w:val="24"/>
          <w:szCs w:val="24"/>
        </w:rPr>
        <w:t xml:space="preserve"> : Evolution du taux d'erreur en fonction du taux de PCA</w:t>
      </w:r>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645ACE8"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Pour les plus proches voisins, nous avons utilisé le classifieur Nearest</w:t>
      </w:r>
      <w:bookmarkStart w:id="0" w:name="_GoBack"/>
      <w:bookmarkEnd w:id="0"/>
      <w:r>
        <w:rPr>
          <w:rFonts w:ascii="Times New Roman" w:hAnsi="Times New Roman" w:cs="Times New Roman"/>
          <w:sz w:val="24"/>
          <w:szCs w:val="24"/>
        </w:rPr>
        <w:t xml:space="preserve"> Neighbors</w:t>
      </w:r>
      <w:r w:rsidR="00A13A07">
        <w:rPr>
          <w:rFonts w:ascii="Times New Roman" w:hAnsi="Times New Roman" w:cs="Times New Roman"/>
          <w:sz w:val="24"/>
          <w:szCs w:val="24"/>
        </w:rPr>
        <w:t>, avec lequel on peut modifier le nombre de points voisins que l’on considère pour estimer la classe de notre donnée.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167235C7" w14:textId="3B12DFB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09EDED8D" w14:textId="65475C6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44C3BD34" w14:textId="77777777" w:rsidR="00E771FE" w:rsidRDefault="00E771FE" w:rsidP="001A6140">
      <w:pPr>
        <w:jc w:val="both"/>
        <w:rPr>
          <w:rFonts w:ascii="Times New Roman" w:hAnsi="Times New Roman" w:cs="Times New Roman"/>
          <w:sz w:val="24"/>
          <w:szCs w:val="24"/>
        </w:rPr>
      </w:pPr>
    </w:p>
    <w:p w14:paraId="07BEEEC0" w14:textId="57723CC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20 plus proches voisins : </w:t>
      </w:r>
    </w:p>
    <w:p w14:paraId="42D9FBE4" w14:textId="46AA1162"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18.48</w:t>
      </w:r>
    </w:p>
    <w:p w14:paraId="23511AF0" w14:textId="203EE61A"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90.3468580246</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4BBA73F1" w14:textId="57E1D6CF" w:rsidR="007E0B0A"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p w14:paraId="0DFAB4B8" w14:textId="65F3B170" w:rsidR="00186E7C" w:rsidRDefault="00186E7C" w:rsidP="001A6140">
      <w:pPr>
        <w:jc w:val="both"/>
        <w:rPr>
          <w:rFonts w:ascii="Times New Roman" w:hAnsi="Times New Roman" w:cs="Times New Roman"/>
          <w:sz w:val="24"/>
          <w:szCs w:val="24"/>
        </w:rPr>
      </w:pPr>
    </w:p>
    <w:p w14:paraId="7EB945B2" w14:textId="5970A817" w:rsidR="00186E7C" w:rsidRDefault="00186E7C" w:rsidP="00186E7C">
      <w:pPr>
        <w:jc w:val="both"/>
        <w:rPr>
          <w:rFonts w:ascii="Times New Roman" w:hAnsi="Times New Roman" w:cs="Times New Roman"/>
          <w:b/>
          <w:sz w:val="28"/>
          <w:szCs w:val="28"/>
        </w:rPr>
      </w:pPr>
      <w:r>
        <w:rPr>
          <w:rFonts w:ascii="Times New Roman" w:hAnsi="Times New Roman" w:cs="Times New Roman"/>
          <w:b/>
          <w:sz w:val="28"/>
          <w:szCs w:val="28"/>
        </w:rPr>
        <w:t>Comparaison des modèles</w:t>
      </w:r>
      <w:r w:rsidRPr="00D32DAD">
        <w:rPr>
          <w:rFonts w:ascii="Times New Roman" w:hAnsi="Times New Roman" w:cs="Times New Roman"/>
          <w:b/>
          <w:sz w:val="28"/>
          <w:szCs w:val="28"/>
        </w:rPr>
        <w:t> :</w:t>
      </w:r>
    </w:p>
    <w:p w14:paraId="50EAF12D" w14:textId="3272701F" w:rsidR="00186E7C" w:rsidRDefault="00186E7C" w:rsidP="001A6140">
      <w:pPr>
        <w:jc w:val="both"/>
        <w:rPr>
          <w:rFonts w:ascii="Times New Roman" w:hAnsi="Times New Roman" w:cs="Times New Roman"/>
          <w:sz w:val="24"/>
          <w:szCs w:val="24"/>
        </w:rPr>
      </w:pPr>
      <w:r>
        <w:rPr>
          <w:rFonts w:ascii="Times New Roman" w:hAnsi="Times New Roman" w:cs="Times New Roman"/>
          <w:sz w:val="24"/>
          <w:szCs w:val="24"/>
        </w:rPr>
        <w:t xml:space="preserve">Si on compare la méthode du plus proche centre avec et sans la PCA, on constate que la précision et le temps d’exécution son meilleur sans la PCA. Pour la précision c’était attendu car la PCA réduit le champ des données pour permettre au programme d’être plus rapide. Pour le </w:t>
      </w:r>
      <w:r w:rsidR="00DD0B02">
        <w:rPr>
          <w:rFonts w:ascii="Times New Roman" w:hAnsi="Times New Roman" w:cs="Times New Roman"/>
          <w:sz w:val="24"/>
          <w:szCs w:val="24"/>
        </w:rPr>
        <w:t>temps de calcul, cela s’explique par la faible complexité du traitement et la petite quantité de données traitées. En effet, la PCA est une opération relativement coûteuse qui n’est intéressante que si le calcul qui suit est encore plus coûteux ce qui n’est pas le cas ici.</w:t>
      </w:r>
    </w:p>
    <w:p w14:paraId="6B44157A" w14:textId="43AE61C2" w:rsidR="00DD0B02" w:rsidRPr="00B636D2" w:rsidRDefault="00DD0B02" w:rsidP="001A6140">
      <w:pPr>
        <w:jc w:val="both"/>
        <w:rPr>
          <w:rFonts w:ascii="Times New Roman" w:hAnsi="Times New Roman" w:cs="Times New Roman"/>
          <w:sz w:val="24"/>
          <w:szCs w:val="24"/>
        </w:rPr>
      </w:pPr>
      <w:r>
        <w:rPr>
          <w:rFonts w:ascii="Times New Roman" w:hAnsi="Times New Roman" w:cs="Times New Roman"/>
          <w:sz w:val="24"/>
          <w:szCs w:val="24"/>
        </w:rPr>
        <w:t>Si on compare ensuite les différents modèles entre eux, on peut observer que la méthode des plus proches voisins est la meilleure. En effet, la SVM est particulièrement inefficace en revanche, il est intéressant de noter que les classes sont plutôt mélangées et ne forme pas de gros amas très détachés comme le montre la comparaison entre le plus proche voisin et le plus proche du centre. En effet, s’ils étaient concentrés tous dans une zone en fonction de leur classe alors les résultats des deux méthodes devraient être presque identiques et nous trouvons presque 15% de différence entre les taux d’erreur.</w:t>
      </w:r>
    </w:p>
    <w:sectPr w:rsidR="00DD0B02" w:rsidRPr="00B6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86E7C"/>
    <w:rsid w:val="001A6140"/>
    <w:rsid w:val="00342BF1"/>
    <w:rsid w:val="003F5B8F"/>
    <w:rsid w:val="00434C8A"/>
    <w:rsid w:val="004573E3"/>
    <w:rsid w:val="004932E6"/>
    <w:rsid w:val="005C3115"/>
    <w:rsid w:val="006453E3"/>
    <w:rsid w:val="007E0B0A"/>
    <w:rsid w:val="00825640"/>
    <w:rsid w:val="00831CB0"/>
    <w:rsid w:val="008437F2"/>
    <w:rsid w:val="0089507E"/>
    <w:rsid w:val="008B709C"/>
    <w:rsid w:val="009D7BFB"/>
    <w:rsid w:val="00A13A07"/>
    <w:rsid w:val="00AC2E97"/>
    <w:rsid w:val="00B636D2"/>
    <w:rsid w:val="00C11291"/>
    <w:rsid w:val="00D32DAD"/>
    <w:rsid w:val="00DD0B02"/>
    <w:rsid w:val="00DE21B8"/>
    <w:rsid w:val="00E24110"/>
    <w:rsid w:val="00E771FE"/>
    <w:rsid w:val="00EB05AA"/>
    <w:rsid w:val="00F6747B"/>
    <w:rsid w:val="00F70E39"/>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5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B8F"/>
    <w:rPr>
      <w:rFonts w:ascii="Segoe UI" w:hAnsi="Segoe UI" w:cs="Segoe UI"/>
      <w:sz w:val="18"/>
      <w:szCs w:val="18"/>
    </w:rPr>
  </w:style>
  <w:style w:type="paragraph" w:styleId="Lgende">
    <w:name w:val="caption"/>
    <w:basedOn w:val="Normal"/>
    <w:next w:val="Normal"/>
    <w:uiPriority w:val="35"/>
    <w:unhideWhenUsed/>
    <w:qFormat/>
    <w:rsid w:val="009D7B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608</Words>
  <Characters>3344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23</cp:revision>
  <dcterms:created xsi:type="dcterms:W3CDTF">2019-03-11T14:06:00Z</dcterms:created>
  <dcterms:modified xsi:type="dcterms:W3CDTF">2019-03-25T21:23:00Z</dcterms:modified>
</cp:coreProperties>
</file>