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7777777" w:rsidR="00AC2E97" w:rsidRDefault="00AC2E97" w:rsidP="00C13F28">
            <w:pPr>
              <w:jc w:val="center"/>
              <w:rPr>
                <w:sz w:val="28"/>
              </w:rPr>
            </w:pPr>
            <w:r>
              <w:rPr>
                <w:sz w:val="28"/>
              </w:rPr>
              <w:t xml:space="preserve">Machine </w:t>
            </w:r>
            <w:proofErr w:type="spellStart"/>
            <w:r>
              <w:rPr>
                <w:sz w:val="28"/>
              </w:rPr>
              <w:t>learning</w:t>
            </w:r>
            <w:proofErr w:type="spellEnd"/>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77777777" w:rsidR="00AC2E97" w:rsidRDefault="00AC2E97" w:rsidP="00C13F28">
            <w:pPr>
              <w:jc w:val="center"/>
              <w:rPr>
                <w:sz w:val="40"/>
              </w:rPr>
            </w:pPr>
            <w:r>
              <w:rPr>
                <w:sz w:val="40"/>
              </w:rPr>
              <w:t xml:space="preserve">Projet de Machine </w:t>
            </w:r>
            <w:proofErr w:type="spellStart"/>
            <w:r>
              <w:rPr>
                <w:sz w:val="40"/>
              </w:rPr>
              <w:t>learning</w:t>
            </w:r>
            <w:proofErr w:type="spellEnd"/>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35B21ACC"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6C82D7D6" w14:textId="77777777"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6CDDD473" w14:textId="14A08108"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w:t>
      </w:r>
      <w:r w:rsidR="006453E3">
        <w:rPr>
          <w:rFonts w:ascii="Times New Roman" w:hAnsi="Times New Roman" w:cs="Times New Roman"/>
          <w:sz w:val="24"/>
          <w:szCs w:val="24"/>
        </w:rPr>
        <w:t>0</w:t>
      </w:r>
      <w:r w:rsidRPr="00B636D2">
        <w:rPr>
          <w:rFonts w:ascii="Times New Roman" w:hAnsi="Times New Roman" w:cs="Times New Roman"/>
          <w:sz w:val="24"/>
          <w:szCs w:val="24"/>
        </w:rPr>
        <w:t>.0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52C4334" w14:textId="7BAFBA60"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49.02</w:t>
      </w:r>
    </w:p>
    <w:p w14:paraId="5E1AEC71" w14:textId="64BBAC1C"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1.71228504181</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FAF54E3" w14:textId="4F05021F"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6AD00688" w14:textId="4416EC25" w:rsidR="006453E3"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49978CD6" w14:textId="1D103E60" w:rsidR="006453E3" w:rsidRPr="00B636D2"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Pr="00B636D2">
        <w:rPr>
          <w:rFonts w:ascii="Times New Roman" w:hAnsi="Times New Roman" w:cs="Times New Roman"/>
          <w:sz w:val="24"/>
          <w:szCs w:val="24"/>
        </w:rPr>
        <w:t>72.56</w:t>
      </w:r>
    </w:p>
    <w:p w14:paraId="5602CA47" w14:textId="1A23803C" w:rsidR="006453E3" w:rsidRPr="00B636D2" w:rsidRDefault="006453E3"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Pr="00B636D2">
        <w:rPr>
          <w:rFonts w:ascii="Times New Roman" w:hAnsi="Times New Roman" w:cs="Times New Roman"/>
          <w:sz w:val="24"/>
          <w:szCs w:val="24"/>
        </w:rPr>
        <w:t>1.70469498634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41E583A8"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Pr="009D7BFB">
        <w:rPr>
          <w:noProof/>
          <w:sz w:val="24"/>
          <w:szCs w:val="24"/>
        </w:rPr>
        <w:t>1</w:t>
      </w:r>
      <w:r w:rsidRPr="009D7BFB">
        <w:rPr>
          <w:sz w:val="24"/>
          <w:szCs w:val="24"/>
        </w:rPr>
        <w:fldChar w:fldCharType="end"/>
      </w:r>
      <w:r w:rsidRPr="009D7BFB">
        <w:rPr>
          <w:sz w:val="24"/>
          <w:szCs w:val="24"/>
        </w:rPr>
        <w:t xml:space="preserve"> : Evolution du taux d'erreur en fonction du taux de PCA</w:t>
      </w:r>
      <w:bookmarkStart w:id="0" w:name="_GoBack"/>
      <w:bookmarkEnd w:id="0"/>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proofErr w:type="spellStart"/>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proofErr w:type="spellEnd"/>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645ACE8"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 xml:space="preserve">Pour les plus proches voisins, nous avons utilisé le classifieur </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Neighbors</w:t>
      </w:r>
      <w:r w:rsidR="00A13A07">
        <w:rPr>
          <w:rFonts w:ascii="Times New Roman" w:hAnsi="Times New Roman" w:cs="Times New Roman"/>
          <w:sz w:val="24"/>
          <w:szCs w:val="24"/>
        </w:rPr>
        <w:t>, avec lequel on peut modifier le nombre de points voisins que l’on considère pour estimer la classe de notre donnée.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4C2B852A" w14:textId="0E5E921E"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0BCD4105" w14:textId="77777777" w:rsidR="005C3115" w:rsidRDefault="005C3115" w:rsidP="001A6140">
      <w:pPr>
        <w:jc w:val="both"/>
        <w:rPr>
          <w:rFonts w:ascii="Times New Roman" w:hAnsi="Times New Roman" w:cs="Times New Roman"/>
          <w:sz w:val="24"/>
          <w:szCs w:val="24"/>
        </w:rPr>
      </w:pPr>
    </w:p>
    <w:p w14:paraId="3CA06B9B" w14:textId="3467C3BF"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Taux d'erreur des 3</w:t>
      </w:r>
      <w:r w:rsidR="00E771FE">
        <w:rPr>
          <w:rFonts w:ascii="Times New Roman" w:hAnsi="Times New Roman" w:cs="Times New Roman"/>
          <w:sz w:val="24"/>
          <w:szCs w:val="24"/>
        </w:rPr>
        <w:t xml:space="preserve"> </w:t>
      </w:r>
      <w:r w:rsidRPr="00B636D2">
        <w:rPr>
          <w:rFonts w:ascii="Times New Roman" w:hAnsi="Times New Roman" w:cs="Times New Roman"/>
          <w:sz w:val="24"/>
          <w:szCs w:val="24"/>
        </w:rPr>
        <w:t xml:space="preserve">plus proches voisins : </w:t>
      </w:r>
    </w:p>
    <w:p w14:paraId="714D00DB" w14:textId="68B077D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17.38</w:t>
      </w:r>
    </w:p>
    <w:p w14:paraId="167235C7" w14:textId="418C6C5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66.7667770386</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062A78A6" w:rsidR="007E0B0A"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sectPr w:rsidR="007E0B0A" w:rsidRPr="00B6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A6140"/>
    <w:rsid w:val="00342BF1"/>
    <w:rsid w:val="003F5B8F"/>
    <w:rsid w:val="00434C8A"/>
    <w:rsid w:val="004573E3"/>
    <w:rsid w:val="004932E6"/>
    <w:rsid w:val="005C3115"/>
    <w:rsid w:val="006453E3"/>
    <w:rsid w:val="007E0B0A"/>
    <w:rsid w:val="00825640"/>
    <w:rsid w:val="008437F2"/>
    <w:rsid w:val="0089507E"/>
    <w:rsid w:val="008B709C"/>
    <w:rsid w:val="009D7BFB"/>
    <w:rsid w:val="00A13A07"/>
    <w:rsid w:val="00AC2E97"/>
    <w:rsid w:val="00B636D2"/>
    <w:rsid w:val="00C11291"/>
    <w:rsid w:val="00D32DAD"/>
    <w:rsid w:val="00DE21B8"/>
    <w:rsid w:val="00E24110"/>
    <w:rsid w:val="00E771FE"/>
    <w:rsid w:val="00EB05AA"/>
    <w:rsid w:val="00F6747B"/>
    <w:rsid w:val="00F70E39"/>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462</Words>
  <Characters>2542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22</cp:revision>
  <dcterms:created xsi:type="dcterms:W3CDTF">2019-03-11T14:06:00Z</dcterms:created>
  <dcterms:modified xsi:type="dcterms:W3CDTF">2019-03-25T21:04:00Z</dcterms:modified>
</cp:coreProperties>
</file>