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_Toc31941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_Toc31941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_Toc12774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_Toc12774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_Toc7973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_Toc7973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_Toc8691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_Toc8691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_Toc10391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_Toc10391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_Toc23415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_Toc23415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_Toc21157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_Toc21157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_Toc20768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_Toc20768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_Toc12109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_Toc12109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_Toc14042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_Toc27944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_Toc27944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_Toc2506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_Toc16881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_Toc16881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_Toc18756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_Toc18756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_Toc22056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_Toc22056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_Toc28760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_Toc8928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_Toc31982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_Toc31982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_Toc31489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_Toc31489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_Toc30851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_Toc30851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_Toc892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_Toc22531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_Toc22531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_Toc14920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_Toc14920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_Toc29533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_Toc29533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_Toc27170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_Toc27170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_Toc6844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_Toc6844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_Toc6495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_Toc6495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_Toc16017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_Toc16017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_Toc13404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_Toc13404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_Toc2249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_Toc30790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_Toc30790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_Toc30956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_Toc30956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_Toc2391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_Toc25076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_Toc25076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_Toc14260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_Toc24604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>27. Error Page</w:t>
      </w:r>
      <w:r>
        <w:tab/>
      </w:r>
      <w:r>
        <w:fldChar w:fldCharType="begin"/>
      </w:r>
      <w:r>
        <w:instrText xml:space="preserve"> PAGEREF _Toc24604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31941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2774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737860" cy="483108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GoBack"/>
      <w:bookmarkEnd w:id="47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7973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8691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0391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23415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21157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20768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109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4042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279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50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688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8756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20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287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892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319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3148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3085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89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2253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1492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9533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717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68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64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1601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340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224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3079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09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239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250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9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42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9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24604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0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0"/>
        </w:numPr>
        <w:spacing w:after="0"/>
      </w:pPr>
      <w:r>
        <w:t>Function description:</w:t>
      </w:r>
    </w:p>
    <w:p>
      <w:pPr>
        <w:numPr>
          <w:ilvl w:val="1"/>
          <w:numId w:val="10"/>
        </w:numPr>
        <w:spacing w:after="0"/>
      </w:pPr>
      <w:r>
        <w:t>Role: Guest, User, Seller, Admin</w:t>
      </w:r>
    </w:p>
    <w:p>
      <w:pPr>
        <w:numPr>
          <w:ilvl w:val="1"/>
          <w:numId w:val="10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0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060405"/>
    <w:rsid w:val="52E1203E"/>
    <w:rsid w:val="5D161280"/>
    <w:rsid w:val="606C0139"/>
    <w:rsid w:val="61AD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zanvipkp</cp:lastModifiedBy>
  <dcterms:modified xsi:type="dcterms:W3CDTF">2022-06-19T03:04:45Z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