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B25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800" w:lineRule="exact"/>
        <w:ind w:left="6704" w:leftChars="0" w:firstLine="419" w:firstLineChars="0"/>
        <w:jc w:val="both"/>
        <w:textAlignment w:val="auto"/>
        <w:rPr>
          <w:rFonts w:hint="eastAsia" w:ascii="黑体" w:hAnsi="黑体" w:eastAsia="黑体" w:cs="黑体"/>
          <w:b/>
          <w:bCs/>
          <w:sz w:val="84"/>
          <w:szCs w:val="84"/>
          <w:lang w:val="en-US" w:eastAsia="zh-CN"/>
        </w:rPr>
      </w:pPr>
      <w:r>
        <w:rPr>
          <w:rFonts w:ascii="宋体" w:hAnsi="宋体" w:eastAsia="宋体" w:cs="宋体"/>
          <w:sz w:val="84"/>
          <w:szCs w:val="84"/>
        </w:rPr>
        <w:t>${w}</w:t>
      </w:r>
    </w:p>
    <w:p w14:paraId="419EB859">
      <w:pPr>
        <w:spacing w:line="560" w:lineRule="exact"/>
        <w:jc w:val="center"/>
        <w:rPr>
          <w:rFonts w:hint="default" w:ascii="Arial Unicode MS" w:hAnsi="Arial Unicode MS" w:eastAsia="黑体" w:cs="Arial Unicode MS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>项目签约协议书</w:t>
      </w:r>
    </w:p>
    <w:p w14:paraId="6E6DD5FA">
      <w:pPr>
        <w:spacing w:line="560" w:lineRule="exact"/>
        <w:jc w:val="both"/>
        <w:rPr>
          <w:rFonts w:ascii="Arial Unicode MS" w:hAnsi="Arial Unicode MS" w:eastAsia="Arial Unicode MS" w:cs="Arial Unicode MS"/>
          <w:b/>
        </w:rPr>
      </w:pP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4854"/>
        <w:gridCol w:w="2475"/>
      </w:tblGrid>
      <w:tr w14:paraId="66D1C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</w:tcPr>
          <w:p w14:paraId="592989AA">
            <w:pPr>
              <w:keepNext w:val="0"/>
              <w:keepLines w:val="0"/>
              <w:pageBreakBefore w:val="0"/>
              <w:widowControl/>
              <w:tabs>
                <w:tab w:val="left" w:leader="underscore" w:pos="75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right"/>
              <w:textAlignment w:val="auto"/>
              <w:rPr>
                <w:rFonts w:hint="default" w:ascii="黑体" w:hAnsi="黑体" w:eastAsia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/>
                <w:sz w:val="32"/>
                <w:szCs w:val="32"/>
                <w:vertAlign w:val="baseline"/>
                <w:lang w:val="en-US" w:eastAsia="zh-CN"/>
              </w:rPr>
              <w:t>招商方：</w:t>
            </w:r>
          </w:p>
        </w:tc>
        <w:tc>
          <w:tcPr>
            <w:tcW w:w="4854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000000" w:sz="4" w:space="0"/>
              <w:right w:val="single" w:color="FFFFFF" w:themeColor="background1" w:sz="4" w:space="0"/>
            </w:tcBorders>
            <w:shd w:val="clear" w:color="auto" w:fill="FFFFFF" w:themeFill="background1"/>
          </w:tcPr>
          <w:p w14:paraId="4989BDE7">
            <w:pPr>
              <w:keepNext w:val="0"/>
              <w:keepLines w:val="0"/>
              <w:pageBreakBefore w:val="0"/>
              <w:widowControl/>
              <w:tabs>
                <w:tab w:val="left" w:leader="underscore" w:pos="75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黑体" w:hAnsi="黑体" w:eastAsia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${a}</w:t>
            </w:r>
          </w:p>
        </w:tc>
        <w:tc>
          <w:tcPr>
            <w:tcW w:w="2475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</w:tcPr>
          <w:p w14:paraId="683C7A64">
            <w:pPr>
              <w:keepNext w:val="0"/>
              <w:keepLines w:val="0"/>
              <w:pageBreakBefore w:val="0"/>
              <w:widowControl/>
              <w:tabs>
                <w:tab w:val="left" w:leader="underscore" w:pos="75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黑体" w:hAnsi="黑体" w:eastAsia="黑体"/>
                <w:sz w:val="32"/>
                <w:szCs w:val="32"/>
                <w:vertAlign w:val="baseline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（下称甲方）</w:t>
            </w:r>
          </w:p>
        </w:tc>
      </w:tr>
      <w:tr w14:paraId="010DD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 w14:paraId="442FE0ED">
            <w:pPr>
              <w:keepNext w:val="0"/>
              <w:keepLines w:val="0"/>
              <w:pageBreakBefore w:val="0"/>
              <w:widowControl/>
              <w:tabs>
                <w:tab w:val="left" w:leader="underscore" w:pos="75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right"/>
              <w:textAlignment w:val="auto"/>
              <w:rPr>
                <w:rFonts w:hint="eastAsia" w:ascii="黑体" w:hAnsi="黑体" w:eastAsia="黑体"/>
                <w:sz w:val="32"/>
                <w:szCs w:val="32"/>
                <w:vertAlign w:val="baseline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投资方：</w:t>
            </w:r>
          </w:p>
        </w:tc>
        <w:tc>
          <w:tcPr>
            <w:tcW w:w="4854" w:type="dxa"/>
            <w:tcBorders>
              <w:top w:val="single" w:color="000000" w:sz="4" w:space="0"/>
              <w:left w:val="single" w:color="FFFFFF" w:themeColor="background1" w:sz="4" w:space="0"/>
              <w:bottom w:val="single" w:color="000000" w:sz="4" w:space="0"/>
              <w:right w:val="single" w:color="FFFFFF" w:themeColor="background1" w:sz="4" w:space="0"/>
            </w:tcBorders>
            <w:shd w:val="clear" w:color="auto" w:fill="FFFFFF" w:themeFill="background1"/>
          </w:tcPr>
          <w:p w14:paraId="6271A084">
            <w:pPr>
              <w:keepNext w:val="0"/>
              <w:keepLines w:val="0"/>
              <w:pageBreakBefore w:val="0"/>
              <w:widowControl/>
              <w:tabs>
                <w:tab w:val="left" w:leader="underscore" w:pos="75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黑体" w:hAnsi="黑体" w:eastAsia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32"/>
                <w:szCs w:val="32"/>
              </w:rPr>
              <w:t>${b}</w:t>
            </w:r>
          </w:p>
        </w:tc>
        <w:tc>
          <w:tcPr>
            <w:tcW w:w="2475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</w:tcPr>
          <w:p w14:paraId="67FD15D7">
            <w:pPr>
              <w:keepNext w:val="0"/>
              <w:keepLines w:val="0"/>
              <w:pageBreakBefore w:val="0"/>
              <w:widowControl/>
              <w:tabs>
                <w:tab w:val="left" w:leader="underscore" w:pos="75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黑体" w:hAnsi="黑体" w:eastAsia="黑体"/>
                <w:sz w:val="32"/>
                <w:szCs w:val="32"/>
                <w:vertAlign w:val="baseline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（下称乙方）</w:t>
            </w:r>
          </w:p>
        </w:tc>
      </w:tr>
    </w:tbl>
    <w:p w14:paraId="4F7E39A0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2F1E43E1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为发展经济，实现共赢，甲、乙双方本着诚实信用和平等自愿的原则，就乙方赴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>${c}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  <w:lang w:val="en-US" w:eastAsia="zh-CN"/>
        </w:rPr>
        <w:t>$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投资兴办实体项目事宜，经协商一致，订立本项目签约协议。</w:t>
      </w:r>
    </w:p>
    <w:p w14:paraId="723AA2E3">
      <w:pPr>
        <w:spacing w:line="56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黑体" w:hAnsi="黑体" w:eastAsia="黑体" w:cs="仿宋_GB2312"/>
          <w:bCs/>
          <w:sz w:val="32"/>
          <w:szCs w:val="32"/>
        </w:rPr>
        <w:t>一、项目概况</w:t>
      </w:r>
    </w:p>
    <w:p w14:paraId="51D6F07F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1、项目名称：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>${d}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 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项目。</w:t>
      </w:r>
    </w:p>
    <w:p w14:paraId="1A4DED99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2、项目计划总投资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>${e}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万美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元。</w:t>
      </w:r>
    </w:p>
    <w:p w14:paraId="144BFB4F">
      <w:pPr>
        <w:spacing w:line="560" w:lineRule="exact"/>
        <w:ind w:left="640" w:leftChars="32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3、项目由乙方出资，负责项目的实施和运营，注册资本不低</w:t>
      </w:r>
    </w:p>
    <w:p w14:paraId="1D968050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于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>${f}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万美</w:t>
      </w:r>
      <w:bookmarkStart w:id="0" w:name="_GoBack"/>
      <w:bookmarkEnd w:id="0"/>
      <w:r>
        <w:rPr>
          <w:rFonts w:hint="eastAsia" w:ascii="方正仿宋_GBK" w:hAnsi="方正仿宋_GBK" w:eastAsia="方正仿宋_GBK" w:cs="方正仿宋_GBK"/>
          <w:sz w:val="32"/>
          <w:szCs w:val="32"/>
        </w:rPr>
        <w:t>元。</w:t>
      </w:r>
    </w:p>
    <w:p w14:paraId="0EBABF49">
      <w:pPr>
        <w:spacing w:line="560" w:lineRule="exact"/>
        <w:ind w:firstLine="640" w:firstLineChars="200"/>
        <w:rPr>
          <w:rFonts w:hint="eastAsia" w:ascii="黑体" w:hAnsi="黑体" w:eastAsia="黑体" w:cs="仿宋_GB2312"/>
          <w:bCs/>
          <w:sz w:val="32"/>
          <w:szCs w:val="32"/>
        </w:rPr>
      </w:pPr>
      <w:r>
        <w:rPr>
          <w:rFonts w:hint="eastAsia" w:ascii="黑体" w:hAnsi="黑体" w:eastAsia="黑体" w:cs="仿宋_GB2312"/>
          <w:bCs/>
          <w:sz w:val="32"/>
          <w:szCs w:val="32"/>
        </w:rPr>
        <w:t>二、项目用地</w:t>
      </w:r>
    </w:p>
    <w:p w14:paraId="1D80B486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项目拟用土地位于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 xml:space="preserve"> ${g} 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，面积约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>${h}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亩（具体以自规部门挂牌出让面积为准），土地用途为工业用地，使用年限为50年，按法定程序取得土地使用权。</w:t>
      </w:r>
    </w:p>
    <w:p w14:paraId="70DF27BF">
      <w:pPr>
        <w:spacing w:line="560" w:lineRule="exact"/>
        <w:ind w:firstLine="640" w:firstLineChars="200"/>
        <w:rPr>
          <w:rFonts w:hint="eastAsia" w:ascii="黑体" w:hAnsi="黑体" w:eastAsia="黑体" w:cs="仿宋_GB2312"/>
          <w:bCs/>
          <w:sz w:val="32"/>
          <w:szCs w:val="32"/>
        </w:rPr>
      </w:pPr>
      <w:r>
        <w:rPr>
          <w:rFonts w:hint="eastAsia" w:ascii="黑体" w:hAnsi="黑体" w:eastAsia="黑体" w:cs="仿宋_GB2312"/>
          <w:bCs/>
          <w:sz w:val="32"/>
          <w:szCs w:val="32"/>
        </w:rPr>
        <w:t>三、规划建设</w:t>
      </w:r>
    </w:p>
    <w:p w14:paraId="37DC9C12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1、项目建设须服从国家有关规定及开发区整体规划，且不得擅自改变土地用途。</w:t>
      </w:r>
    </w:p>
    <w:p w14:paraId="796756E9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2、项目建设规划设计方案必须经自规部门批准。</w:t>
      </w:r>
    </w:p>
    <w:p w14:paraId="4F77F963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3、项目建设须通过相关部门评审并履行报建手续。</w:t>
      </w:r>
    </w:p>
    <w:p w14:paraId="303D9F7A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59675E16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05E90062">
      <w:pPr>
        <w:spacing w:line="560" w:lineRule="exact"/>
        <w:ind w:firstLine="640" w:firstLineChars="200"/>
        <w:rPr>
          <w:rFonts w:hint="eastAsia" w:ascii="黑体" w:hAnsi="黑体" w:eastAsia="黑体" w:cs="仿宋_GB2312"/>
          <w:bCs/>
          <w:sz w:val="32"/>
          <w:szCs w:val="32"/>
        </w:rPr>
      </w:pPr>
      <w:r>
        <w:rPr>
          <w:rFonts w:hint="eastAsia" w:ascii="黑体" w:hAnsi="黑体" w:eastAsia="黑体" w:cs="仿宋_GB2312"/>
          <w:bCs/>
          <w:sz w:val="32"/>
          <w:szCs w:val="32"/>
        </w:rPr>
        <w:t>四、甲方的权利和义务</w:t>
      </w:r>
    </w:p>
    <w:p w14:paraId="65B4C171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1、有权监督乙方依法进行项目建设和运营。</w:t>
      </w:r>
    </w:p>
    <w:p w14:paraId="522D85EF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2、负责项目用地的征地补偿、清障工作，负担相关费用；负责与自规部门对接，尽快促成自规部门组织项目用地挂牌。</w:t>
      </w:r>
    </w:p>
    <w:p w14:paraId="769EBFFF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3、指导乙方按照项目建设的有关程序进行项目立项、规划设计、工程招标、报建及受监，指导乙方按规划要求施工；负责将基础设施配套至乙方项目用地红线外，专户供电等特殊要求除外。</w:t>
      </w:r>
    </w:p>
    <w:p w14:paraId="24D69BF9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4、为乙方建设过程中各项手续办理，提供一条龙服务，但有关部门收取的费用由乙方负担。</w:t>
      </w:r>
    </w:p>
    <w:p w14:paraId="25DD685A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5、协调乙方在项目设计、建设、经营过程中遇到的矛盾和问题。</w:t>
      </w:r>
    </w:p>
    <w:p w14:paraId="5B99B606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6、帮助乙方申报国家、省、市、区的政策扶持。</w:t>
      </w:r>
    </w:p>
    <w:p w14:paraId="5DAAE532">
      <w:pPr>
        <w:spacing w:line="560" w:lineRule="exact"/>
        <w:ind w:firstLine="640" w:firstLineChars="200"/>
        <w:rPr>
          <w:rFonts w:hint="eastAsia" w:ascii="黑体" w:hAnsi="黑体" w:eastAsia="黑体" w:cs="仿宋_GB2312"/>
          <w:bCs/>
          <w:sz w:val="32"/>
          <w:szCs w:val="32"/>
        </w:rPr>
      </w:pPr>
      <w:r>
        <w:rPr>
          <w:rFonts w:hint="eastAsia" w:ascii="黑体" w:hAnsi="黑体" w:eastAsia="黑体" w:cs="仿宋_GB2312"/>
          <w:bCs/>
          <w:sz w:val="32"/>
          <w:szCs w:val="32"/>
        </w:rPr>
        <w:t>五、乙方的权利和义务</w:t>
      </w:r>
    </w:p>
    <w:p w14:paraId="2875C0CF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1、有权独立自主经营、独立享有经营收益、独立承担民事责任。</w:t>
      </w:r>
    </w:p>
    <w:p w14:paraId="65A99D83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2、依法及时参加自规部门组织的项目用地使用权出让活动，主动申请办理用地和建设许可及相关手续，按规定全额缴纳相关费用。</w:t>
      </w:r>
    </w:p>
    <w:p w14:paraId="769CEEA2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3、自乙方取得项目用地手续后，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>${i}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前全部开工建设；开工建设后于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 xml:space="preserve">${j}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完成全部厂房建设，并投产运营。</w:t>
      </w:r>
    </w:p>
    <w:p w14:paraId="02A8FDD7">
      <w:pPr>
        <w:spacing w:line="560" w:lineRule="exact"/>
        <w:ind w:firstLine="640" w:firstLineChars="200"/>
        <w:rPr>
          <w:rFonts w:hint="eastAsia" w:ascii="黑体" w:hAnsi="黑体" w:eastAsia="黑体" w:cs="仿宋_GB2312"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4、自乙方达产后，预期年均开票销售不低于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>${k}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万元，预期年均税收不低于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>${l}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万元（开票销售和入库税收金额以甲方辖区内税务机关提供的数据为准）。</w:t>
      </w:r>
    </w:p>
    <w:p w14:paraId="1BFF71E5">
      <w:pPr>
        <w:spacing w:line="560" w:lineRule="exact"/>
        <w:ind w:firstLine="640" w:firstLineChars="200"/>
        <w:rPr>
          <w:rFonts w:hint="eastAsia" w:ascii="黑体" w:hAnsi="黑体" w:eastAsia="黑体" w:cs="仿宋_GB2312"/>
          <w:bCs/>
          <w:sz w:val="32"/>
          <w:szCs w:val="32"/>
        </w:rPr>
      </w:pPr>
      <w:r>
        <w:rPr>
          <w:rFonts w:hint="eastAsia" w:ascii="黑体" w:hAnsi="黑体" w:eastAsia="黑体" w:cs="仿宋_GB2312"/>
          <w:bCs/>
          <w:sz w:val="32"/>
          <w:szCs w:val="32"/>
        </w:rPr>
        <w:t>六、违约责任</w:t>
      </w:r>
    </w:p>
    <w:p w14:paraId="4BE0F31C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1、乙方未完全履行本协议约定义务的（因不可抗拒的原因除外），甲方有权责令乙方限期改正；经责令限改无效或者乙方在合理的宽限期内未改正到位；或者不存在顺延理由；甲方有权解除或终止本协议。</w:t>
      </w:r>
    </w:p>
    <w:p w14:paraId="2C432731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、因乙方原因导致本协议解除或终止时，甲方有权收购土地及地上建筑物、构筑物、附属设施等，并由双方共同认可的有资质的评估机构进行价格评估，双方如不能共同选定评估机构，由甲方从有资质的评估机构中，采用招标方法确定评估机构进行价格评估，并以不高于评估价的80%确定收购价款（差额部分系作为对甲方因履行招商引资协议第四条第2款、第3款约定义务的补偿）。</w:t>
      </w:r>
    </w:p>
    <w:p w14:paraId="2C9778B8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3、如因甲方责任或其他非乙方责任使项目用地未挂牌或交付，导致项目延期的，乙方履行义务的期限相应顺延。</w:t>
      </w:r>
    </w:p>
    <w:p w14:paraId="68BD9CAD">
      <w:pPr>
        <w:spacing w:line="560" w:lineRule="exact"/>
        <w:ind w:firstLine="640" w:firstLineChars="200"/>
        <w:rPr>
          <w:rFonts w:hint="eastAsia" w:ascii="黑体" w:hAnsi="黑体" w:eastAsia="黑体" w:cs="仿宋_GB2312"/>
          <w:bCs/>
          <w:sz w:val="32"/>
          <w:szCs w:val="32"/>
        </w:rPr>
      </w:pPr>
      <w:r>
        <w:rPr>
          <w:rFonts w:hint="eastAsia" w:ascii="黑体" w:hAnsi="黑体" w:eastAsia="黑体" w:cs="仿宋_GB2312"/>
          <w:bCs/>
          <w:sz w:val="32"/>
          <w:szCs w:val="32"/>
        </w:rPr>
        <w:t>七、附则</w:t>
      </w:r>
    </w:p>
    <w:p w14:paraId="1AC842BC">
      <w:pPr>
        <w:pStyle w:val="2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  <w:u w:val="none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${m}</w:t>
      </w:r>
      <w:r>
        <w:rPr>
          <w:rFonts w:hint="eastAsia" w:ascii="黑体" w:hAnsi="黑体" w:eastAsia="黑体"/>
          <w:sz w:val="32"/>
          <w:szCs w:val="32"/>
          <w:u w:val="none"/>
          <w:lang w:val="en-US" w:eastAsia="zh-CN"/>
        </w:rPr>
        <w:t>
</w:t>
      </w:r>
    </w:p>
    <w:p w14:paraId="6D0D94C5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2932A957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08C119F4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2DA6BFFA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7A759FE1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08C72BF1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5D5ACF13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0D629073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1B1849D3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3C673AF7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63ABC666">
      <w:pPr>
        <w:spacing w:line="52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32A1AA93">
      <w:pPr>
        <w:spacing w:line="52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甲方盖章：                 乙方盖章：       </w:t>
      </w:r>
    </w:p>
    <w:p w14:paraId="0DB4F0EC">
      <w:pPr>
        <w:spacing w:line="52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3627FD6E">
      <w:pPr>
        <w:spacing w:line="52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代表签名：                 代表签名：        </w:t>
      </w:r>
    </w:p>
    <w:p w14:paraId="7E894F4C">
      <w:pPr>
        <w:spacing w:line="52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32D0FD0B">
      <w:pPr>
        <w:spacing w:line="52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                        签约时间：   年   月   日</w:t>
      </w:r>
    </w:p>
    <w:sectPr>
      <w:headerReference r:id="rId3" w:type="default"/>
      <w:footerReference r:id="rId4" w:type="default"/>
      <w:footerReference r:id="rId5" w:type="even"/>
      <w:pgSz w:w="12240" w:h="15840"/>
      <w:pgMar w:top="1417" w:right="1361" w:bottom="1134" w:left="1588" w:header="720" w:footer="720" w:gutter="0"/>
      <w:pgBorders>
        <w:top w:val="single" w:color="FFFFFF" w:sz="4" w:space="1"/>
        <w:left w:val="single" w:color="FFFFFF" w:sz="4" w:space="4"/>
        <w:bottom w:val="single" w:color="FFFFFF" w:sz="4" w:space="1"/>
        <w:right w:val="single" w:color="FFFFFF" w:sz="4" w:space="4"/>
      </w:pgBorders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8895A1BA-B85C-4BE7-A3F9-DA7EB72790FB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A0B72FC-CE42-4CA1-9868-5C50205EB4C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DD67EE8F-BD38-451C-A34F-5A3F0EF1C44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E2D14F82-261E-4F63-A726-7DA8A9886D7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ACD13ED2-5A40-492D-A639-4D66A4E6103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94C8C2A1-0F82-4CD1-896A-94C59C823AD2}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  <w:embedRegular r:id="rId7" w:fontKey="{32EB66C0-4815-46B7-8FE7-46ADAFA6B192}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8" w:fontKey="{AFD74000-9FDC-4245-A5F9-2352A2C5D738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9" w:fontKey="{76333F72-BEE8-45CD-8CC2-E67B3A7B7C74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10" w:fontKey="{0304AC66-82D7-4AE1-B99B-CCD328D6586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1" w:fontKey="{2E9E4406-9BFF-4878-BAE5-6761AF3BE2D9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12" w:fontKey="{83779269-0C74-4730-8135-C9AFA920267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6BE81">
    <w:pPr>
      <w:pStyle w:val="5"/>
      <w:framePr w:wrap="around" w:vAnchor="text" w:hAnchor="margin" w:xAlign="right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rPr>
        <w:rStyle w:val="13"/>
      </w:rPr>
      <w:t>5</w:t>
    </w:r>
    <w:r>
      <w:fldChar w:fldCharType="end"/>
    </w:r>
  </w:p>
  <w:p w14:paraId="38BF26C5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3021D">
    <w:pPr>
      <w:pStyle w:val="5"/>
      <w:framePr w:wrap="around" w:vAnchor="text" w:hAnchor="margin" w:xAlign="right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end"/>
    </w:r>
  </w:p>
  <w:p w14:paraId="1038208C"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7FF3D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2MTczOWYyODdjZjBkNzVlMzcyOTk4ZDg0ZjE5ZWIifQ=="/>
  </w:docVars>
  <w:rsids>
    <w:rsidRoot w:val="00944C7E"/>
    <w:rsid w:val="0014550C"/>
    <w:rsid w:val="001B226E"/>
    <w:rsid w:val="00246C14"/>
    <w:rsid w:val="0028050F"/>
    <w:rsid w:val="002D0569"/>
    <w:rsid w:val="002F1ECE"/>
    <w:rsid w:val="00320639"/>
    <w:rsid w:val="004958EF"/>
    <w:rsid w:val="004C7451"/>
    <w:rsid w:val="00501553"/>
    <w:rsid w:val="00697FCE"/>
    <w:rsid w:val="007101AF"/>
    <w:rsid w:val="007F1A25"/>
    <w:rsid w:val="008576CF"/>
    <w:rsid w:val="00883D21"/>
    <w:rsid w:val="00944C7E"/>
    <w:rsid w:val="00A40483"/>
    <w:rsid w:val="00B01718"/>
    <w:rsid w:val="00C85AA5"/>
    <w:rsid w:val="00DB6AF0"/>
    <w:rsid w:val="00E1118F"/>
    <w:rsid w:val="00E52FBC"/>
    <w:rsid w:val="00EA51AF"/>
    <w:rsid w:val="00F133C7"/>
    <w:rsid w:val="00FF2BB3"/>
    <w:rsid w:val="03E47515"/>
    <w:rsid w:val="05732417"/>
    <w:rsid w:val="062565D8"/>
    <w:rsid w:val="06F27874"/>
    <w:rsid w:val="07806AA2"/>
    <w:rsid w:val="07807554"/>
    <w:rsid w:val="07CC6586"/>
    <w:rsid w:val="084A2F92"/>
    <w:rsid w:val="09C718B4"/>
    <w:rsid w:val="0A086CE9"/>
    <w:rsid w:val="0B2E3895"/>
    <w:rsid w:val="0B8A7479"/>
    <w:rsid w:val="0CD17D61"/>
    <w:rsid w:val="0F1E2DFC"/>
    <w:rsid w:val="0F7A6F7F"/>
    <w:rsid w:val="10795489"/>
    <w:rsid w:val="11D16327"/>
    <w:rsid w:val="12420692"/>
    <w:rsid w:val="124B4C03"/>
    <w:rsid w:val="124F64A1"/>
    <w:rsid w:val="12614426"/>
    <w:rsid w:val="12E56E05"/>
    <w:rsid w:val="14755F67"/>
    <w:rsid w:val="15837E74"/>
    <w:rsid w:val="160C221F"/>
    <w:rsid w:val="16337E88"/>
    <w:rsid w:val="17343EB7"/>
    <w:rsid w:val="17AB5D4F"/>
    <w:rsid w:val="186229A9"/>
    <w:rsid w:val="19FE07AD"/>
    <w:rsid w:val="1A9D51E8"/>
    <w:rsid w:val="1CEB326A"/>
    <w:rsid w:val="1CFB57F1"/>
    <w:rsid w:val="1D377322"/>
    <w:rsid w:val="1DC129B1"/>
    <w:rsid w:val="1E1726F2"/>
    <w:rsid w:val="1EAF1390"/>
    <w:rsid w:val="1FCD4EA9"/>
    <w:rsid w:val="1FCF6E73"/>
    <w:rsid w:val="1FEC58F6"/>
    <w:rsid w:val="20D822F9"/>
    <w:rsid w:val="22681048"/>
    <w:rsid w:val="22BE4F7D"/>
    <w:rsid w:val="255816B9"/>
    <w:rsid w:val="259545F0"/>
    <w:rsid w:val="28A51BE3"/>
    <w:rsid w:val="298623CE"/>
    <w:rsid w:val="2A74598A"/>
    <w:rsid w:val="2AB21507"/>
    <w:rsid w:val="2AD4357C"/>
    <w:rsid w:val="2AF87653"/>
    <w:rsid w:val="2B1B0749"/>
    <w:rsid w:val="2B5A7A04"/>
    <w:rsid w:val="2BA171A6"/>
    <w:rsid w:val="2CCB328B"/>
    <w:rsid w:val="2CE5674E"/>
    <w:rsid w:val="2D595FCE"/>
    <w:rsid w:val="2D937732"/>
    <w:rsid w:val="2DB56559"/>
    <w:rsid w:val="2E0B376C"/>
    <w:rsid w:val="2ED5420B"/>
    <w:rsid w:val="2F0957D2"/>
    <w:rsid w:val="30654A95"/>
    <w:rsid w:val="310D15A9"/>
    <w:rsid w:val="31D31B73"/>
    <w:rsid w:val="320560BD"/>
    <w:rsid w:val="32144290"/>
    <w:rsid w:val="324C6101"/>
    <w:rsid w:val="328B1DD6"/>
    <w:rsid w:val="3328299B"/>
    <w:rsid w:val="3357605F"/>
    <w:rsid w:val="33945FB2"/>
    <w:rsid w:val="34500A21"/>
    <w:rsid w:val="348D1CA6"/>
    <w:rsid w:val="38776936"/>
    <w:rsid w:val="38932B99"/>
    <w:rsid w:val="38B04AC3"/>
    <w:rsid w:val="39431C1C"/>
    <w:rsid w:val="3943374E"/>
    <w:rsid w:val="39D00B61"/>
    <w:rsid w:val="3A7122D3"/>
    <w:rsid w:val="3AAB4E7D"/>
    <w:rsid w:val="3BB856C9"/>
    <w:rsid w:val="3C8B08D4"/>
    <w:rsid w:val="3DAF6212"/>
    <w:rsid w:val="3E550016"/>
    <w:rsid w:val="3F5C08DF"/>
    <w:rsid w:val="40344480"/>
    <w:rsid w:val="412C782A"/>
    <w:rsid w:val="41D13553"/>
    <w:rsid w:val="42E859D2"/>
    <w:rsid w:val="435B43F6"/>
    <w:rsid w:val="44DE7C57"/>
    <w:rsid w:val="45463886"/>
    <w:rsid w:val="46F85025"/>
    <w:rsid w:val="470D39D5"/>
    <w:rsid w:val="47725F08"/>
    <w:rsid w:val="47BB3DFE"/>
    <w:rsid w:val="48531B40"/>
    <w:rsid w:val="4AB64608"/>
    <w:rsid w:val="4AF94BD5"/>
    <w:rsid w:val="4BE60F1D"/>
    <w:rsid w:val="4C593354"/>
    <w:rsid w:val="4C783F27"/>
    <w:rsid w:val="4D764276"/>
    <w:rsid w:val="4DAB0E78"/>
    <w:rsid w:val="4E9942AC"/>
    <w:rsid w:val="4EC372F3"/>
    <w:rsid w:val="4FB976CB"/>
    <w:rsid w:val="5023629C"/>
    <w:rsid w:val="50EC0D83"/>
    <w:rsid w:val="52304709"/>
    <w:rsid w:val="53E915AA"/>
    <w:rsid w:val="54596730"/>
    <w:rsid w:val="547F52AF"/>
    <w:rsid w:val="55DA564E"/>
    <w:rsid w:val="57631FDC"/>
    <w:rsid w:val="57B974E6"/>
    <w:rsid w:val="593A6734"/>
    <w:rsid w:val="598A13F7"/>
    <w:rsid w:val="5A714F60"/>
    <w:rsid w:val="5A7C6F85"/>
    <w:rsid w:val="5B28431B"/>
    <w:rsid w:val="5C6F0B6D"/>
    <w:rsid w:val="5D465839"/>
    <w:rsid w:val="5D6D6A4D"/>
    <w:rsid w:val="5D803834"/>
    <w:rsid w:val="5DC80482"/>
    <w:rsid w:val="5E4C6D38"/>
    <w:rsid w:val="5FA44AA4"/>
    <w:rsid w:val="61F1292F"/>
    <w:rsid w:val="62E80FB6"/>
    <w:rsid w:val="62E9623B"/>
    <w:rsid w:val="634E200B"/>
    <w:rsid w:val="63807EE9"/>
    <w:rsid w:val="65B25CA0"/>
    <w:rsid w:val="65DE785B"/>
    <w:rsid w:val="668D2269"/>
    <w:rsid w:val="67A71DDE"/>
    <w:rsid w:val="688F22C8"/>
    <w:rsid w:val="68CD0F01"/>
    <w:rsid w:val="6AF00506"/>
    <w:rsid w:val="6E2539DE"/>
    <w:rsid w:val="6E5F098F"/>
    <w:rsid w:val="70350089"/>
    <w:rsid w:val="70697AB5"/>
    <w:rsid w:val="717B788E"/>
    <w:rsid w:val="723839D1"/>
    <w:rsid w:val="72FF629D"/>
    <w:rsid w:val="73663294"/>
    <w:rsid w:val="73C42D81"/>
    <w:rsid w:val="741163A3"/>
    <w:rsid w:val="7444546E"/>
    <w:rsid w:val="77AC1BF2"/>
    <w:rsid w:val="78DB3308"/>
    <w:rsid w:val="79102FB2"/>
    <w:rsid w:val="796450AB"/>
    <w:rsid w:val="7A6C06BC"/>
    <w:rsid w:val="7A9210DF"/>
    <w:rsid w:val="7A98177A"/>
    <w:rsid w:val="7A9B2D4F"/>
    <w:rsid w:val="7B1F25EC"/>
    <w:rsid w:val="7B4A19E7"/>
    <w:rsid w:val="7B90283B"/>
    <w:rsid w:val="7C2920B4"/>
    <w:rsid w:val="7D697134"/>
    <w:rsid w:val="7DE3A38F"/>
    <w:rsid w:val="7E265025"/>
    <w:rsid w:val="7F7C6572"/>
    <w:rsid w:val="7F9F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unhideWhenUsed/>
    <w:qFormat/>
    <w:uiPriority w:val="99"/>
    <w:rPr>
      <w:szCs w:val="22"/>
    </w:rPr>
  </w:style>
  <w:style w:type="paragraph" w:styleId="3">
    <w:name w:val="Body Text Indent"/>
    <w:basedOn w:val="1"/>
    <w:qFormat/>
    <w:uiPriority w:val="0"/>
    <w:pPr>
      <w:ind w:firstLine="566" w:firstLineChars="202"/>
    </w:pPr>
    <w:rPr>
      <w:sz w:val="28"/>
    </w:rPr>
  </w:style>
  <w:style w:type="paragraph" w:styleId="4">
    <w:name w:val="Balloon Text"/>
    <w:basedOn w:val="1"/>
    <w:link w:val="15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paragraph" w:styleId="9">
    <w:name w:val="annotation subject"/>
    <w:basedOn w:val="2"/>
    <w:next w:val="2"/>
    <w:link w:val="19"/>
    <w:qFormat/>
    <w:uiPriority w:val="0"/>
    <w:rPr>
      <w:b/>
      <w:bCs/>
      <w:szCs w:val="20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annotation reference"/>
    <w:basedOn w:val="12"/>
    <w:qFormat/>
    <w:uiPriority w:val="0"/>
    <w:rPr>
      <w:sz w:val="21"/>
      <w:szCs w:val="21"/>
    </w:rPr>
  </w:style>
  <w:style w:type="character" w:customStyle="1" w:styleId="15">
    <w:name w:val="批注框文本 字符"/>
    <w:link w:val="4"/>
    <w:qFormat/>
    <w:uiPriority w:val="0"/>
    <w:rPr>
      <w:sz w:val="18"/>
      <w:szCs w:val="18"/>
    </w:rPr>
  </w:style>
  <w:style w:type="character" w:customStyle="1" w:styleId="16">
    <w:name w:val="页眉 字符"/>
    <w:link w:val="6"/>
    <w:qFormat/>
    <w:uiPriority w:val="0"/>
    <w:rPr>
      <w:sz w:val="18"/>
      <w:szCs w:val="18"/>
    </w:rPr>
  </w:style>
  <w:style w:type="character" w:customStyle="1" w:styleId="17">
    <w:name w:val="NormalCharacter"/>
    <w:qFormat/>
    <w:uiPriority w:val="0"/>
  </w:style>
  <w:style w:type="character" w:customStyle="1" w:styleId="18">
    <w:name w:val="批注文字 字符"/>
    <w:basedOn w:val="12"/>
    <w:link w:val="2"/>
    <w:qFormat/>
    <w:uiPriority w:val="99"/>
    <w:rPr>
      <w:rFonts w:ascii="Times New Roman" w:hAnsi="Times New Roman"/>
      <w:szCs w:val="22"/>
    </w:rPr>
  </w:style>
  <w:style w:type="character" w:customStyle="1" w:styleId="19">
    <w:name w:val="批注主题 字符"/>
    <w:basedOn w:val="18"/>
    <w:link w:val="9"/>
    <w:qFormat/>
    <w:uiPriority w:val="0"/>
    <w:rPr>
      <w:rFonts w:ascii="Times New Roman" w:hAnsi="Times New Roman"/>
      <w:b/>
      <w:bCs/>
      <w:szCs w:val="22"/>
    </w:rPr>
  </w:style>
  <w:style w:type="paragraph" w:customStyle="1" w:styleId="20">
    <w:name w:val="Revision"/>
    <w:hidden/>
    <w:unhideWhenUsed/>
    <w:qFormat/>
    <w:uiPriority w:val="99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1131</Words>
  <Characters>1178</Characters>
  <Lines>10</Lines>
  <Paragraphs>3</Paragraphs>
  <TotalTime>0</TotalTime>
  <ScaleCrop>false</ScaleCrop>
  <LinksUpToDate>false</LinksUpToDate>
  <CharactersWithSpaces>1292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2024-09-21T19:32:00Z</dcterms:created>
  <dc:creator>user</dc:creator>
  <cp:lastModifiedBy>。</cp:lastModifiedBy>
  <cp:lastPrinted>2024-11-22T08:33:00Z</cp:lastPrinted>
  <dcterms:modified xsi:type="dcterms:W3CDTF">2025-10-27T08:05:18Z</dcterms:modified>
  <dc:title>增资补充协议书</dc:title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C8BD0F8C457F424FAE3201F60ECB0EF7_13</vt:lpwstr>
  </property>
  <property fmtid="{D5CDD505-2E9C-101B-9397-08002B2CF9AE}" pid="4" name="KSOSaveFontToCloudKey">
    <vt:lpwstr>603001573_btnclosed</vt:lpwstr>
  </property>
  <property fmtid="{D5CDD505-2E9C-101B-9397-08002B2CF9AE}" pid="5" name="KSOTemplateDocerSaveRecord">
    <vt:lpwstr>eyJoZGlkIjoiM2Y2NzA2N2UyZWYxMDM4YTFhNTBhY2E5YThlODY2YWQiLCJ1c2VySWQiOiI1MTgwNjkzNDIifQ==</vt:lpwstr>
  </property>
</Properties>
</file>