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绿的谐波 (688017.SH) 技术指标解读报告</w:t>
      </w:r>
    </w:p>
    <w:p/>
    <w:p>
      <w:pPr>
        <w:jc w:val="center"/>
      </w:pPr>
      <w:r>
        <w:rPr>
          <w:color w:val="808080"/>
          <w:sz w:val="18"/>
        </w:rPr>
        <w:t>分析日期：2026-07-04　　数据期间：2025-07-03 ~ 2026-07-03（243 个交易日）　　最新收盘：488.00 元</w:t>
      </w:r>
    </w:p>
    <w:p/>
    <w:p>
      <w:r>
        <w:t>免责声明：以下解读基于公开技术指标计算所得，仅为数据分析结果展示，不构成任何投资建议。技术指标存在固有滞后性，单一指标不可作为交易决策的唯一依据。请结合基本面与其他分析方法综合判断。</w:t>
      </w:r>
    </w:p>
    <w:p/>
    <w:p>
      <w:pPr>
        <w:pStyle w:val="Heading1"/>
      </w:pPr>
      <w:r>
        <w:t>一、核心指标一览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最新值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收盘价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488.00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RSI-6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79.05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超短周期，灵敏度高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RSI-14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70.58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中周期核心参考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RSI-24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68.15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长周期趋势参考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MACD DIF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28.8911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多头区域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MACD DEA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24.8627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信号线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MACD Hist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4.0284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红柱，多头动能增强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布林上轨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458.66 元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布林中轨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397.09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MA20，多空分水岭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布林下轨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335.53 元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%B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1.2383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突破上轨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带宽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31.01%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处于收窄中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ATR(14)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38.3512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占收盘价 7.86%</w:t>
            </w:r>
          </w:p>
        </w:tc>
      </w:tr>
    </w:tbl>
    <w:p/>
    <w:p>
      <w:pPr>
        <w:pStyle w:val="Heading1"/>
      </w:pPr>
      <w:r>
        <w:t>二、RSI — 相对强弱指标解读</w:t>
      </w:r>
    </w:p>
    <w:p>
      <w:pPr>
        <w:pStyle w:val="Heading2"/>
      </w:pPr>
      <w:r>
        <w:t>2.1 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数值/状态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RSI-6 (短周期)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79.05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RSI-14 (中周期)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70.58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RSI-24 (长周期)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68.15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近20日最高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78.91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近20日最低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51.61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近20日均值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63.10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近20日趋势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下降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所处区域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超买区 (&gt;70)</w:t>
            </w:r>
          </w:p>
        </w:tc>
      </w:tr>
    </w:tbl>
    <w:p/>
    <w:p>
      <w:pPr>
        <w:pStyle w:val="Heading2"/>
      </w:pPr>
      <w:r>
        <w:t>2.2 综合解读</w:t>
      </w:r>
    </w:p>
    <w:p>
      <w:r>
        <w:rPr>
          <w:rFonts w:ascii="Microsoft YaHei" w:hAnsi="Microsoft YaHei" w:eastAsia="Microsoft YaHei"/>
          <w:sz w:val="20"/>
        </w:rPr>
        <w:t>当前 RSI-14 值为 **70.58**，处于**超买区域**。这意味着近期多头力量已经充分释放，短期可能面临获利回吐压力。建议关注是否出现拐头向下信号；若 RSI 从超买区回落至 70 以下，往往是短期调整开始的确认。</w:t>
      </w:r>
    </w:p>
    <w:p/>
    <w:p>
      <w:r>
        <w:rPr>
          <w:b/>
          <w:color w:val="DC143C"/>
        </w:rPr>
        <w:t>可能存在**顶背离**信号（价格走高而 RSI 走低），需警惕短期回调。</w:t>
      </w:r>
    </w:p>
    <w:p>
      <w:pPr>
        <w:pStyle w:val="Heading2"/>
      </w:pPr>
      <w:r>
        <w:t>2.3 多周期对比分析</w:t>
      </w:r>
    </w:p>
    <w:p>
      <w:r>
        <w:rPr>
          <w:rFonts w:ascii="Microsoft YaHei" w:hAnsi="Microsoft YaHei" w:eastAsia="Microsoft YaHei"/>
          <w:b/>
          <w:sz w:val="21"/>
        </w:rPr>
        <w:t>短周期(6) vs 中周期(14)：</w:t>
      </w:r>
      <w:r>
        <w:rPr>
          <w:rFonts w:ascii="Microsoft YaHei" w:hAnsi="Microsoft YaHei" w:eastAsia="Microsoft YaHei"/>
          <w:sz w:val="21"/>
        </w:rPr>
        <w:t>短周期RSI在中周期上方，短期动量较强。</w:t>
      </w:r>
    </w:p>
    <w:p>
      <w:r>
        <w:rPr>
          <w:rFonts w:ascii="Microsoft YaHei" w:hAnsi="Microsoft YaHei" w:eastAsia="Microsoft YaHei"/>
          <w:b/>
          <w:sz w:val="21"/>
        </w:rPr>
        <w:t>中周期(14) vs 长周期(24)：</w:t>
      </w:r>
      <w:r>
        <w:rPr>
          <w:rFonts w:ascii="Microsoft YaHei" w:hAnsi="Microsoft YaHei" w:eastAsia="Microsoft YaHei"/>
          <w:sz w:val="21"/>
        </w:rPr>
        <w:t>中期RSI在长期上方，中期趋势偏多，大方向处于上升通道。</w:t>
      </w:r>
    </w:p>
    <w:p>
      <w:r>
        <w:rPr>
          <w:rFonts w:ascii="Microsoft YaHei" w:hAnsi="Microsoft YaHei" w:eastAsia="Microsoft YaHei"/>
          <w:b/>
          <w:sz w:val="21"/>
        </w:rPr>
        <w:t>交易信号参考：</w:t>
      </w:r>
      <w:r>
        <w:rPr>
          <w:rFonts w:ascii="Microsoft YaHei" w:hAnsi="Microsoft YaHei" w:eastAsia="Microsoft YaHei"/>
          <w:sz w:val="21"/>
        </w:rPr>
        <w:t>RSI-14 从上方逼近 50 中轴，站上 50 则为中线加仓信号。</w:t>
      </w:r>
    </w:p>
    <w:p/>
    <w:p>
      <w:pPr>
        <w:pStyle w:val="Heading1"/>
      </w:pPr>
      <w:r>
        <w:t>三、MACD — 指数平滑异同移动平均线解读</w:t>
      </w:r>
    </w:p>
    <w:p>
      <w:pPr>
        <w:pStyle w:val="Heading2"/>
      </w:pPr>
      <w:r>
        <w:t>3.1 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数值/状态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DIF (12-26 快慢EMA差)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28.8911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DEA (DIF的9日EMA)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24.8627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MACD柱 (DIF-DEA)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4.0284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金叉次数 (全期)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死叉次数 (全期)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近20日金叉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近20日死叉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柱状图颜色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红柱（正值）</w:t>
            </w:r>
          </w:p>
        </w:tc>
      </w:tr>
    </w:tbl>
    <w:p/>
    <w:p>
      <w:pPr>
        <w:pStyle w:val="Heading2"/>
      </w:pPr>
      <w:r>
        <w:t>3.2 综合解读</w:t>
      </w:r>
    </w:p>
    <w:p>
      <w:r>
        <w:rPr>
          <w:rFonts w:ascii="Microsoft YaHei" w:hAnsi="Microsoft YaHei" w:eastAsia="Microsoft YaHei"/>
          <w:sz w:val="20"/>
        </w:rPr>
        <w:t>当前 DIF = **28.8911**，DEA = **24.8627**，MACD 柱 = **4.0284**。</w:t>
        <w:br/>
        <w:br/>
        <w:t>• **位置判断**：DIF 位于零轴上方的多头区域，整体偏多头格局。</w:t>
        <w:br/>
        <w:t>• **趋势方向**：近 20 日 DIF 整体呈上行趋势，多头动能正在增强。</w:t>
        <w:br/>
        <w:t>• **信号统计**：全期间共发生 9 次金叉，9 次死叉；最近 20 个交易日内出现 2 次金叉、1 次死叉。</w:t>
        <w:br/>
        <w:t>• **研判**：DIF 在 DEA 上方运行且柱状图为正值（红柱），当前处于多头主导阶段，建议顺势而为、持仓观察。</w:t>
      </w:r>
    </w:p>
    <w:p/>
    <w:p>
      <w:r>
        <w:t>最近一次金叉发生日期：2026-07-03</w:t>
      </w:r>
    </w:p>
    <w:p>
      <w:r>
        <w:t>最近一次死叉发生日期：2026-06-15</w:t>
      </w:r>
    </w:p>
    <w:p/>
    <w:p>
      <w:pPr>
        <w:pStyle w:val="Heading1"/>
      </w:pPr>
      <w:r>
        <w:t>四、布林带 — Bollinger Bands 解读</w:t>
      </w:r>
    </w:p>
    <w:p>
      <w:pPr>
        <w:pStyle w:val="Heading2"/>
      </w:pPr>
      <w:r>
        <w:t>4.1 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上轨 (Upper)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458.66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MID + 2×STD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中轨 (Mid / MA20)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397.09 元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多空分界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下轨 (Lower)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335.53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MID − 2×STD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收盘价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488.00 元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%B (相对位置)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1.2383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突破上轨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带宽 (BandWidth)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31.01%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趋势：收窄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带口宽窄 (上下轨间距)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123.13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与上轨距离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-29.34 元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与中轨距离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90.91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4.2 综合解读</w:t>
      </w:r>
    </w:p>
    <w:p>
      <w:r>
        <w:rPr>
          <w:rFonts w:ascii="Microsoft YaHei" w:hAnsi="Microsoft YaHei" w:eastAsia="Microsoft YaHei"/>
          <w:sz w:val="20"/>
        </w:rPr>
        <w:t>当前收盘价 **488.00** 元，布林带上轨 **458.66**，中轨 **397.09**，下轨 **335.53**。</w:t>
        <w:br/>
        <w:br/>
        <w:t>• **价格位置**：%B = **1.2383**，处于「**突破上轨**」。价格已突破布林带上轨（%B &gt; 1.0），短线处于极强区域。若成交量配合，可能加速上行；但若无量能支撑，存在回踩上轨确认的需求。</w:t>
        <w:br/>
        <w:t>• **带宽状态**：当前带宽 **31.01%**，近 20 日处于收窄趋势。波动率收敛，布林带在酝酿方向选择，近期可能出现突破行情。</w:t>
        <w:br/>
        <w:t>• **关键价位**：中轨（MA20）= 397.09 元是多空分水岭，突破上轨 458.66 元需成交量配合，跌破下轨 335.53 元则意味着趋势转弱。</w:t>
        <w:br/>
        <w:t>• **操作参考**：价格突破上轨，可顺势持有；若 %B 从 &gt;1 回落至 &lt;1，可考虑部分止盈。</w:t>
      </w:r>
    </w:p>
    <w:p/>
    <w:p>
      <w:pPr>
        <w:pStyle w:val="Heading1"/>
      </w:pPr>
      <w:r>
        <w:t>五、ATR — 平均真实波幅解读</w:t>
      </w:r>
    </w:p>
    <w:p>
      <w:pPr>
        <w:pStyle w:val="Heading2"/>
      </w:pPr>
      <w:r>
        <w:t>5.1 当前状态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ATR(14)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38.3512 元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ATR / Close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7.86%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近20日均值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32.60 元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波动趋势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增大（高于均值）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2×ATR 止损价 (多头)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411.30 元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1×ATR 较紧止损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449.65 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2×ATR 止盈价 (空头)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564.70 元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波动级别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</w:tr>
    </w:tbl>
    <w:p/>
    <w:p>
      <w:pPr>
        <w:pStyle w:val="Heading2"/>
      </w:pPr>
      <w:r>
        <w:t>5.2 综合解读</w:t>
      </w:r>
    </w:p>
    <w:p>
      <w:r>
        <w:rPr>
          <w:rFonts w:ascii="Microsoft YaHei" w:hAnsi="Microsoft YaHei" w:eastAsia="Microsoft YaHei"/>
          <w:sz w:val="20"/>
        </w:rPr>
        <w:t>当前 ATR(14) = **38.3512** 元，占收盘价的 **7.86%**。</w:t>
        <w:br/>
        <w:br/>
        <w:t>• **波动水平**：近 20 日 ATR 均值 32.60 元，当前值高于均值，波动率处于放大状态。</w:t>
        <w:br/>
        <w:t>• **波动评估**：ATR/Close = 7.86%，属于高波动水平（&gt;5%），短线的多空博弈激烈，单日价格可能剧烈摆动。</w:t>
        <w:br/>
        <w:t>• **止损参考**：若持有多头仓位，基于 2×ATR 的止损价约为 **411.30** 元（较现价低 76.70 元）；1×ATR 的较紧止损价约为 **449.65** 元。</w:t>
        <w:br/>
        <w:t>• **仓位建议**：ATR 偏高→降低仓位以减少回撤风险；ATR 偏低→可适当加大仓位。</w:t>
        <w:br/>
        <w:t>• **注意**：ATR 仅衡量波动幅度，不指示涨跌方向。需要结合 MACD 或均线等趋势指标综合判断。</w:t>
      </w:r>
    </w:p>
    <w:p/>
    <w:p>
      <w:pPr>
        <w:pStyle w:val="Heading1"/>
      </w:pPr>
      <w:r>
        <w:t>六、综合研判</w:t>
      </w:r>
    </w:p>
    <w:p>
      <w:pPr>
        <w:pStyle w:val="Heading2"/>
      </w:pPr>
      <w:r>
        <w:t>6.1 指标共振判断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技术指标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信号方向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偏多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MACD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多头信号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布林带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中轨上方偏强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ATR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波动放大</w:t>
            </w:r>
          </w:p>
        </w:tc>
      </w:tr>
    </w:tbl>
    <w:p/>
    <w:p>
      <w:r>
        <w:rPr>
          <w:b/>
          <w:color w:val="DC143C"/>
          <w:sz w:val="24"/>
        </w:rPr>
        <w:t>综合评级：多头共振</w:t>
      </w:r>
    </w:p>
    <w:p/>
    <w:p>
      <w:r>
        <w:rPr>
          <w:rFonts w:ascii="Microsoft YaHei" w:hAnsi="Microsoft YaHei" w:eastAsia="Microsoft YaHei"/>
          <w:sz w:val="20"/>
        </w:rPr>
        <w:t>多个指标同时发出偏多信号，处于多头共振状态。短期内趋势向上的概率较大，但需要注意 RSI 是否进入超买区域，以及 MACD 是否出现动能衰减迹象。建议顺势而为，同时设好止损。</w:t>
      </w:r>
    </w:p>
    <w:p/>
    <w:p>
      <w:pPr>
        <w:pStyle w:val="Heading2"/>
      </w:pPr>
      <w:r>
        <w:t>6.2 参数汇总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参数设置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 / 14 / 24 (EMA平滑)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MACD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Fast=12, Slow=26, Signal=9; Hist=DIFF−DEA (不×2)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布林带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Period=20, K=2</w:t>
            </w:r>
          </w:p>
        </w:tc>
      </w:tr>
      <w:tr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ATR</w:t>
            </w:r>
          </w:p>
        </w:tc>
        <w:tc>
          <w:tcPr>
            <w:tcW w:type="dxa" w:w="432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Period=14 (EMA平滑)</w:t>
            </w:r>
          </w:p>
        </w:tc>
      </w:tr>
    </w:tbl>
    <w:p/>
    <w:p>
      <w:pPr>
        <w:pStyle w:val="Heading2"/>
      </w:pPr>
      <w:r>
        <w:t>6.3 重要提示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技术指标均为滞后指标，反映的是历史价格信息，不可用于预测未来价格。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ATR 不指示方向，仅衡量波动幅度，需搭配趋势类指标使用。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在强趋势行情中，RSI 可能长期处于超买（&gt;70）区域，超买不一定意味立即回调。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布林带在横盘市场中参考价值较高；在强单边行情中，价格可能长时间贴边运行。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本报告所有分析基于 2025-07-03 至 2026-07-03 的日线数据，时效性截至数据末交易日。</w:t>
      </w:r>
    </w:p>
    <w:p/>
    <w:p>
      <w:pPr>
        <w:jc w:val="center"/>
      </w:pPr>
      <w: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