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绿的谐波 (688017.SH) KDJ 指标解读报告</w:t>
      </w:r>
    </w:p>
    <w:p/>
    <w:p>
      <w:pPr>
        <w:jc w:val="center"/>
      </w:pPr>
      <w:r>
        <w:rPr>
          <w:color w:val="808080"/>
          <w:sz w:val="18"/>
        </w:rPr>
        <w:t>分析日期：2026-07-04　　数据期间：2025-07-03 ~ 2026-07-03 (243 交易日)　　最新收盘：488.00 元　　KDJ 参数：(9, 3, 3)</w:t>
      </w:r>
    </w:p>
    <w:p/>
    <w:p>
      <w:r>
        <w:t>免责声明：以下内容基于公开数据的技术指标计算与分析，不构成任何投资建议。KDJ 为摆动类指标，在强趋势行情中存在钝化风险，需结合趋势指标综合判断。</w:t>
      </w:r>
    </w:p>
    <w:p/>
    <w:p>
      <w:pPr>
        <w:pStyle w:val="Heading1"/>
      </w:pPr>
      <w:r>
        <w:t>一、KDJ 指标简介</w:t>
      </w:r>
    </w:p>
    <w:p>
      <w:r>
        <w:rPr>
          <w:rFonts w:ascii="Microsoft YaHei" w:hAnsi="Microsoft YaHei" w:eastAsia="Microsoft YaHei"/>
          <w:sz w:val="21"/>
        </w:rPr>
        <w:t>KDJ（随机指标 / Stochastic Oscillator）由 George Lane 提出，通过比较收盘价在 一定周期内价格区间的位置来衡量市场动能的强弱。与 RSI 类似，KDJ 也是摆动类指标，但由于引入 J 线（反映 K 与 D 的乖离），其灵敏度更高，特别适合捕捉短线转折信号。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构成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计算公式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 线 (快线)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 = 2/3×K_pre + 1/3×RSV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核心线，反应较灵敏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 线 (慢线)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 = 2/3×D_pre + 1/3×K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信号线，K 的平滑版本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 线 (乖离线)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 = 3×K − 2×D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先行指标，波动最大，可突破 0–100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RSV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RSV = (C-L_9)/(H_9-L_9)×100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未成熟随机值，9 日周期</w:t>
            </w:r>
          </w:p>
        </w:tc>
      </w:tr>
    </w:tbl>
    <w:p/>
    <w:p>
      <w:r>
        <w:t>经典判断法则：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K &gt; 80 / D &gt; 70 / J &gt; 100 → 超买区，短期可能回调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K &lt; 20 / D &lt; 30 / J &lt; 0 → 超卖区，短期可能反弹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K 上穿 D → 金叉买入信号；K 下穿 D → 死叉卖出信号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 线跌破 0（钝化）后再次上穿 → 较强的底部反转信号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J 线突破 100（钝化）后再次下穿 → 较强的顶部反转信号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在强趋势中，KDJ 可能持续高位/低位钝化，此时应结合趋势指标判断</w:t>
      </w:r>
    </w:p>
    <w:p/>
    <w:p>
      <w:pPr>
        <w:pStyle w:val="Heading1"/>
      </w:pPr>
      <w:r>
        <w:t>二、当前 KDJ 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 (快线)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75.05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🟡 中性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 (慢线)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64.33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🟡 中性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 (乖离线)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96.48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🔴 超买(&gt;80)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 vs D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 线在 D 线上方，多头排列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偏多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 K 趋势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 D 趋势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上升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 J 趋势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上升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近期 J 最高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115.46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近期 J 最低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-21.13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三、综合解读</w:t>
      </w:r>
    </w:p>
    <w:p>
      <w:r>
        <w:rPr>
          <w:rFonts w:ascii="Microsoft YaHei" w:hAnsi="Microsoft YaHei" w:eastAsia="Microsoft YaHei"/>
          <w:sz w:val="21"/>
        </w:rPr>
        <w:t>• **三线定位**：K=75.05, D=64.33, J=96.48。K 线在 D 线上方，多头排列，偏多信号。</w:t>
        <w:br/>
        <w:t>• **J 线研判**：J 线 = 96.5（&gt;80），处于**超买**区域，追高需谨慎。J 线作为最敏感的先行指标，其极端值往往先于价格给出预警。</w:t>
        <w:br/>
        <w:t>• **趋势方向**：K 线近 200 日整体呈上升趋势，D 线呈上升趋势，短线 J 线呈上升趋势。</w:t>
        <w:br/>
        <w:t>• **金叉/死叉**：全期合计 18 次金叉、17 次死叉；最近 20 日 3 次金叉、2 次死叉。</w:t>
        <w:br/>
        <w:t>• **极端值**：全期 J 线突破 100 共计 12 次，跌破 0 共计 16 次；近 20 日分别出现 11 次（&gt;100）和 16 次（&lt;0）。</w:t>
        <w:br/>
        <w:t>• **钝化判断**：未发现明显钝化信号，KDJ 摆动特征正常。</w:t>
        <w:br/>
        <w:t>• **综合研判**：KDJ 处于多头排列（K &gt; D），且运行在中轴上方，短期趋势偏强。可顺势操作，但需关注 J 线是否接近 100 超买区域。</w:t>
      </w:r>
    </w:p>
    <w:p/>
    <w:p>
      <w:pPr>
        <w:pStyle w:val="Heading1"/>
      </w:pPr>
      <w:r>
        <w:t>四、金叉/死叉信号统计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信号类型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次数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全期金叉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 上穿 D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全期死叉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17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 下穿 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近20日金叉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最近发生于 2026-06-30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近20日死叉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最近发生于 2026-06-26</w:t>
            </w:r>
          </w:p>
        </w:tc>
      </w:tr>
    </w:tbl>
    <w:p/>
    <w:p>
      <w:r>
        <w:t>最近交叉信号记录：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K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D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J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2026-04-07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死叉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40.30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48.90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23.08</w:t>
            </w:r>
          </w:p>
        </w:tc>
      </w:tr>
      <w:tr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2026-04-08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金叉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56.95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51.58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67.68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2026-04-23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死叉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65.34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77.39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41.22</w:t>
            </w:r>
          </w:p>
        </w:tc>
      </w:tr>
      <w:tr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2026-04-30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金叉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65.81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61.52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74.39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2026-05-21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死叉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87.22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88.48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84.71</w:t>
            </w:r>
          </w:p>
        </w:tc>
      </w:tr>
      <w:tr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2026-06-05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金叉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53.79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40.30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80.76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2026-06-12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死叉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55.49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60.83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44.82</w:t>
            </w:r>
          </w:p>
        </w:tc>
      </w:tr>
      <w:tr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2026-06-25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金叉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54.00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51.93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58.13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2026-06-26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死叉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46.56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50.14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39.40</w:t>
            </w:r>
          </w:p>
        </w:tc>
      </w:tr>
      <w:tr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2026-06-30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金叉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57.45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50.07</w:t>
            </w:r>
          </w:p>
        </w:tc>
        <w:tc>
          <w:tcPr>
            <w:tcW w:type="dxa" w:w="1728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72.22</w:t>
            </w:r>
          </w:p>
        </w:tc>
      </w:tr>
    </w:tbl>
    <w:p/>
    <w:p>
      <w:pPr>
        <w:pStyle w:val="Heading1"/>
      </w:pPr>
      <w:r>
        <w:t>五、J 线极端值统计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 &gt; 100 总次数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占比 4.9%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 &lt; 0 总次数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占比 6.6%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 J &gt; 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近20日 J &lt; 0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16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—</w:t>
            </w:r>
          </w:p>
        </w:tc>
      </w:tr>
    </w:tbl>
    <w:p/>
    <w:p>
      <w:pPr>
        <w:pStyle w:val="Heading1"/>
      </w:pPr>
      <w:r>
        <w:t>六、KDJ 与其他技术指标的综合视角</w:t>
      </w:r>
    </w:p>
    <w:p>
      <w:r>
        <w:rPr>
          <w:rFonts w:ascii="Microsoft YaHei" w:hAnsi="Microsoft YaHei" w:eastAsia="Microsoft YaHei"/>
          <w:sz w:val="21"/>
        </w:rPr>
        <w:t>KDJ 属于摆动类指标，与 RSI 有相似之处（均判断超买超卖），但灵敏度更高、钝化风险也更大。建议在实战中与其他指标交叉验证：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联合使用方式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RSI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同属超买超卖类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若 RSI 与 KDJ 同时发出超买/超卖信号，可信度更高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MACD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趋势类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KDJ 给出金叉/死叉时，MACD 是否也处在同向趋势中，可过滤假信号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布林带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波动/趋势类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KDJ 超卖 + 价格触及布林下轨 → 反弹概率更大的双重确认</w:t>
            </w:r>
          </w:p>
        </w:tc>
      </w:tr>
      <w:tr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ATR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波动类</w:t>
            </w:r>
          </w:p>
        </w:tc>
        <w:tc>
          <w:tcPr>
            <w:tcW w:type="dxa" w:w="2880"/>
            <w:shd w:fill="F2F7FB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高 ATR 环境下 KDJ 钝化概率大，需降低对其超买超卖信号的权重</w:t>
            </w:r>
          </w:p>
        </w:tc>
      </w:tr>
    </w:tbl>
    <w:p/>
    <w:p>
      <w:pPr>
        <w:pStyle w:val="Heading1"/>
      </w:pPr>
      <w:r>
        <w:t>七、参数与免责</w:t>
      </w:r>
    </w:p>
    <w:p>
      <w:r>
        <w:rPr>
          <w:rFonts w:ascii="Microsoft YaHei" w:hAnsi="Microsoft YaHei" w:eastAsia="Microsoft YaHei"/>
          <w:sz w:val="21"/>
        </w:rPr>
        <w:t>本报告 KDJ 参数为 (9, 3, 3)，即计算周期 N=9、EMA 权重满足 K 的平滑系数为 1/3。数据来源 Tushare (2025-07-03 ~ 2026-07-03)，共 243 个交易日。</w:t>
      </w:r>
    </w:p>
    <w:p/>
    <w:p>
      <w:r>
        <w:rPr>
          <w:rFonts w:ascii="Microsoft YaHei" w:hAnsi="Microsoft YaHei" w:eastAsia="Microsoft YaHei"/>
          <w:sz w:val="21"/>
        </w:rPr>
        <w:t>KDJ 的局限性：在单边强趋势行情中，J 线可能长时间停留在 &gt;100 或 &lt;0 的钝化区域，此时金叉/死叉信号频繁出现但多为假信号。请务必结合 MACD、均线等趋势指标综合判断，不可仅凭 KDJ 单一指标做出交易决策。</w:t>
      </w:r>
    </w:p>
    <w:p/>
    <w:p>
      <w:pPr>
        <w:jc w:val="center"/>
      </w:pPr>
      <w: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