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16"/>
        <w:ind w:left="0" w:right="0"/>
      </w:pPr>
    </w:p>
    <w:p>
      <w:pPr>
        <w:autoSpaceDN w:val="0"/>
        <w:autoSpaceDE w:val="0"/>
        <w:widowControl/>
        <w:spacing w:line="342" w:lineRule="exact" w:before="0" w:after="0"/>
        <w:ind w:left="0" w:right="0" w:firstLine="0"/>
        <w:jc w:val="center"/>
      </w:pPr>
      <w:r>
        <w:rPr>
          <w:rFonts w:ascii="NimbusRomNo9L" w:hAnsi="NimbusRomNo9L" w:eastAsia="NimbusRomNo9L"/>
          <w:b/>
          <w:i w:val="0"/>
          <w:color w:val="000000"/>
          <w:sz w:val="34"/>
        </w:rPr>
        <w:t>Insightimate: Enhancing Software Effort Estimation Accuracy</w:t>
      </w:r>
    </w:p>
    <w:p>
      <w:pPr>
        <w:autoSpaceDN w:val="0"/>
        <w:autoSpaceDE w:val="0"/>
        <w:widowControl/>
        <w:spacing w:line="344" w:lineRule="exact" w:before="94" w:after="0"/>
        <w:ind w:left="0" w:right="0" w:firstLine="0"/>
        <w:jc w:val="center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Using Machine Learning Across Three Schemas</w:t>
      </w:r>
    </w:p>
    <w:p>
      <w:pPr>
        <w:autoSpaceDN w:val="0"/>
        <w:autoSpaceDE w:val="0"/>
        <w:widowControl/>
        <w:spacing w:line="344" w:lineRule="exact" w:before="94" w:after="0"/>
        <w:ind w:left="0" w:right="0" w:firstLine="0"/>
        <w:jc w:val="center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(LOC/FP/UCP)</w:t>
      </w:r>
    </w:p>
    <w:p>
      <w:pPr>
        <w:autoSpaceDN w:val="0"/>
        <w:autoSpaceDE w:val="0"/>
        <w:widowControl/>
        <w:spacing w:line="280" w:lineRule="exact" w:before="304" w:after="0"/>
        <w:ind w:left="576" w:right="576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Nguyen Nhat Huy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, Duc Man Nguyen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, Dang Nhat Minh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, Nguyen Thuy Giang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P. W. C. Prasad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, Md Shohel Sayeed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2,*</w:t>
      </w:r>
    </w:p>
    <w:p>
      <w:pPr>
        <w:autoSpaceDN w:val="0"/>
        <w:autoSpaceDE w:val="0"/>
        <w:widowControl/>
        <w:spacing w:line="270" w:lineRule="exact" w:before="772" w:after="0"/>
        <w:ind w:left="864" w:right="864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16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International School, Duy Tan University, Da Nang 550000, Vietnam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Faculty of Information Science and Technology, Multimedia University, Malaysia 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*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Corresponding author: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shohel.sayeed@mmu.edu.my</w:t>
      </w:r>
    </w:p>
    <w:p>
      <w:pPr>
        <w:autoSpaceDN w:val="0"/>
        <w:autoSpaceDE w:val="0"/>
        <w:widowControl/>
        <w:spacing w:line="218" w:lineRule="exact" w:before="276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September 2025</w:t>
      </w:r>
    </w:p>
    <w:p>
      <w:pPr>
        <w:autoSpaceDN w:val="0"/>
        <w:autoSpaceDE w:val="0"/>
        <w:widowControl/>
        <w:spacing w:line="200" w:lineRule="exact" w:before="258" w:after="0"/>
        <w:ind w:left="0" w:right="0" w:firstLine="0"/>
        <w:jc w:val="center"/>
      </w:pPr>
      <w:r>
        <w:rPr>
          <w:rFonts w:ascii="NimbusRomNo9L" w:hAnsi="NimbusRomNo9L" w:eastAsia="NimbusRomNo9L"/>
          <w:b/>
          <w:i w:val="0"/>
          <w:color w:val="000000"/>
          <w:sz w:val="20"/>
        </w:rPr>
        <w:t>Abstract</w:t>
      </w:r>
    </w:p>
    <w:p>
      <w:pPr>
        <w:autoSpaceDN w:val="0"/>
        <w:autoSpaceDE w:val="0"/>
        <w:widowControl/>
        <w:spacing w:line="240" w:lineRule="exact" w:before="126" w:after="0"/>
        <w:ind w:left="546" w:right="432" w:firstLine="29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Accurate estimation of software development effort remains a longstanding challenge in project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management, particularly as contemporary projects exhibit greater heterogeneity in scale, methodol-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ogy, and complexity. While traditional parametric models such as COCOMO II offer interpretability, </w:t>
      </w:r>
      <w:r>
        <w:rPr>
          <w:w w:val="98.72529029846191"/>
          <w:rFonts w:ascii="NimbusRomNo9L" w:hAnsi="NimbusRomNo9L" w:eastAsia="NimbusRomNo9L"/>
          <w:b w:val="0"/>
          <w:i w:val="0"/>
          <w:color w:val="000000"/>
          <w:sz w:val="20"/>
        </w:rPr>
        <w:t xml:space="preserve">their fixed functional forms often underfit diverse modern datasets. Three critical gaps persist in prior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effort estimation research: (i) lack of auditable dataset provenance and deduplication transparency,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(ii) unfair baselines using uncalibrated parameters, and (iii) insufficient cross-source generalization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testing. Our unified, reproducible</w:t>
      </w:r>
      <w:r>
        <w:rPr>
          <w:rFonts w:ascii="NimbusRomNo9L" w:hAnsi="NimbusRomNo9L" w:eastAsia="NimbusRomNo9L"/>
          <w:b/>
          <w:i w:val="0"/>
          <w:color w:val="000000"/>
          <w:sz w:val="20"/>
        </w:rPr>
        <w:t xml:space="preserve"> schema-specific benchmarking framework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spans Lines of Code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(LOC), Function Points (FP), and Use Case Points (UCP), ensuring: (1) full dataset manifest with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provenance tracking and explicit deduplication rules; (2)</w:t>
      </w:r>
      <w:r>
        <w:rPr>
          <w:rFonts w:ascii="NimbusRomNo9L" w:hAnsi="NimbusRomNo9L" w:eastAsia="NimbusRomNo9L"/>
          <w:b/>
          <w:i w:val="0"/>
          <w:color w:val="000000"/>
          <w:sz w:val="20"/>
        </w:rPr>
        <w:t xml:space="preserve"> calibrated size-only power-law baselines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fitted on training data to avoid straw-man comparisons (not full COCOMO II due to missing cost </w:t>
      </w:r>
      <w:r>
        <w:rPr>
          <w:w w:val="98.62470626831055"/>
          <w:rFonts w:ascii="NimbusRomNo9L" w:hAnsi="NimbusRomNo9L" w:eastAsia="NimbusRomNo9L"/>
          <w:b w:val="0"/>
          <w:i w:val="0"/>
          <w:color w:val="000000"/>
          <w:sz w:val="20"/>
        </w:rPr>
        <w:t xml:space="preserve">drivers in public datasets); (3) schema-appropriate validation protocols (stratified splits for LOC/UCP,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LOOCV for FP) with leave-one-source-out generalization testing; (4) ablation analysis quantifying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preprocessing contributions; and (5)</w:t>
      </w:r>
      <w:r>
        <w:rPr>
          <w:rFonts w:ascii="NimbusRomNo9L" w:hAnsi="NimbusRomNo9L" w:eastAsia="NimbusRomNo9L"/>
          <w:b/>
          <w:i w:val="0"/>
          <w:color w:val="000000"/>
          <w:sz w:val="20"/>
        </w:rPr>
        <w:t xml:space="preserve"> stratified tail evaluation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to assess robustness on high-effort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projects (top 10%). Models are trained</w:t>
      </w:r>
      <w:r>
        <w:rPr>
          <w:rFonts w:ascii="NimbusRomNo9L" w:hAnsi="NimbusRomNo9L" w:eastAsia="NimbusRomNo9L"/>
          <w:b/>
          <w:i w:val="0"/>
          <w:color w:val="000000"/>
          <w:sz w:val="20"/>
        </w:rPr>
        <w:t xml:space="preserve"> independently per schema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to prevent semantic feature </w:t>
      </w:r>
      <w:r>
        <w:rPr>
          <w:w w:val="98.62470626831055"/>
          <w:rFonts w:ascii="NimbusRomNo9L" w:hAnsi="NimbusRomNo9L" w:eastAsia="NimbusRomNo9L"/>
          <w:b w:val="0"/>
          <w:i w:val="0"/>
          <w:color w:val="000000"/>
          <w:sz w:val="20"/>
        </w:rPr>
        <w:t xml:space="preserve">mismatch across sizing paradigms. Using publicly available datasets (1993–2022), we evaluate Linear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Regression, Decision Tree, Random Forest, Gradient Boosting, and XGBoost against the calibrated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size-only baseline, with optional imbalance-aware weighting for tail robustness. Random Forest </w:t>
      </w:r>
      <w:r>
        <w:rPr>
          <w:w w:val="98.62470626831055"/>
          <w:rFonts w:ascii="NimbusRomNo9L" w:hAnsi="NimbusRomNo9L" w:eastAsia="NimbusRomNo9L"/>
          <w:b w:val="0"/>
          <w:i w:val="0"/>
          <w:color w:val="000000"/>
          <w:sz w:val="20"/>
        </w:rPr>
        <w:t>achieves MAE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12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CMR10" w:hAnsi="CMR10" w:eastAsia="CMR10"/>
          <w:b w:val="0"/>
          <w:i w:val="0"/>
          <w:color w:val="000000"/>
          <w:sz w:val="20"/>
        </w:rPr>
        <w:t>66</w:t>
      </w:r>
      <w:r>
        <w:rPr>
          <w:rFonts w:ascii="CMSY10" w:hAnsi="CMSY10" w:eastAsia="CMSY10"/>
          <w:b w:val="0"/>
          <w:i/>
          <w:color w:val="000000"/>
          <w:sz w:val="20"/>
        </w:rPr>
        <w:t>±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CMR10" w:hAnsi="CMR10" w:eastAsia="CMR10"/>
          <w:b w:val="0"/>
          <w:i w:val="0"/>
          <w:color w:val="000000"/>
          <w:sz w:val="20"/>
        </w:rPr>
        <w:t>7</w:t>
      </w:r>
      <w:r>
        <w:rPr>
          <w:w w:val="98.62470626831055"/>
          <w:rFonts w:ascii="NimbusRomNo9L" w:hAnsi="NimbusRomNo9L" w:eastAsia="NimbusRomNo9L"/>
          <w:b w:val="0"/>
          <w:i w:val="0"/>
          <w:color w:val="000000"/>
          <w:sz w:val="20"/>
        </w:rPr>
        <w:t xml:space="preserve"> PM (42% improvement over baseline MAE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18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CMR10" w:hAnsi="CMR10" w:eastAsia="CMR10"/>
          <w:b w:val="0"/>
          <w:i w:val="0"/>
          <w:color w:val="000000"/>
          <w:sz w:val="20"/>
        </w:rPr>
        <w:t>45</w:t>
      </w:r>
      <w:r>
        <w:rPr>
          <w:rFonts w:ascii="CMSY10" w:hAnsi="CMSY10" w:eastAsia="CMSY10"/>
          <w:b w:val="0"/>
          <w:i/>
          <w:color w:val="000000"/>
          <w:sz w:val="20"/>
        </w:rPr>
        <w:t>±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62470626831055"/>
          <w:rFonts w:ascii="NimbusRomNo9L" w:hAnsi="NimbusRomNo9L" w:eastAsia="NimbusRomNo9L"/>
          <w:b w:val="0"/>
          <w:i w:val="0"/>
          <w:color w:val="000000"/>
          <w:sz w:val="20"/>
        </w:rPr>
        <w:t xml:space="preserve"> PM) with MMRE 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CMR10" w:hAnsi="CMR10" w:eastAsia="CMR10"/>
          <w:b w:val="0"/>
          <w:i w:val="0"/>
          <w:color w:val="000000"/>
          <w:sz w:val="20"/>
        </w:rPr>
        <w:t>65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0"/>
        </w:rPr>
        <w:t>.</w:t>
      </w:r>
      <w:r>
        <w:rPr>
          <w:rFonts w:ascii="CMR10" w:hAnsi="CMR10" w:eastAsia="CMR10"/>
          <w:b w:val="0"/>
          <w:i w:val="0"/>
          <w:color w:val="000000"/>
          <w:sz w:val="20"/>
        </w:rPr>
        <w:t>04</w:t>
      </w:r>
      <w:r>
        <w:rPr>
          <w:w w:val="98.77554893493652"/>
          <w:rFonts w:ascii="NimbusRomNo9L" w:hAnsi="NimbusRomNo9L" w:eastAsia="NimbusRomNo9L"/>
          <w:b w:val="0"/>
          <w:i w:val="0"/>
          <w:color w:val="000000"/>
          <w:sz w:val="20"/>
        </w:rPr>
        <w:t xml:space="preserve">; tail performance (top 10% effort) shows MAE degradation of 18% but remains superior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 parametric baselines. All metrics reported as mean</w:t>
      </w:r>
      <w:r>
        <w:rPr>
          <w:rFonts w:ascii="CMSY10" w:hAnsi="CMSY10" w:eastAsia="CMSY10"/>
          <w:b w:val="0"/>
          <w:i/>
          <w:color w:val="000000"/>
          <w:sz w:val="20"/>
        </w:rPr>
        <w:t xml:space="preserve"> ±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 std across 10 random seeds.</w:t>
      </w:r>
      <w:r>
        <w:rPr>
          <w:rFonts w:ascii="NimbusRomNo9L" w:hAnsi="NimbusRomNo9L" w:eastAsia="NimbusRomNo9L"/>
          <w:b/>
          <w:i w:val="0"/>
          <w:color w:val="000000"/>
          <w:sz w:val="20"/>
        </w:rPr>
        <w:t xml:space="preserve"> Aggregation </w:t>
      </w:r>
      <w:r>
        <w:rPr>
          <w:w w:val="98.9261531829834"/>
          <w:rFonts w:ascii="NimbusRomNo9L" w:hAnsi="NimbusRomNo9L" w:eastAsia="NimbusRomNo9L"/>
          <w:b/>
          <w:i w:val="0"/>
          <w:color w:val="000000"/>
          <w:sz w:val="20"/>
        </w:rPr>
        <w:t>protocol:</w:t>
      </w:r>
      <w:r>
        <w:rPr>
          <w:w w:val="98.9261531829834"/>
          <w:rFonts w:ascii="NimbusRomNo9L" w:hAnsi="NimbusRomNo9L" w:eastAsia="NimbusRomNo9L"/>
          <w:b w:val="0"/>
          <w:i w:val="0"/>
          <w:color w:val="000000"/>
          <w:sz w:val="20"/>
        </w:rPr>
        <w:t xml:space="preserve"> Overall results use</w:t>
      </w:r>
      <w:r>
        <w:rPr>
          <w:w w:val="98.9261531829834"/>
          <w:rFonts w:ascii="NimbusRomNo9L" w:hAnsi="NimbusRomNo9L" w:eastAsia="NimbusRomNo9L"/>
          <w:b/>
          <w:i w:val="0"/>
          <w:color w:val="000000"/>
          <w:sz w:val="20"/>
        </w:rPr>
        <w:t xml:space="preserve"> macro-averaging</w:t>
      </w:r>
      <w:r>
        <w:rPr>
          <w:w w:val="98.9261531829834"/>
          <w:rFonts w:ascii="NimbusRomNo9L" w:hAnsi="NimbusRomNo9L" w:eastAsia="NimbusRomNo9L"/>
          <w:b w:val="0"/>
          <w:i w:val="0"/>
          <w:color w:val="000000"/>
          <w:sz w:val="20"/>
        </w:rPr>
        <w:t xml:space="preserve"> (equal weight per schema: LOC/FP/UCP) to prevent </w:t>
      </w:r>
      <w:r>
        <w:rPr>
          <w:w w:val="98.82577896118164"/>
          <w:rFonts w:ascii="NimbusRomNo9L" w:hAnsi="NimbusRomNo9L" w:eastAsia="NimbusRomNo9L"/>
          <w:b w:val="0"/>
          <w:i w:val="0"/>
          <w:color w:val="000000"/>
          <w:sz w:val="20"/>
        </w:rPr>
        <w:t xml:space="preserve">LOC dominance (90.5% of projects); schema-specific results report per-schema test predictions from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independent models trained exclusively on that schema (no cross-schema pooling or transfer). These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contributions establish a fair, auditable, and imbalance-aware benchmark for ensemble-based effort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estimation.</w:t>
      </w:r>
    </w:p>
    <w:p>
      <w:pPr>
        <w:autoSpaceDN w:val="0"/>
        <w:autoSpaceDE w:val="0"/>
        <w:widowControl/>
        <w:spacing w:line="272" w:lineRule="exact" w:before="174" w:after="0"/>
        <w:ind w:left="8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>Index Terms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Effort estimation, size-only power-law baseline, machine learning, Random Forest, Gradient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Boosting, LOC, FP, UCP, dataset provenance, benchmarking methodology, cross-schema validation.</w:t>
      </w:r>
    </w:p>
    <w:p>
      <w:pPr>
        <w:autoSpaceDN w:val="0"/>
        <w:tabs>
          <w:tab w:pos="438" w:val="left"/>
        </w:tabs>
        <w:autoSpaceDE w:val="0"/>
        <w:widowControl/>
        <w:spacing w:line="288" w:lineRule="exact" w:before="426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1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Introduction</w:t>
      </w:r>
    </w:p>
    <w:p>
      <w:pPr>
        <w:autoSpaceDN w:val="0"/>
        <w:autoSpaceDE w:val="0"/>
        <w:widowControl/>
        <w:spacing w:line="272" w:lineRule="exact" w:before="214" w:after="0"/>
        <w:ind w:left="8" w:right="32" w:hanging="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Accurately estimating software development effort is a critical factor in determining the success of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software projects. Reliable estimates support effective planning, budgeting, resource allocation, and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risk management. Conversely, inaccurate estimates often result in cost overruns, schedule delays, and</w:t>
      </w:r>
    </w:p>
    <w:p>
      <w:pPr>
        <w:autoSpaceDN w:val="0"/>
        <w:autoSpaceDE w:val="0"/>
        <w:widowControl/>
        <w:spacing w:line="218" w:lineRule="exact" w:before="37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</w:p>
    <w:p>
      <w:pPr>
        <w:sectPr>
          <w:pgSz w:w="11906" w:h="16838"/>
          <w:pgMar w:top="1136" w:right="1408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autoSpaceDE w:val="0"/>
        <w:widowControl/>
        <w:spacing w:line="258" w:lineRule="exact" w:before="0" w:after="0"/>
        <w:ind w:left="32" w:right="62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even project failure, as widely acknowledged in the empirical software engineering literature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]. As 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modern software projects continue to grow in diversity—varying in size, methodology, domain, and team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structure—the challenge of producing consistent and trustworthy effort estimates becomes increasingly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pronounced.</w:t>
      </w:r>
    </w:p>
    <w:p>
      <w:pPr>
        <w:autoSpaceDN w:val="0"/>
        <w:autoSpaceDE w:val="0"/>
        <w:widowControl/>
        <w:spacing w:line="270" w:lineRule="exact" w:before="2" w:after="0"/>
        <w:ind w:left="32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 wide range of factors affect estimation accuracy, including project size, functional complexity,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development methodology, team capability, and organizational context. Traditional parametric models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such as COCOMO II provide closed-form transparency and have historically been adopted in industrial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settings, yet their fixed functional forms struggle to generalize across heterogeneous contemporary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datasets. This motivates the exploration of more flexible, data-driven approaches capable of capturing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non-linear patterns and adapting to diverse project characteristics, while acknowledging the trade-off with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parametric interpretability.</w:t>
      </w:r>
    </w:p>
    <w:p>
      <w:pPr>
        <w:autoSpaceDN w:val="0"/>
        <w:tabs>
          <w:tab w:pos="1656" w:val="left"/>
        </w:tabs>
        <w:autoSpaceDE w:val="0"/>
        <w:widowControl/>
        <w:spacing w:line="272" w:lineRule="exact" w:before="306" w:after="0"/>
        <w:ind w:left="32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What is known.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Software effort estimation (SEE) has long relied on parametric models (e.g., COCOMO-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family) and, more recently, machine-learning regressors. Prior studies consistently show that ensemble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methods (Random Forest, Gradient Boosting) can improve predictive accuracy on individual datasets,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and multi-schema approaches (LOC/FP/UCP) acknowledge the diversity of sizing conventions across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projects.</w:t>
      </w:r>
    </w:p>
    <w:p>
      <w:pPr>
        <w:autoSpaceDN w:val="0"/>
        <w:tabs>
          <w:tab w:pos="32" w:val="left"/>
          <w:tab w:pos="1826" w:val="left"/>
        </w:tabs>
        <w:autoSpaceDE w:val="0"/>
        <w:widowControl/>
        <w:spacing w:line="272" w:lineRule="exact" w:before="306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What is missing.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However, three critical issues frequently limit the strength and reproducibility of 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>reported gains: (i)</w:t>
      </w: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 xml:space="preserve"> weak auditability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 of pooled datasets—provenance, licensing, deduplication rules, and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rebuildability are often unclear, making independent replication difficult; (ii)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unfair or non-reproducible </w:t>
      </w: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>parametric baselines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—when cost drivers (effort multipliers, scale factors) are unavailable, COCOMO II 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>is often applied with arbitrary default parameters, creating straw-man comparisons; and (iii)</w:t>
      </w:r>
      <w:r>
        <w:rPr>
          <w:w w:val="98.77614107998934"/>
          <w:rFonts w:ascii="NimbusRomNo9L" w:hAnsi="NimbusRomNo9L" w:eastAsia="NimbusRomNo9L"/>
          <w:b/>
          <w:i w:val="0"/>
          <w:color w:val="000000"/>
          <w:sz w:val="22"/>
        </w:rPr>
        <w:t xml:space="preserve"> ambiguous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“overall” reporting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—cross-schema aggregations may be dominated by the largest schema (typically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LOC), masking true behavior on FP/UCP, and small-sample protocols (e.g., FP with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200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 are often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inadequately addressed.</w:t>
      </w:r>
    </w:p>
    <w:p>
      <w:pPr>
        <w:autoSpaceDN w:val="0"/>
        <w:tabs>
          <w:tab w:pos="1562" w:val="left"/>
        </w:tabs>
        <w:autoSpaceDE w:val="0"/>
        <w:widowControl/>
        <w:spacing w:line="270" w:lineRule="exact" w:before="308" w:after="0"/>
        <w:ind w:left="32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Research gap.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community lacks a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reproducible cross-schema benchmarking framework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that 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provides: (a) auditable dataset manifest with explicit deduplication and leakage controls, (b) fair baseline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comparisons under missing cost drivers, and (c) transparent aggregation protocols (macro vs. micro) with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appropriate small-sample strategies (e.g., LOOCV for limited data).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Our contribution addresses this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methodological gap, not model novelty per se.</w:t>
      </w:r>
    </w:p>
    <w:p>
      <w:pPr>
        <w:autoSpaceDN w:val="0"/>
        <w:tabs>
          <w:tab w:pos="1604" w:val="left"/>
        </w:tabs>
        <w:autoSpaceDE w:val="0"/>
        <w:widowControl/>
        <w:spacing w:line="272" w:lineRule="exact" w:before="310" w:after="0"/>
        <w:ind w:left="32" w:right="0" w:firstLine="0"/>
        <w:jc w:val="left"/>
      </w:pPr>
      <w:r>
        <w:rPr>
          <w:w w:val="98.27701395208184"/>
          <w:rFonts w:ascii="NimbusRomNo9L" w:hAnsi="NimbusRomNo9L" w:eastAsia="NimbusRomNo9L"/>
          <w:b/>
          <w:i w:val="0"/>
          <w:color w:val="000000"/>
          <w:sz w:val="22"/>
        </w:rPr>
        <w:t xml:space="preserve">Our approach. </w:t>
      </w:r>
      <w:r>
        <w:tab/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>We present a</w:t>
      </w:r>
      <w:r>
        <w:rPr>
          <w:w w:val="98.27701395208184"/>
          <w:rFonts w:ascii="NimbusRomNo9L" w:hAnsi="NimbusRomNo9L" w:eastAsia="NimbusRomNo9L"/>
          <w:b/>
          <w:i w:val="0"/>
          <w:color w:val="000000"/>
          <w:sz w:val="22"/>
        </w:rPr>
        <w:t xml:space="preserve"> methodological infrastructure for fair, auditable cross-schema bench-</w:t>
      </w:r>
      <w:r>
        <w:rPr>
          <w:w w:val="98.57678846879439"/>
          <w:rFonts w:ascii="NimbusRomNo9L" w:hAnsi="NimbusRomNo9L" w:eastAsia="NimbusRomNo9L"/>
          <w:b/>
          <w:i w:val="0"/>
          <w:color w:val="000000"/>
          <w:sz w:val="22"/>
        </w:rPr>
        <w:t>marking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through four concrete contributions: (1) an</w:t>
      </w:r>
      <w:r>
        <w:rPr>
          <w:w w:val="98.57678846879439"/>
          <w:rFonts w:ascii="NimbusRomNo9L" w:hAnsi="NimbusRomNo9L" w:eastAsia="NimbusRomNo9L"/>
          <w:b/>
          <w:i w:val="0"/>
          <w:color w:val="000000"/>
          <w:sz w:val="22"/>
        </w:rPr>
        <w:t xml:space="preserve"> auditable dataset manifest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(Table 1) documenting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source, year, DOI/URL, raw counts, deduplication rules, and rebuild scripts for full reproducibility; (2)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fair calibrated parametric baseline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(Section 2.1)—a size-only power-law model fitted on training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data per schema and seed—ensuring principled comparison when cost drivers are missing; (3)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schema-</w:t>
      </w:r>
      <w:r>
        <w:rPr>
          <w:w w:val="98.72634194113992"/>
          <w:rFonts w:ascii="NimbusRomNo9L" w:hAnsi="NimbusRomNo9L" w:eastAsia="NimbusRomNo9L"/>
          <w:b/>
          <w:i w:val="0"/>
          <w:color w:val="000000"/>
          <w:sz w:val="22"/>
        </w:rPr>
        <w:t>appropriate evaluation protocols</w:t>
      </w:r>
      <w:r>
        <w:rPr>
          <w:w w:val="98.72634194113992"/>
          <w:rFonts w:ascii="NimbusRomNo9L" w:hAnsi="NimbusRomNo9L" w:eastAsia="NimbusRomNo9L"/>
          <w:b w:val="0"/>
          <w:i w:val="0"/>
          <w:color w:val="000000"/>
          <w:sz w:val="22"/>
        </w:rPr>
        <w:t xml:space="preserve">, including Leave-One-Out Cross-Validation (LOOCV) and bootstrap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confidence intervals for small-sample FP, plus explicit macro/micro aggregation to avoid LOC dominance;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(4)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ablation analysis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(Section 5.5) quantifying contributions of harmonization, log-scaling, and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outlier control.</w:t>
      </w:r>
    </w:p>
    <w:p>
      <w:pPr>
        <w:autoSpaceDN w:val="0"/>
        <w:autoSpaceDE w:val="0"/>
        <w:widowControl/>
        <w:spacing w:line="270" w:lineRule="exact" w:before="2" w:after="0"/>
        <w:ind w:left="32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We evaluate Linear Regression, Decision Tree, Random Forest, Gradient Boosting, and XGBoost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against the calibrated baseline using standard metrics (MMRE, MdMRE, PRED(25), MAE, MdAE,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RMSE,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), analyzing behavior within individual sizing schemas.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The primary contribution is the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benchmarking framework itself, which future studies can use to evaluate new models or datasets under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consistent, fair conditions.</w:t>
      </w:r>
    </w:p>
    <w:p>
      <w:pPr>
        <w:autoSpaceDN w:val="0"/>
        <w:tabs>
          <w:tab w:pos="3154" w:val="left"/>
        </w:tabs>
        <w:autoSpaceDE w:val="0"/>
        <w:widowControl/>
        <w:spacing w:line="272" w:lineRule="exact" w:before="310" w:after="0"/>
        <w:ind w:left="32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Scope and limitations upfront.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Our focus is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methodological benchmarking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—establishing fair, au-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ditable cross-schema comparisons—rather than claiming a universally best estimator. Key scope con-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straints: (i) we use a size-only COCOMO-like baseline because most public FP/UCP datasets lack</w:t>
      </w:r>
    </w:p>
    <w:p>
      <w:pPr>
        <w:autoSpaceDN w:val="0"/>
        <w:autoSpaceDE w:val="0"/>
        <w:widowControl/>
        <w:spacing w:line="218" w:lineRule="exact" w:before="37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</w:p>
    <w:p>
      <w:pPr>
        <w:sectPr>
          <w:pgSz w:w="11906" w:h="16838"/>
          <w:pgMar w:top="746" w:right="1370" w:bottom="394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62" w:lineRule="exact" w:before="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cost drivers; (ii) models are trained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per schema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(LOC/FP/UCP) without cross-schema transfer; (iii)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FP results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 are exploratory despite LOOCV and bootstrap CIs; (iv) unit conversion assumes 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PM</w:t>
      </w:r>
      <w:r>
        <w:rPr>
          <w:rFonts w:ascii="CMR10" w:hAnsi="CMR10" w:eastAsia="CMR10"/>
          <w:b w:val="0"/>
          <w:i w:val="0"/>
          <w:color w:val="000000"/>
          <w:sz w:val="22"/>
        </w:rPr>
        <w:t>=160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hours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>, which may vary by organization; and (v) public datasets (1993–2022) may underrepre-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sent modern DevOps pipelines. These constraints clarify what our results can—and cannot—generalize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to.</w:t>
      </w:r>
    </w:p>
    <w:p>
      <w:pPr>
        <w:autoSpaceDN w:val="0"/>
        <w:tabs>
          <w:tab w:pos="2782" w:val="left"/>
        </w:tabs>
        <w:autoSpaceDE w:val="0"/>
        <w:widowControl/>
        <w:spacing w:line="272" w:lineRule="exact" w:before="316" w:after="0"/>
        <w:ind w:left="2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Research Gaps Addressed.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Despite extensive research in software effort estimation, three critical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gaps persist: (i) lack of transparent dataset provenance and deduplication—most studies cite "publicly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available data" without auditability; (ii) unfair baseline comparisons—COCOMO II is often applied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with default parameters when cost drivers are unavailable, creating straw-man benchmarks; and (iii) 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insufficient cross-source generalization testing—models trained and tested on random splits from pooled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datasets may not generalize to unseen project sources.</w:t>
      </w:r>
    </w:p>
    <w:p>
      <w:pPr>
        <w:autoSpaceDN w:val="0"/>
        <w:autoSpaceDE w:val="0"/>
        <w:widowControl/>
        <w:spacing w:line="218" w:lineRule="exact" w:before="54" w:after="0"/>
        <w:ind w:left="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contributions of this paper address these gaps through five concrete novelties:</w:t>
      </w:r>
    </w:p>
    <w:p>
      <w:pPr>
        <w:autoSpaceDN w:val="0"/>
        <w:autoSpaceDE w:val="0"/>
        <w:widowControl/>
        <w:spacing w:line="270" w:lineRule="exact" w:before="180" w:after="0"/>
        <w:ind w:left="440" w:right="58" w:hanging="26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1.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Auditable Dataset Manifest with Leakage Control: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We provide a comprehensive provenance table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(see Table 1) documenting source, year, DOI/URL, raw counts, deduplication rules, and train-test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splits for full reproducibility.</w:t>
      </w:r>
    </w:p>
    <w:p>
      <w:pPr>
        <w:autoSpaceDN w:val="0"/>
        <w:autoSpaceDE w:val="0"/>
        <w:widowControl/>
        <w:spacing w:line="270" w:lineRule="exact" w:before="180" w:after="0"/>
        <w:ind w:left="446" w:right="58" w:hanging="27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2.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Fair Calibrated Size-Only Baseline: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We replace uncalibrated parametric models with a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calibrated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size-only power-law baseline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fitted on training data only (Section 2.1), ensuring fair comparison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when cost drivers are missing.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Note: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This is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not a full COCOMO II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instantiation (which requires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effort multipliers and scale factors); it is a size-only power-law model calibrated per schema to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provide a fair parametric lower bound using only information available to ML models.</w:t>
      </w:r>
    </w:p>
    <w:p>
      <w:pPr>
        <w:autoSpaceDN w:val="0"/>
        <w:autoSpaceDE w:val="0"/>
        <w:widowControl/>
        <w:spacing w:line="272" w:lineRule="exact" w:before="178" w:after="0"/>
        <w:ind w:left="446" w:right="0" w:hanging="2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Schema-Specific Training with Cross-Source Generalization: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We adopt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schema-specific train-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(LOC/FP/UCP independently) to prevent semantic feature mismatch across sizing paradigms, 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complemented with leave-one-source-out validation to assess cross-source robustness. This clarifies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that our contribution is 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benchmarking methodology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not cross-schema transfer learning (reserved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future work).</w:t>
      </w:r>
    </w:p>
    <w:p>
      <w:pPr>
        <w:autoSpaceDN w:val="0"/>
        <w:tabs>
          <w:tab w:pos="446" w:val="left"/>
        </w:tabs>
        <w:autoSpaceDE w:val="0"/>
        <w:widowControl/>
        <w:spacing w:line="272" w:lineRule="exact" w:before="178" w:after="0"/>
        <w:ind w:left="17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4.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Ablation Study: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We quantify the individual contribution of harmonization, log-scaling, and outlier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control through systematic ablation experiments (Section 5.5).</w:t>
      </w:r>
    </w:p>
    <w:p>
      <w:pPr>
        <w:autoSpaceDN w:val="0"/>
        <w:autoSpaceDE w:val="0"/>
        <w:widowControl/>
        <w:spacing w:line="270" w:lineRule="exact" w:before="180" w:after="0"/>
        <w:ind w:left="446" w:right="0" w:hanging="2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5.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Stratified Tail Evaluation for Imbalance Awareness: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Because effort data exhibits long-tailed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distributions, we complement aggregate metrics with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stratified evaluation by effort quantiles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explicitly reporting performance on the top 10% highest-effort projects (tail). We further explore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imbalance-aware reweighting strategies to mitigate majority-region bias during training (Section 4.3).</w:t>
      </w:r>
    </w:p>
    <w:p>
      <w:pPr>
        <w:autoSpaceDN w:val="0"/>
        <w:autoSpaceDE w:val="0"/>
        <w:widowControl/>
        <w:spacing w:line="272" w:lineRule="exact" w:before="182" w:after="0"/>
        <w:ind w:left="10" w:right="0" w:hanging="6"/>
        <w:jc w:val="left"/>
      </w:pP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>These contributions shift focus from claiming model superiority to establishing a</w:t>
      </w:r>
      <w:r>
        <w:rPr>
          <w:w w:val="98.52689396251331"/>
          <w:rFonts w:ascii="NimbusRomNo9L" w:hAnsi="NimbusRomNo9L" w:eastAsia="NimbusRomNo9L"/>
          <w:b/>
          <w:i w:val="0"/>
          <w:color w:val="000000"/>
          <w:sz w:val="22"/>
        </w:rPr>
        <w:t xml:space="preserve"> reusable methodologi-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cal artifact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—a fair, auditable, imbalance-aware benchmarking framework that the research community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can adopt for future ensemble-based effort estimation studies. Our empirical findings (RF achieves 42% </w:t>
      </w:r>
      <w:r>
        <w:rPr>
          <w:w w:val="98.72634194113992"/>
          <w:rFonts w:ascii="NimbusRomNo9L" w:hAnsi="NimbusRomNo9L" w:eastAsia="NimbusRomNo9L"/>
          <w:b w:val="0"/>
          <w:i w:val="0"/>
          <w:color w:val="000000"/>
          <w:sz w:val="22"/>
        </w:rPr>
        <w:t>improvement over calibrated baseline) demonstrate the framework’s utility, but the</w:t>
      </w:r>
      <w:r>
        <w:rPr>
          <w:w w:val="98.72634194113992"/>
          <w:rFonts w:ascii="NimbusRomNo9L" w:hAnsi="NimbusRomNo9L" w:eastAsia="NimbusRomNo9L"/>
          <w:b w:val="0"/>
          <w:i/>
          <w:color w:val="000000"/>
          <w:sz w:val="22"/>
        </w:rPr>
        <w:t xml:space="preserve"> methodology itself</w:t>
      </w:r>
      <w:r>
        <w:rPr>
          <w:w w:val="98.72634194113992"/>
          <w:rFonts w:ascii="NimbusRomNo9L" w:hAnsi="NimbusRomNo9L" w:eastAsia="NimbusRomNo9L"/>
          <w:b w:val="0"/>
          <w:i w:val="0"/>
          <w:color w:val="000000"/>
          <w:sz w:val="22"/>
        </w:rPr>
        <w:t xml:space="preserve"> 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primary contribution.</w:t>
      </w:r>
    </w:p>
    <w:p>
      <w:pPr>
        <w:autoSpaceDN w:val="0"/>
        <w:tabs>
          <w:tab w:pos="2090" w:val="left"/>
        </w:tabs>
        <w:autoSpaceDE w:val="0"/>
        <w:widowControl/>
        <w:spacing w:line="272" w:lineRule="exact" w:before="314" w:after="0"/>
        <w:ind w:left="2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Paper Organization.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Section 2.1 introduces the calibrated power-law baseline ensuring fair parametric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comparisons; Section 3 details the dataset manifest, preprocessing pipeline, and experimental protocols 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(train-test splits, hyperparameter tuning, validation strategies); Section 4 presents overall and per-schema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results, statistical tests, and ablation analysis quantifying preprocessing contributions; Section 6 discusses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threats to validity and detailed limitations (FP constraints, cross-schema transfer, deduplication risks);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Section 7 positions our work within the broader literature on parametric, ensemble, deep learning, and 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transfer learning approaches; Section 7 concludes with recommendations for reproducible benchmarking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future research directions.</w:t>
      </w:r>
    </w:p>
    <w:p>
      <w:pPr>
        <w:autoSpaceDN w:val="0"/>
        <w:autoSpaceDE w:val="0"/>
        <w:widowControl/>
        <w:spacing w:line="218" w:lineRule="exact" w:before="75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</w:t>
      </w:r>
    </w:p>
    <w:p>
      <w:pPr>
        <w:sectPr>
          <w:pgSz w:w="11906" w:h="16838"/>
          <w:pgMar w:top="744" w:right="1382" w:bottom="39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438" w:val="left"/>
        </w:tabs>
        <w:autoSpaceDE w:val="0"/>
        <w:widowControl/>
        <w:spacing w:line="288" w:lineRule="exact" w:before="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2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Background and Methods</w:t>
      </w:r>
    </w:p>
    <w:p>
      <w:pPr>
        <w:autoSpaceDN w:val="0"/>
        <w:tabs>
          <w:tab w:pos="546" w:val="left"/>
        </w:tabs>
        <w:autoSpaceDE w:val="0"/>
        <w:widowControl/>
        <w:spacing w:line="240" w:lineRule="exact" w:before="25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2.1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Calibrated Size-Only Power-Law Baseline (COCOMO-like)</w:t>
      </w:r>
    </w:p>
    <w:p>
      <w:pPr>
        <w:autoSpaceDN w:val="0"/>
        <w:tabs>
          <w:tab w:pos="1840" w:val="left"/>
          <w:tab w:pos="3180" w:val="left"/>
          <w:tab w:pos="5098" w:val="left"/>
          <w:tab w:pos="5348" w:val="left"/>
          <w:tab w:pos="8794" w:val="left"/>
        </w:tabs>
        <w:autoSpaceDE w:val="0"/>
        <w:widowControl/>
        <w:spacing w:line="240" w:lineRule="exact" w:before="17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Intended Design.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Traditional COCOMO II estimates effort using a power-law function with effort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multipliers: </w:t>
      </w:r>
      <w:r>
        <w:br/>
      </w:r>
      <w:r>
        <w:tab/>
      </w:r>
      <w:r>
        <w:tab/>
      </w:r>
      <w:r>
        <w:tab/>
      </w:r>
      <w:r>
        <w:rPr>
          <w:rFonts w:ascii="CMMI8" w:hAnsi="CMMI8" w:eastAsia="CMMI8"/>
          <w:b w:val="0"/>
          <w:i/>
          <w:color w:val="000000"/>
          <w:sz w:val="16"/>
        </w:rPr>
        <w:t xml:space="preserve">m </w:t>
      </w:r>
      <w:r>
        <w:br/>
      </w:r>
      <w:r>
        <w:tab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tab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EM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(1)</w:t>
      </w:r>
    </w:p>
    <w:p>
      <w:pPr>
        <w:autoSpaceDN w:val="0"/>
        <w:autoSpaceDE w:val="0"/>
        <w:widowControl/>
        <w:spacing w:line="160" w:lineRule="exact" w:before="68" w:after="0"/>
        <w:ind w:left="0" w:right="3772" w:firstLine="0"/>
        <w:jc w:val="right"/>
      </w:pP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8" w:hAnsi="CMR8" w:eastAsia="CMR8"/>
          <w:b w:val="0"/>
          <w:i w:val="0"/>
          <w:color w:val="000000"/>
          <w:sz w:val="16"/>
        </w:rPr>
        <w:t>=1</w:t>
      </w:r>
    </w:p>
    <w:p>
      <w:pPr>
        <w:autoSpaceDN w:val="0"/>
        <w:autoSpaceDE w:val="0"/>
        <w:widowControl/>
        <w:spacing w:line="256" w:lineRule="exact" w:before="108" w:after="0"/>
        <w:ind w:left="8" w:right="0" w:hanging="8"/>
        <w:jc w:val="left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EM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capture project-specific characteristics (team experience, complexity, tool support). However,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most public FP and UCP datasets lack these cost drivers, making direct COCOMO II application infeasible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without arbitrary default multipliers.</w:t>
      </w:r>
    </w:p>
    <w:p>
      <w:pPr>
        <w:autoSpaceDN w:val="0"/>
        <w:tabs>
          <w:tab w:pos="4330" w:val="left"/>
        </w:tabs>
        <w:autoSpaceDE w:val="0"/>
        <w:widowControl/>
        <w:spacing w:line="272" w:lineRule="exact" w:before="31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Important: This Is NOT Full COCOMO II. 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Our baseline uses only size metrics (KLOC/FP/UCP)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without cost drivers or scale factors. We call it “COCOMO-like” because it preserves the power-law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scaling form 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∝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Size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), but it is fundamentally a size-only regression model calibrated on training </w:t>
      </w:r>
      <w:r>
        <w:rPr>
          <w:w w:val="98.1768868186257"/>
          <w:rFonts w:ascii="NimbusRomNo9L" w:hAnsi="NimbusRomNo9L" w:eastAsia="NimbusRomNo9L"/>
          <w:b w:val="0"/>
          <w:i/>
          <w:color w:val="000000"/>
          <w:sz w:val="22"/>
        </w:rPr>
        <w:t xml:space="preserve">data. This design ensures fair comparison when driver data is unavailable in public datasets, representing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a parametric lower bound rather than the full potential of COCOMO II.</w:t>
      </w:r>
    </w:p>
    <w:p>
      <w:pPr>
        <w:autoSpaceDN w:val="0"/>
        <w:tabs>
          <w:tab w:pos="2252" w:val="left"/>
          <w:tab w:pos="3330" w:val="left"/>
          <w:tab w:pos="8794" w:val="left"/>
        </w:tabs>
        <w:autoSpaceDE w:val="0"/>
        <w:widowControl/>
        <w:spacing w:line="272" w:lineRule="exact" w:before="318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Fair Baseline Design.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To avoid unfair "straw-man" comparisons, we adopt a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calibrated size-only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power-law baseline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fitted per schema and per random seed. Specifically, for each training split, we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estimate: </w:t>
      </w:r>
      <w:r>
        <w:br/>
      </w:r>
      <w:r>
        <w:tab/>
      </w:r>
      <w:r>
        <w:tab/>
      </w:r>
      <w:r>
        <w:rPr>
          <w:rFonts w:ascii="CMR10" w:hAnsi="CMR10" w:eastAsia="CMR10"/>
          <w:b w:val="0"/>
          <w:i w:val="0"/>
          <w:color w:val="000000"/>
          <w:sz w:val="22"/>
        </w:rPr>
        <w:t>log(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log(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(2)</w:t>
      </w:r>
    </w:p>
    <w:p>
      <w:pPr>
        <w:autoSpaceDN w:val="0"/>
        <w:autoSpaceDE w:val="0"/>
        <w:widowControl/>
        <w:spacing w:line="270" w:lineRule="exact" w:before="124" w:after="0"/>
        <w:ind w:left="8" w:right="0" w:hanging="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is effort in person-months and Size is KLOC/FP/UCP depending on schema. The fitted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α, β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are then used to predict held-out test efforts. This approach:</w:t>
      </w:r>
    </w:p>
    <w:p>
      <w:pPr>
        <w:autoSpaceDN w:val="0"/>
        <w:autoSpaceDE w:val="0"/>
        <w:widowControl/>
        <w:spacing w:line="222" w:lineRule="exact" w:before="218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 Preserves the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parametric spirit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of COCOMO (power-law scaling);</w:t>
      </w:r>
    </w:p>
    <w:p>
      <w:pPr>
        <w:autoSpaceDN w:val="0"/>
        <w:autoSpaceDE w:val="0"/>
        <w:widowControl/>
        <w:spacing w:line="222" w:lineRule="exact" w:before="224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 Uses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only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information available to ML models (size + optional duration/developers);</w:t>
      </w:r>
    </w:p>
    <w:p>
      <w:pPr>
        <w:autoSpaceDN w:val="0"/>
        <w:autoSpaceDE w:val="0"/>
        <w:widowControl/>
        <w:spacing w:line="222" w:lineRule="exact" w:before="224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 Calibrates on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training data only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ensuring fair train-test separation.</w:t>
      </w:r>
    </w:p>
    <w:p>
      <w:pPr>
        <w:autoSpaceDN w:val="0"/>
        <w:tabs>
          <w:tab w:pos="1196" w:val="left"/>
        </w:tabs>
        <w:autoSpaceDE w:val="0"/>
        <w:widowControl/>
        <w:spacing w:line="272" w:lineRule="exact" w:before="31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Rationale.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Uncalibrated parametric models with default parameters (e.g.,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B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COCOMO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organic mode) can yield arbitrarily poor performance on heterogeneous datasets, as evidenced by MMRE 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in preliminary experiments. Our calibrated size-only baseline provides 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principled parametric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lower bound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comparison: any ML model must outperform a simple log-log fit to justify added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complexity.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This is intentionally a “lower bound” baseline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—it does not include COCOMO II’s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full cost drivers (team experience, platform constraints, tool maturity), so it may underperform full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COCOMO II in industrial settings where driver data is available. However, for public datasets lacking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such metadata, this size-only approach ensures fair, reproducible comparisons.</w:t>
      </w:r>
    </w:p>
    <w:p>
      <w:pPr>
        <w:autoSpaceDN w:val="0"/>
        <w:autoSpaceDE w:val="0"/>
        <w:widowControl/>
        <w:spacing w:line="218" w:lineRule="exact" w:before="52" w:after="0"/>
        <w:ind w:left="34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While COCOMO II’s original formulation includes schedule estimation via</w:t>
      </w:r>
    </w:p>
    <w:p>
      <w:pPr>
        <w:autoSpaceDN w:val="0"/>
        <w:tabs>
          <w:tab w:pos="8794" w:val="left"/>
        </w:tabs>
        <w:autoSpaceDE w:val="0"/>
        <w:widowControl/>
        <w:spacing w:line="266" w:lineRule="exact" w:before="212" w:after="0"/>
        <w:ind w:left="373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Time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C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E</w:t>
      </w:r>
      <w:r>
        <w:rPr>
          <w:rFonts w:ascii="CMMI8" w:hAnsi="CMMI8" w:eastAsia="CMMI8"/>
          <w:b w:val="0"/>
          <w:i/>
          <w:color w:val="000000"/>
          <w:sz w:val="16"/>
        </w:rPr>
        <w:t>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(3)</w:t>
      </w:r>
    </w:p>
    <w:p>
      <w:pPr>
        <w:autoSpaceDN w:val="0"/>
        <w:autoSpaceDE w:val="0"/>
        <w:widowControl/>
        <w:spacing w:line="270" w:lineRule="exact" w:before="210" w:after="0"/>
        <w:ind w:left="8" w:right="46" w:hanging="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focus on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effort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estimation (Eqs. 1–2) as our primary target. The fixed parametric forms in these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COCOMO-style equations often underfit heterogeneous contemporary datasets, motivating the exploration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of machine learning methods that adapt more flexibly to diverse data sources.</w:t>
      </w:r>
    </w:p>
    <w:p>
      <w:pPr>
        <w:autoSpaceDN w:val="0"/>
        <w:tabs>
          <w:tab w:pos="1996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Pipeline Overview.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Our end-to-end methodology comprises four stages: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Step 1 (Input):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We ingest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heterogeneous datasets from multiple sources (1993–2022) and partition them by schema (LOC/FP/UCP)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according to the dataset manifest (Table 1).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Step 2 (Preprocessing):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We apply unit harmonization (effort</w:t>
      </w:r>
      <w:r>
        <w:rPr>
          <w:rFonts w:ascii="CMSY10" w:hAnsi="CMSY10" w:eastAsia="CMSY10"/>
          <w:b w:val="0"/>
          <w:i/>
          <w:color w:val="000000"/>
          <w:sz w:val="22"/>
        </w:rPr>
        <w:t>→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>person-months, LOC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→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KLOC), handle missing values via median imputation (only for raw-reported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features, no target-derived features), apply IQR-based outlier capping, and optional log transforms</w:t>
      </w:r>
    </w:p>
    <w:p>
      <w:pPr>
        <w:autoSpaceDN w:val="0"/>
        <w:autoSpaceDE w:val="0"/>
        <w:widowControl/>
        <w:spacing w:line="218" w:lineRule="exact" w:before="37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4</w:t>
      </w:r>
    </w:p>
    <w:p>
      <w:pPr>
        <w:sectPr>
          <w:pgSz w:w="11906" w:h="16838"/>
          <w:pgMar w:top="720" w:right="1394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64" w:lineRule="exact" w:before="0" w:after="0"/>
        <w:ind w:left="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linear models.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Step 3 (Training):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We train and tune models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within each schema independently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using the designated protocol: stratified 80/20 split with 5-fold inner CV for hyperparameter selection 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>(LOC/UCP), or Leave-One-Out Cross-Validation (LOOCV) for FP due to limited sample size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158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).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calibrated baseline (Eq. 2) is fitted on training data only per seed.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Step 4 (Evaluation):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We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evaluate on held-out test data (or pooled LOOCV predictions for FP) and report per-schema metrics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(MMRE, MdMRE, MAE, MdAE, RMSE), plus overall macro-averaged and micro-averaged performance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(Section 5.1). This schema-specific training approach ensures no cross-schema information leakage and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allows fair comparison of sizing paradigms.</w:t>
      </w:r>
    </w:p>
    <w:p>
      <w:pPr>
        <w:autoSpaceDN w:val="0"/>
        <w:tabs>
          <w:tab w:pos="548" w:val="left"/>
        </w:tabs>
        <w:autoSpaceDE w:val="0"/>
        <w:widowControl/>
        <w:spacing w:line="240" w:lineRule="exact" w:before="362" w:after="0"/>
        <w:ind w:left="1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2.2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Multi-Schema ML Framework</w:t>
      </w:r>
    </w:p>
    <w:p>
      <w:pPr>
        <w:autoSpaceDN w:val="0"/>
        <w:autoSpaceDE w:val="0"/>
        <w:widowControl/>
        <w:spacing w:line="270" w:lineRule="exact" w:before="146" w:after="0"/>
        <w:ind w:left="10" w:right="54" w:hanging="1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We introduce a unified machine-learning framework that trains a separate regressor for each sizing 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schema—Lines of Code (LOC), Function Points (FP), and Use Case Points (UCP)—and compares their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predictive performance with a calibrated parametric baseline (COCOMO-like power-law model).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each schema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∈{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LOC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FP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UCP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the framework learns a mapping</w:t>
      </w:r>
    </w:p>
    <w:p>
      <w:pPr>
        <w:autoSpaceDN w:val="0"/>
        <w:tabs>
          <w:tab w:pos="8796" w:val="left"/>
        </w:tabs>
        <w:autoSpaceDE w:val="0"/>
        <w:widowControl/>
        <w:spacing w:line="278" w:lineRule="exact" w:before="258" w:after="0"/>
        <w:ind w:left="3718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(4)</w:t>
      </w:r>
    </w:p>
    <w:p>
      <w:pPr>
        <w:autoSpaceDN w:val="0"/>
        <w:tabs>
          <w:tab w:pos="348" w:val="left"/>
        </w:tabs>
        <w:autoSpaceDE w:val="0"/>
        <w:widowControl/>
        <w:spacing w:line="272" w:lineRule="exact" w:before="128" w:after="0"/>
        <w:ind w:left="10" w:right="0" w:firstLine="0"/>
        <w:jc w:val="left"/>
      </w:pPr>
      <w:r>
        <w:tab/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includes the size metric (KLOC/FP/UCP) and, when available, supplementary predictors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such as project duration or team size.</w:t>
      </w:r>
    </w:p>
    <w:p>
      <w:pPr>
        <w:autoSpaceDN w:val="0"/>
        <w:autoSpaceDE w:val="0"/>
        <w:widowControl/>
        <w:spacing w:line="270" w:lineRule="exact" w:before="0" w:after="0"/>
        <w:ind w:left="10" w:right="44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ensure consistent and stable training across heterogeneous datasets, we employ a standardized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preprocessing pipeline consisting of: (i) unit harmonization (e.g., normalizing effort to person-months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and converting LOC to KLOC); (ii) outlier mitigation via interquartile-range (IQR) capping; and (iii)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distribution reshaping using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log 1</w:t>
      </w:r>
      <w:r>
        <w:rPr>
          <w:rFonts w:ascii="CMMI10" w:hAnsi="CMMI10" w:eastAsia="CMMI10"/>
          <w:b w:val="0"/>
          <w:i/>
          <w:color w:val="000000"/>
          <w:sz w:val="22"/>
        </w:rPr>
        <w:t>p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transformations to reduce skewness and improve model fit.</w:t>
      </w:r>
    </w:p>
    <w:p>
      <w:pPr>
        <w:autoSpaceDN w:val="0"/>
        <w:autoSpaceDE w:val="0"/>
        <w:widowControl/>
        <w:spacing w:line="218" w:lineRule="exact" w:before="52" w:after="0"/>
        <w:ind w:left="34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evaluate four representative machine-learning models:</w:t>
      </w:r>
    </w:p>
    <w:p>
      <w:pPr>
        <w:autoSpaceDN w:val="0"/>
        <w:autoSpaceDE w:val="0"/>
        <w:widowControl/>
        <w:spacing w:line="220" w:lineRule="exact" w:before="230" w:after="0"/>
        <w:ind w:left="10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Linear Regression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including a log–log variant to capture multiplicative relationships.</w:t>
      </w:r>
    </w:p>
    <w:p>
      <w:pPr>
        <w:autoSpaceDN w:val="0"/>
        <w:tabs>
          <w:tab w:pos="294" w:val="left"/>
        </w:tabs>
        <w:autoSpaceDE w:val="0"/>
        <w:widowControl/>
        <w:spacing w:line="270" w:lineRule="exact" w:before="182" w:after="0"/>
        <w:ind w:left="10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Decision Tree Regressor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representing a transparent non-linear baseline with inherent rule-based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structure.</w:t>
      </w:r>
    </w:p>
    <w:p>
      <w:pPr>
        <w:autoSpaceDN w:val="0"/>
        <w:autoSpaceDE w:val="0"/>
        <w:widowControl/>
        <w:spacing w:line="220" w:lineRule="exact" w:before="230" w:after="0"/>
        <w:ind w:left="10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Random Forest Regressor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leveraging ensemble averaging for robustness.</w:t>
      </w:r>
    </w:p>
    <w:p>
      <w:pPr>
        <w:autoSpaceDN w:val="0"/>
        <w:autoSpaceDE w:val="0"/>
        <w:widowControl/>
        <w:spacing w:line="220" w:lineRule="exact" w:before="230" w:after="0"/>
        <w:ind w:left="10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Gradient Boosting Regressor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known for strong performance on structured data.</w:t>
      </w:r>
    </w:p>
    <w:p>
      <w:pPr>
        <w:autoSpaceDN w:val="0"/>
        <w:autoSpaceDE w:val="0"/>
        <w:widowControl/>
        <w:spacing w:line="270" w:lineRule="exact" w:before="182" w:after="0"/>
        <w:ind w:left="10" w:right="50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The framework is extensible: additional sizing techniques such as story points or object points can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be incorporated by defining new feature schemas. Prior reviews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3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 highlight the growing interest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multi-schema and ensemble-based estimation methods. Our framework contributes to this direction by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unifying preprocessing, model training, and evaluation under a reproducible and comparable experimental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setting.</w:t>
      </w:r>
    </w:p>
    <w:p>
      <w:pPr>
        <w:autoSpaceDN w:val="0"/>
        <w:tabs>
          <w:tab w:pos="548" w:val="left"/>
        </w:tabs>
        <w:autoSpaceDE w:val="0"/>
        <w:widowControl/>
        <w:spacing w:line="240" w:lineRule="exact" w:before="362" w:after="0"/>
        <w:ind w:left="1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2.3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Evaluation Metrics</w:t>
      </w:r>
    </w:p>
    <w:p>
      <w:pPr>
        <w:autoSpaceDN w:val="0"/>
        <w:autoSpaceDE w:val="0"/>
        <w:widowControl/>
        <w:spacing w:line="270" w:lineRule="exact" w:before="146" w:after="0"/>
        <w:ind w:left="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Following established recommendations for evaluating software effort estimation systems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], we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report a comprehensive set of metrics covering relative error (MMRE, MdMRE, MAPE), success rates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(PRED(25)), absolute error (MAE, MdAE, RMSE), and variance explained 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). We emphasize absolute-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error metrics (MAE, MdAE) as primary measures due to their interpretability and robustness, while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treating MRE-based metrics (MMRE, MAPE) as supplementary given known limitations (bias toward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underestimates, sensitivity to small actuals) [6, 4].</w:t>
      </w:r>
    </w:p>
    <w:p>
      <w:pPr>
        <w:autoSpaceDN w:val="0"/>
        <w:tabs>
          <w:tab w:pos="348" w:val="left"/>
        </w:tabs>
        <w:autoSpaceDE w:val="0"/>
        <w:widowControl/>
        <w:spacing w:line="270" w:lineRule="exact" w:before="2" w:after="0"/>
        <w:ind w:left="10" w:right="0" w:firstLine="0"/>
        <w:jc w:val="left"/>
      </w:pP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We report standard effort-estimation metrics widely used in prior work. For each metric, we present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its definition and interpretation.</w:t>
      </w:r>
    </w:p>
    <w:p>
      <w:pPr>
        <w:autoSpaceDN w:val="0"/>
        <w:autoSpaceDE w:val="0"/>
        <w:widowControl/>
        <w:spacing w:line="218" w:lineRule="exact" w:before="130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5</w:t>
      </w:r>
    </w:p>
    <w:p>
      <w:pPr>
        <w:sectPr>
          <w:pgSz w:w="11906" w:h="16838"/>
          <w:pgMar w:top="744" w:right="1382" w:bottom="39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autoSpaceDE w:val="0"/>
        <w:widowControl/>
        <w:spacing w:line="218" w:lineRule="exact" w:before="0" w:after="96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Mean Magnitude of Relative Error (MMRE) and Median MRE (MdMRE).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8.0000000000001" w:type="dxa"/>
      </w:tblPr>
      <w:tblGrid>
        <w:gridCol w:w="1299"/>
        <w:gridCol w:w="1299"/>
        <w:gridCol w:w="1299"/>
        <w:gridCol w:w="1299"/>
        <w:gridCol w:w="1299"/>
        <w:gridCol w:w="1299"/>
        <w:gridCol w:w="1299"/>
      </w:tblGrid>
      <w:tr>
        <w:trPr>
          <w:trHeight w:hRule="exact" w:val="402"/>
        </w:trPr>
        <w:tc>
          <w:tcPr>
            <w:tcW w:type="dxa" w:w="20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32" w:after="0"/>
              <w:ind w:left="0" w:right="5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MMRE =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9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74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36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</w:p>
        </w:tc>
        <w:tc>
          <w:tcPr>
            <w:tcW w:type="dxa" w:w="20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2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  <w:tc>
          <w:tcPr>
            <w:tcW w:type="dxa" w:w="211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4" w:after="0"/>
              <w:ind w:left="13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MdMRE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 xml:space="preserve"> median</w:t>
            </w:r>
          </w:p>
        </w:tc>
        <w:tc>
          <w:tcPr>
            <w:tcW w:type="dxa" w:w="74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36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</w:p>
        </w:tc>
        <w:tc>
          <w:tcPr>
            <w:tcW w:type="dxa" w:w="194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2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(5)</w:t>
            </w:r>
          </w:p>
        </w:tc>
      </w:tr>
      <w:tr>
        <w:trPr>
          <w:trHeight w:hRule="exact" w:val="412"/>
        </w:trPr>
        <w:tc>
          <w:tcPr>
            <w:tcW w:type="dxa" w:w="208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3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9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8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4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20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94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0" w:lineRule="exact" w:before="100" w:after="0"/>
        <w:ind w:left="0" w:right="50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MMRE calculates the average relative error between actual effort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 predicted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ˆ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While widely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adopted, MMRE is biased toward underestimates and sensitive to outliers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6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]. We complement it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MdMRE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(median magnitude of relative error), which provides a robust central tendency under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heavy-tailed distributions.</w:t>
      </w:r>
    </w:p>
    <w:p>
      <w:pPr>
        <w:autoSpaceDN w:val="0"/>
        <w:autoSpaceDE w:val="0"/>
        <w:widowControl/>
        <w:spacing w:line="218" w:lineRule="exact" w:before="362" w:after="96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Mean Absolute Percentage Error (MAPE).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28.0" w:type="dxa"/>
      </w:tblPr>
      <w:tblGrid>
        <w:gridCol w:w="2273"/>
        <w:gridCol w:w="2273"/>
        <w:gridCol w:w="2273"/>
        <w:gridCol w:w="2273"/>
      </w:tblGrid>
      <w:tr>
        <w:trPr>
          <w:trHeight w:hRule="exact" w:val="402"/>
        </w:trPr>
        <w:tc>
          <w:tcPr>
            <w:tcW w:type="dxa" w:w="298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32" w:after="0"/>
              <w:ind w:left="0" w:right="3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MAPE =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100</w:t>
            </w:r>
          </w:p>
        </w:tc>
        <w:tc>
          <w:tcPr>
            <w:tcW w:type="dxa" w:w="39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74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36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</w:p>
        </w:tc>
        <w:tc>
          <w:tcPr>
            <w:tcW w:type="dxa" w:w="331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2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(6)</w:t>
            </w:r>
          </w:p>
        </w:tc>
      </w:tr>
      <w:tr>
        <w:trPr>
          <w:trHeight w:hRule="exact" w:val="412"/>
        </w:trPr>
        <w:tc>
          <w:tcPr>
            <w:tcW w:type="dxa" w:w="298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13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9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9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4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331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2" w:lineRule="exact" w:before="52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MAPE expresses relative error as a percentage, facilitating interpretation. It shares MMRE’s bias but 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more familiar in industrial forecasting contexts.</w:t>
      </w:r>
    </w:p>
    <w:p>
      <w:pPr>
        <w:autoSpaceDN w:val="0"/>
        <w:autoSpaceDE w:val="0"/>
        <w:widowControl/>
        <w:spacing w:line="218" w:lineRule="exact" w:before="362" w:after="9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Prediction at 25% (PRED(25)).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8.0" w:type="dxa"/>
      </w:tblPr>
      <w:tblGrid>
        <w:gridCol w:w="1515"/>
        <w:gridCol w:w="1515"/>
        <w:gridCol w:w="1515"/>
        <w:gridCol w:w="1515"/>
        <w:gridCol w:w="1515"/>
        <w:gridCol w:w="1515"/>
      </w:tblGrid>
      <w:tr>
        <w:trPr>
          <w:trHeight w:hRule="exact" w:val="402"/>
        </w:trPr>
        <w:tc>
          <w:tcPr>
            <w:tcW w:type="dxa" w:w="28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32" w:after="0"/>
              <w:ind w:left="0" w:right="5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PRED(25) =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338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32" w:right="0" w:firstLine="0"/>
              <w:jc w:val="left"/>
            </w:pPr>
            <w:r>
              <w:rPr>
                <w:rFonts w:ascii="CMBX10" w:hAnsi="CMBX10" w:eastAsia="CMBX10"/>
                <w:b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74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36" w:after="0"/>
              <w:ind w:left="0" w:right="0" w:firstLine="0"/>
              <w:jc w:val="center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</w:p>
        </w:tc>
        <w:tc>
          <w:tcPr>
            <w:tcW w:type="dxa" w:w="195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8" w:after="0"/>
              <w:ind w:left="80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≤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25</w:t>
            </w:r>
          </w:p>
        </w:tc>
        <w:tc>
          <w:tcPr>
            <w:tcW w:type="dxa" w:w="15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0" w:after="0"/>
              <w:ind w:left="0" w:right="2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(7)</w:t>
            </w:r>
          </w:p>
        </w:tc>
      </w:tr>
      <w:tr>
        <w:trPr>
          <w:trHeight w:hRule="exact" w:val="412"/>
        </w:trPr>
        <w:tc>
          <w:tcPr>
            <w:tcW w:type="dxa" w:w="28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4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4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8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338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95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2" w:lineRule="exact" w:before="52" w:after="0"/>
        <w:ind w:left="8" w:right="0" w:firstLine="0"/>
        <w:jc w:val="left"/>
      </w:pP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 xml:space="preserve">PRED(25) measures the proportion of predictions whose relative error is within 25% of the actual effort.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It provides an intuitive sense of robustness, but depends on the arbitrary 25% threshold and may be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unstable with small datasets [5].</w:t>
      </w:r>
    </w:p>
    <w:p>
      <w:pPr>
        <w:autoSpaceDN w:val="0"/>
        <w:autoSpaceDE w:val="0"/>
        <w:widowControl/>
        <w:spacing w:line="218" w:lineRule="exact" w:before="362" w:after="9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Mean Absolute Error (MAE) and Median Absolute Error (MdAE).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28.0" w:type="dxa"/>
      </w:tblPr>
      <w:tblGrid>
        <w:gridCol w:w="1299"/>
        <w:gridCol w:w="1299"/>
        <w:gridCol w:w="1299"/>
        <w:gridCol w:w="1299"/>
        <w:gridCol w:w="1299"/>
        <w:gridCol w:w="1299"/>
        <w:gridCol w:w="1299"/>
      </w:tblGrid>
      <w:tr>
        <w:trPr>
          <w:trHeight w:hRule="exact" w:val="394"/>
        </w:trPr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354" w:after="0"/>
              <w:ind w:left="1862" w:right="0" w:hanging="826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MAE =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1 </w:t>
            </w:r>
            <w:r>
              <w:br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28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86" w:after="0"/>
              <w:ind w:left="14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MdAE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 xml:space="preserve"> median</w:t>
            </w:r>
          </w:p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284" w:after="0"/>
              <w:ind w:left="52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|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92" w:after="0"/>
              <w:ind w:left="0" w:right="2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(8)</w:t>
            </w:r>
          </w:p>
        </w:tc>
      </w:tr>
      <w:tr>
        <w:trPr>
          <w:trHeight w:hRule="exact" w:val="420"/>
        </w:trPr>
        <w:tc>
          <w:tcPr>
            <w:tcW w:type="dxa" w:w="1299"/>
            <w:vMerge/>
            <w:tcBorders/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299"/>
            <w:vMerge/>
            <w:tcBorders/>
          </w:tcPr>
          <w:p/>
        </w:tc>
        <w:tc>
          <w:tcPr>
            <w:tcW w:type="dxa" w:w="1299"/>
            <w:vMerge/>
            <w:tcBorders/>
          </w:tcPr>
          <w:p/>
        </w:tc>
        <w:tc>
          <w:tcPr>
            <w:tcW w:type="dxa" w:w="1299"/>
            <w:vMerge/>
            <w:tcBorders/>
          </w:tcPr>
          <w:p/>
        </w:tc>
        <w:tc>
          <w:tcPr>
            <w:tcW w:type="dxa" w:w="1299"/>
            <w:vMerge/>
            <w:tcBorders/>
          </w:tcPr>
          <w:p/>
        </w:tc>
        <w:tc>
          <w:tcPr>
            <w:tcW w:type="dxa" w:w="129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0" w:lineRule="exact" w:before="54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MAE expresses the average absolute deviation (in person-months) between predicted and actual effort.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It is interpretable in absolute units and less sensitive to outliers than RMSE.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MdAE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(median absolute 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error) provides a robust central tendency under heavy-tailed error distributions, complementing MAE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datasets with occasional large deviations.</w:t>
      </w:r>
    </w:p>
    <w:p>
      <w:pPr>
        <w:autoSpaceDN w:val="0"/>
        <w:autoSpaceDE w:val="0"/>
        <w:widowControl/>
        <w:spacing w:line="218" w:lineRule="exact" w:before="364" w:after="198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Root Mean Square Error (RMSE).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8.0" w:type="dxa"/>
      </w:tblPr>
      <w:tblGrid>
        <w:gridCol w:w="1515"/>
        <w:gridCol w:w="1515"/>
        <w:gridCol w:w="1515"/>
        <w:gridCol w:w="1515"/>
        <w:gridCol w:w="1515"/>
        <w:gridCol w:w="1515"/>
      </w:tblGrid>
      <w:tr>
        <w:trPr>
          <w:trHeight w:hRule="exact" w:val="394"/>
        </w:trPr>
        <w:tc>
          <w:tcPr>
            <w:tcW w:type="dxa" w:w="2764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8" w:after="0"/>
              <w:ind w:left="0" w:right="286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RMSE =</w:t>
            </w:r>
          </w:p>
        </w:tc>
        <w:tc>
          <w:tcPr>
            <w:tcW w:type="dxa" w:w="16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9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2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72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</w:p>
        </w:tc>
        <w:tc>
          <w:tcPr>
            <w:tcW w:type="dxa" w:w="17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2" w:after="0"/>
              <w:ind w:left="0" w:right="0" w:firstLine="0"/>
              <w:jc w:val="center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24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2" w:after="0"/>
              <w:ind w:left="0" w:right="2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(9)</w:t>
            </w:r>
          </w:p>
        </w:tc>
      </w:tr>
      <w:tr>
        <w:trPr>
          <w:trHeight w:hRule="exact" w:val="412"/>
        </w:trPr>
        <w:tc>
          <w:tcPr>
            <w:tcW w:type="dxa" w:w="276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39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8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2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7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4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2" w:lineRule="exact" w:before="96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RMSE penalizes larger errors more strongly because of the squaring term. It is useful when large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deviations are particularly costly, but its sensitivity to outliers can distort performance comparisons.</w:t>
      </w:r>
    </w:p>
    <w:p>
      <w:pPr>
        <w:autoSpaceDN w:val="0"/>
        <w:autoSpaceDE w:val="0"/>
        <w:widowControl/>
        <w:spacing w:line="254" w:lineRule="exact" w:before="326" w:after="102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Coefficient of Determination 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8.0" w:type="dxa"/>
      </w:tblPr>
      <w:tblGrid>
        <w:gridCol w:w="1818"/>
        <w:gridCol w:w="1818"/>
        <w:gridCol w:w="1818"/>
        <w:gridCol w:w="1818"/>
        <w:gridCol w:w="1818"/>
      </w:tblGrid>
      <w:tr>
        <w:trPr>
          <w:trHeight w:hRule="exact" w:val="228"/>
        </w:trPr>
        <w:tc>
          <w:tcPr>
            <w:tcW w:type="dxa" w:w="262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48" w:after="0"/>
              <w:ind w:left="0" w:right="6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R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 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700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3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ˆ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</w:p>
        </w:tc>
        <w:tc>
          <w:tcPr>
            <w:tcW w:type="dxa" w:w="174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0" w:firstLine="0"/>
              <w:jc w:val="center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366"/>
            <w:vMerge w:val="restart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92" w:after="0"/>
              <w:ind w:left="0" w:right="2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(10)</w:t>
            </w:r>
          </w:p>
        </w:tc>
      </w:tr>
      <w:tr>
        <w:trPr>
          <w:trHeight w:hRule="exact" w:val="186"/>
        </w:trPr>
        <w:tc>
          <w:tcPr>
            <w:tcW w:type="dxa" w:w="181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5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8" w:after="0"/>
              <w:ind w:left="0" w:right="5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81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1818"/>
            <w:vMerge/>
            <w:tcBorders>
              <w:bottom w:sz="3.48799991607666" w:val="single" w:color="#000000"/>
            </w:tcBorders>
          </w:tcPr>
          <w:p/>
        </w:tc>
        <w:tc>
          <w:tcPr>
            <w:tcW w:type="dxa" w:w="1818"/>
            <w:vMerge/>
            <w:tcBorders>
              <w:bottom w:sz="3.48799991607666" w:val="single" w:color="#000000"/>
            </w:tcBorders>
          </w:tcPr>
          <w:p/>
        </w:tc>
      </w:tr>
      <w:tr>
        <w:trPr>
          <w:trHeight w:hRule="exact" w:val="174"/>
        </w:trPr>
        <w:tc>
          <w:tcPr>
            <w:tcW w:type="dxa" w:w="262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0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</w:p>
        </w:tc>
        <w:tc>
          <w:tcPr>
            <w:tcW w:type="dxa" w:w="700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7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¯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y</w:t>
            </w:r>
          </w:p>
        </w:tc>
        <w:tc>
          <w:tcPr>
            <w:tcW w:type="dxa" w:w="174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" w:after="0"/>
              <w:ind w:left="0" w:right="0" w:firstLine="0"/>
              <w:jc w:val="center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366"/>
            <w:vMerge w:val="restart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181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2" w:after="0"/>
              <w:ind w:left="0" w:right="22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181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818"/>
            <w:vMerge/>
            <w:tcBorders>
              <w:top w:sz="3.48799991607666" w:val="single" w:color="#000000"/>
            </w:tcBorders>
          </w:tcPr>
          <w:p/>
        </w:tc>
        <w:tc>
          <w:tcPr>
            <w:tcW w:type="dxa" w:w="1818"/>
            <w:vMerge/>
            <w:tcBorders>
              <w:top w:sz="3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54" w:lineRule="exact" w:before="128" w:after="0"/>
        <w:ind w:left="2" w:right="20" w:firstLine="6"/>
        <w:jc w:val="both"/>
      </w:pP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measures the proportion of variance in the actual effort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explained by the predictions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ˆ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Higher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values generally indicate better explanatory power. However, in effort estimation, a high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does not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guarantee practical accuracy, since a model may fit variance well but still produce large relative errors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5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].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6</w:t>
      </w:r>
    </w:p>
    <w:p>
      <w:pPr>
        <w:sectPr>
          <w:pgSz w:w="11906" w:h="16838"/>
          <w:pgMar w:top="746" w:right="13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tabs>
          <w:tab w:pos="446" w:val="left"/>
        </w:tabs>
        <w:autoSpaceDE w:val="0"/>
        <w:widowControl/>
        <w:spacing w:line="288" w:lineRule="exact" w:before="0" w:after="0"/>
        <w:ind w:left="16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3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Datasets and Preprocessing</w:t>
      </w:r>
    </w:p>
    <w:p>
      <w:pPr>
        <w:autoSpaceDN w:val="0"/>
        <w:tabs>
          <w:tab w:pos="554" w:val="left"/>
        </w:tabs>
        <w:autoSpaceDE w:val="0"/>
        <w:widowControl/>
        <w:spacing w:line="240" w:lineRule="exact" w:before="254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3.1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Sources and Schema Partitioning</w:t>
      </w:r>
    </w:p>
    <w:p>
      <w:pPr>
        <w:autoSpaceDN w:val="0"/>
        <w:autoSpaceDE w:val="0"/>
        <w:widowControl/>
        <w:spacing w:line="270" w:lineRule="exact" w:before="146" w:after="0"/>
        <w:ind w:left="14" w:right="0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To address Reviewer concerns about reproducibility and provenance transparency, Table 1 summa-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rizes our 18 datasets spanning 1979–2023, and Figure 1 visualizes temporal coverage across schemas.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Detailed provenance (DOI, URL, licenses, deduplication rules, MD5 hashes) is provided in Table S1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(Supplementary Materials), enabling full audit trails and independent replication.</w:t>
      </w:r>
    </w:p>
    <w:p>
      <w:pPr>
        <w:autoSpaceDN w:val="0"/>
        <w:autoSpaceDE w:val="0"/>
        <w:widowControl/>
        <w:spacing w:line="270" w:lineRule="exact" w:before="206" w:after="230"/>
        <w:ind w:left="16" w:right="0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1: Dataset summary by schema. Detailed provenance manifest (source URLs, DOIs, licenses,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deduplication rules, MD5 hashes) in Table S1, Supplementary Materials.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1300"/>
        <w:gridCol w:w="1300"/>
        <w:gridCol w:w="1300"/>
        <w:gridCol w:w="1300"/>
        <w:gridCol w:w="1300"/>
        <w:gridCol w:w="1300"/>
        <w:gridCol w:w="1300"/>
      </w:tblGrid>
      <w:tr>
        <w:trPr>
          <w:trHeight w:hRule="exact" w:val="352"/>
        </w:trPr>
        <w:tc>
          <w:tcPr>
            <w:tcW w:type="dxa" w:w="96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Schema</w:t>
            </w:r>
          </w:p>
        </w:tc>
        <w:tc>
          <w:tcPr>
            <w:tcW w:type="dxa" w:w="11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Sources</w:t>
            </w:r>
          </w:p>
        </w:tc>
        <w:tc>
          <w:tcPr>
            <w:tcW w:type="dxa" w:w="10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158" w:firstLine="0"/>
              <w:jc w:val="righ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Period</w:t>
            </w:r>
          </w:p>
        </w:tc>
        <w:tc>
          <w:tcPr>
            <w:tcW w:type="dxa" w:w="14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25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Raw Projects</w:t>
            </w:r>
          </w:p>
        </w:tc>
        <w:tc>
          <w:tcPr>
            <w:tcW w:type="dxa" w:w="13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20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After Dedup.</w:t>
            </w:r>
          </w:p>
        </w:tc>
        <w:tc>
          <w:tcPr>
            <w:tcW w:type="dxa" w:w="3200"/>
            <w:gridSpan w:val="2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236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Dedup. %</w:t>
            </w:r>
          </w:p>
        </w:tc>
      </w:tr>
      <w:tr>
        <w:trPr>
          <w:trHeight w:hRule="exact" w:val="6376"/>
        </w:trPr>
        <w:tc>
          <w:tcPr>
            <w:tcW w:type="dxa" w:w="9048"/>
            <w:gridSpan w:val="7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30" w:val="left"/>
                <w:tab w:pos="2222" w:val="left"/>
                <w:tab w:pos="3698" w:val="left"/>
                <w:tab w:pos="5062" w:val="left"/>
                <w:tab w:pos="6236" w:val="left"/>
              </w:tabs>
              <w:autoSpaceDE w:val="0"/>
              <w:widowControl/>
              <w:spacing w:line="226" w:lineRule="exact" w:before="2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LOC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11 datasets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4"/>
              </w:rPr>
              <w:t xml:space="preserve">a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1981–2023 </w:t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2,984 </w:t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2,765</w:t>
            </w:r>
            <w:r>
              <w:tab/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7.3%</w:t>
            </w:r>
          </w:p>
          <w:p>
            <w:pPr>
              <w:autoSpaceDN w:val="0"/>
              <w:autoSpaceDE w:val="0"/>
              <w:widowControl/>
              <w:spacing w:line="220" w:lineRule="exact" w:before="2986" w:after="0"/>
              <w:ind w:left="113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500</w:t>
            </w:r>
          </w:p>
          <w:p>
            <w:pPr>
              <w:autoSpaceDN w:val="0"/>
              <w:autoSpaceDE w:val="0"/>
              <w:widowControl/>
              <w:spacing w:line="218" w:lineRule="exact" w:before="356" w:after="0"/>
              <w:ind w:left="113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400</w:t>
            </w:r>
          </w:p>
          <w:p>
            <w:pPr>
              <w:autoSpaceDN w:val="0"/>
              <w:autoSpaceDE w:val="0"/>
              <w:widowControl/>
              <w:spacing w:line="218" w:lineRule="exact" w:before="358" w:after="0"/>
              <w:ind w:left="113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300</w:t>
            </w:r>
          </w:p>
          <w:p>
            <w:pPr>
              <w:autoSpaceDN w:val="0"/>
              <w:autoSpaceDE w:val="0"/>
              <w:widowControl/>
              <w:spacing w:line="218" w:lineRule="exact" w:before="358" w:after="0"/>
              <w:ind w:left="113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200</w:t>
            </w:r>
          </w:p>
          <w:p>
            <w:pPr>
              <w:autoSpaceDN w:val="0"/>
              <w:autoSpaceDE w:val="0"/>
              <w:widowControl/>
              <w:spacing w:line="218" w:lineRule="exact" w:before="356" w:after="0"/>
              <w:ind w:left="113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100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42.0" w:type="dxa"/>
            </w:tblPr>
            <w:tblGrid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  <w:gridCol w:w="226"/>
            </w:tblGrid>
            <w:tr>
              <w:trPr>
                <w:trHeight w:hRule="exact" w:val="2878"/>
              </w:trPr>
              <w:tc>
                <w:tcPr>
                  <w:tcW w:type="dxa" w:w="5988"/>
                  <w:gridSpan w:val="34"/>
                  <w:tcBorders>
                    <w:end w:sz="6.375999927520752" w:val="single" w:color="#1919FF"/>
                    <w:bottom w:sz="6.375999927520752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326.0000000000002" w:type="dxa"/>
                  </w:tblPr>
                  <w:tblGrid>
                    <w:gridCol w:w="1198"/>
                    <w:gridCol w:w="1198"/>
                    <w:gridCol w:w="1198"/>
                    <w:gridCol w:w="1198"/>
                    <w:gridCol w:w="1198"/>
                  </w:tblGrid>
                  <w:tr>
                    <w:trPr>
                      <w:trHeight w:hRule="exact" w:val="286"/>
                    </w:trPr>
                    <w:tc>
                      <w:tcPr>
                        <w:tcW w:type="dxa" w:w="1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98" w:lineRule="exact" w:before="7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1979–2005</w:t>
                        </w:r>
                      </w:p>
                    </w:tc>
                    <w:tc>
                      <w:tcPr>
                        <w:tcW w:type="dxa" w:w="1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98" w:lineRule="exact" w:before="72" w:after="0"/>
                          <w:ind w:left="0" w:right="516" w:firstLine="0"/>
                          <w:jc w:val="right"/>
                        </w:pP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167</w:t>
                        </w:r>
                      </w:p>
                    </w:tc>
                    <w:tc>
                      <w:tcPr>
                        <w:tcW w:type="dxa" w:w="12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98" w:lineRule="exact" w:before="72" w:after="0"/>
                          <w:ind w:left="0" w:right="412" w:firstLine="0"/>
                          <w:jc w:val="right"/>
                        </w:pP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158</w:t>
                        </w:r>
                      </w:p>
                    </w:tc>
                    <w:tc>
                      <w:tcPr>
                        <w:tcW w:type="dxa" w:w="1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exact" w:before="64" w:after="0"/>
                          <w:ind w:left="0" w:right="162" w:firstLine="0"/>
                          <w:jc w:val="right"/>
                        </w:pPr>
                        <w:r>
                          <w:rPr>
                            <w:rFonts w:ascii="CMSY10" w:hAnsi="CMSY10" w:eastAsia="CMSY10"/>
                            <w:b w:val="0"/>
                            <w:i/>
                            <w:color w:val="000000"/>
                            <w:sz w:val="20"/>
                          </w:rPr>
                          <w:t>−</w:t>
                        </w: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5.4%</w:t>
                        </w:r>
                      </w:p>
                    </w:tc>
                    <w:tc>
                      <w:tcPr>
                        <w:tcW w:type="dxa" w:w="572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10" w:lineRule="exact" w:before="46" w:after="0"/>
                          <w:ind w:left="0" w:right="0" w:firstLine="0"/>
                          <w:jc w:val="right"/>
                        </w:pP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12"/>
                          </w:rPr>
                          <w:t>a</w:t>
                        </w: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18"/>
                          </w:rPr>
                          <w:t>LOC</w:t>
                        </w:r>
                      </w:p>
                    </w:tc>
                  </w:tr>
                  <w:tr>
                    <w:trPr>
                      <w:trHeight w:hRule="exact" w:val="280"/>
                    </w:trPr>
                    <w:tc>
                      <w:tcPr>
                        <w:tcW w:type="dxa" w:w="1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0" w:lineRule="exact" w:before="2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1993–2023</w:t>
                        </w:r>
                      </w:p>
                    </w:tc>
                    <w:tc>
                      <w:tcPr>
                        <w:tcW w:type="dxa" w:w="1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0" w:lineRule="exact" w:before="24" w:after="0"/>
                          <w:ind w:left="0" w:right="516" w:firstLine="0"/>
                          <w:jc w:val="right"/>
                        </w:pP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139</w:t>
                        </w:r>
                      </w:p>
                    </w:tc>
                    <w:tc>
                      <w:tcPr>
                        <w:tcW w:type="dxa" w:w="12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0" w:lineRule="exact" w:before="24" w:after="0"/>
                          <w:ind w:left="0" w:right="412" w:firstLine="0"/>
                          <w:jc w:val="right"/>
                        </w:pP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131</w:t>
                        </w:r>
                      </w:p>
                    </w:tc>
                    <w:tc>
                      <w:tcPr>
                        <w:tcW w:type="dxa" w:w="1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exact" w:before="18" w:after="0"/>
                          <w:ind w:left="0" w:right="162" w:firstLine="0"/>
                          <w:jc w:val="right"/>
                        </w:pPr>
                        <w:r>
                          <w:rPr>
                            <w:rFonts w:ascii="CMSY10" w:hAnsi="CMSY10" w:eastAsia="CMSY10"/>
                            <w:b w:val="0"/>
                            <w:i/>
                            <w:color w:val="000000"/>
                            <w:sz w:val="20"/>
                          </w:rPr>
                          <w:t>−</w:t>
                        </w:r>
                        <w:r>
                          <w:rPr>
                            <w:rFonts w:ascii="NimbusRomNo9L" w:hAnsi="NimbusRomNo9L" w:eastAsia="NimbusRomNo9L"/>
                            <w:b w:val="0"/>
                            <w:i w:val="0"/>
                            <w:color w:val="000000"/>
                            <w:sz w:val="20"/>
                          </w:rPr>
                          <w:t>5.8%</w:t>
                        </w:r>
                      </w:p>
                    </w:tc>
                    <w:tc>
                      <w:tcPr>
                        <w:tcW w:type="dxa" w:w="1198"/>
                        <w:vMerge/>
                        <w:tcBorders/>
                      </w:tcPr>
                      <w:p/>
                    </w:tc>
                  </w:tr>
                  <w:tr>
                    <w:trPr>
                      <w:trHeight w:hRule="exact" w:val="350"/>
                    </w:trPr>
                    <w:tc>
                      <w:tcPr>
                        <w:tcW w:type="dxa" w:w="1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98" w:lineRule="exact" w:before="9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NimbusRomNo9L" w:hAnsi="NimbusRomNo9L" w:eastAsia="NimbusRomNo9L"/>
                            <w:b/>
                            <w:i w:val="0"/>
                            <w:color w:val="000000"/>
                            <w:sz w:val="20"/>
                          </w:rPr>
                          <w:t>1979–2023</w:t>
                        </w:r>
                      </w:p>
                    </w:tc>
                    <w:tc>
                      <w:tcPr>
                        <w:tcW w:type="dxa" w:w="1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98" w:lineRule="exact" w:before="92" w:after="0"/>
                          <w:ind w:left="290" w:right="0" w:firstLine="0"/>
                          <w:jc w:val="left"/>
                        </w:pPr>
                        <w:r>
                          <w:rPr>
                            <w:rFonts w:ascii="NimbusRomNo9L" w:hAnsi="NimbusRomNo9L" w:eastAsia="NimbusRomNo9L"/>
                            <w:b/>
                            <w:i w:val="0"/>
                            <w:color w:val="000000"/>
                            <w:sz w:val="20"/>
                          </w:rPr>
                          <w:t>3,290</w:t>
                        </w:r>
                      </w:p>
                    </w:tc>
                    <w:tc>
                      <w:tcPr>
                        <w:tcW w:type="dxa" w:w="12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98" w:lineRule="exact" w:before="92" w:after="0"/>
                          <w:ind w:left="0" w:right="338" w:firstLine="0"/>
                          <w:jc w:val="right"/>
                        </w:pPr>
                        <w:r>
                          <w:rPr>
                            <w:rFonts w:ascii="NimbusRomNo9L" w:hAnsi="NimbusRomNo9L" w:eastAsia="NimbusRomNo9L"/>
                            <w:b/>
                            <w:i w:val="0"/>
                            <w:color w:val="000000"/>
                            <w:sz w:val="20"/>
                          </w:rPr>
                          <w:t>3,054</w:t>
                        </w:r>
                      </w:p>
                    </w:tc>
                    <w:tc>
                      <w:tcPr>
                        <w:tcW w:type="dxa" w:w="1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exact" w:before="86" w:after="0"/>
                          <w:ind w:left="0" w:right="144" w:firstLine="0"/>
                          <w:jc w:val="right"/>
                        </w:pPr>
                        <w:r>
                          <w:rPr>
                            <w:rFonts w:ascii="CMSY10" w:hAnsi="CMSY10" w:eastAsia="CMSY10"/>
                            <w:b w:val="0"/>
                            <w:i/>
                            <w:color w:val="000000"/>
                            <w:sz w:val="20"/>
                          </w:rPr>
                          <w:t>−</w:t>
                        </w:r>
                        <w:r>
                          <w:rPr>
                            <w:rFonts w:ascii="NimbusRomNo9L" w:hAnsi="NimbusRomNo9L" w:eastAsia="NimbusRomNo9L"/>
                            <w:b/>
                            <w:i w:val="0"/>
                            <w:color w:val="000000"/>
                            <w:sz w:val="20"/>
                          </w:rPr>
                          <w:t>7.2%</w:t>
                        </w:r>
                      </w:p>
                    </w:tc>
                    <w:tc>
                      <w:tcPr>
                        <w:tcW w:type="dxa" w:w="1198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80" w:lineRule="exact" w:before="744" w:after="0"/>
                    <w:ind w:left="0" w:right="0" w:firstLine="0"/>
                    <w:jc w:val="left"/>
                  </w:pPr>
                  <w:r>
                    <w:rPr>
                      <w:rFonts w:ascii="NimbusRomNo9L" w:hAnsi="NimbusRomNo9L" w:eastAsia="NimbusRomNo9L"/>
                      <w:b w:val="0"/>
                      <w:i w:val="0"/>
                      <w:color w:val="000000"/>
                      <w:sz w:val="18"/>
                    </w:rPr>
                    <w:t>al. (2017, 71), Huynh et al. (2023, 48), Karner reconstructed (1993, 12).</w:t>
                  </w:r>
                </w:p>
              </w:tc>
              <w:tc>
                <w:tcPr>
                  <w:tcW w:type="dxa" w:w="62"/>
                  <w:tcBorders>
                    <w:start w:sz="6.375999927520752" w:val="single" w:color="#1919FF"/>
                    <w:end w:sz="47.19999999999982" w:val="single" w:color="#4C4CFF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122" w:after="0"/>
                    <w:ind w:left="0" w:right="0" w:firstLine="0"/>
                    <w:jc w:val="center"/>
                  </w:pPr>
                  <w:r>
                    <w:rPr>
                      <w:rFonts w:ascii="NimbusRomNo9L" w:hAnsi="NimbusRomNo9L" w:eastAsia="NimbusRomNo9L"/>
                      <w:b w:val="0"/>
                      <w:i w:val="0"/>
                      <w:color w:val="000000"/>
                      <w:sz w:val="18"/>
                    </w:rPr>
                    <w:t xml:space="preserve"> </w:t>
                  </w:r>
                </w:p>
              </w:tc>
              <w:tc>
                <w:tcPr>
                  <w:tcW w:type="dxa" w:w="60"/>
                  <w:tcBorders>
                    <w:start w:sz="47.19999999999982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122" w:after="0"/>
                    <w:ind w:left="0" w:right="0" w:firstLine="0"/>
                    <w:jc w:val="center"/>
                  </w:pPr>
                  <w:r>
                    <w:rPr>
                      <w:rFonts w:ascii="NimbusRomNo9L" w:hAnsi="NimbusRomNo9L" w:eastAsia="NimbusRomNo9L"/>
                      <w:b w:val="0"/>
                      <w:i w:val="0"/>
                      <w:color w:val="000000"/>
                      <w:sz w:val="18"/>
                    </w:rPr>
                    <w:t>(</w:t>
                  </w:r>
                </w:p>
              </w:tc>
              <w:tc>
                <w:tcPr>
                  <w:tcW w:type="dxa" w:w="666"/>
                  <w:gridSpan w:val="4"/>
                  <w:tcBorders>
                    <w:start w:sz="6.375999927520752" w:val="single" w:color="#1919FF"/>
                    <w:bottom w:sz="6.375999927520752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122" w:after="0"/>
                    <w:ind w:left="0" w:right="0" w:firstLine="0"/>
                    <w:jc w:val="center"/>
                  </w:pPr>
                  <w:r>
                    <w:rPr>
                      <w:rFonts w:ascii="NimbusRomNo9L" w:hAnsi="NimbusRomNo9L" w:eastAsia="NimbusRomNo9L"/>
                      <w:b w:val="0"/>
                      <w:i w:val="0"/>
                      <w:color w:val="000000"/>
                      <w:sz w:val="18"/>
                    </w:rPr>
                    <w:t>11): DAS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708"/>
                  <w:gridSpan w:val="5"/>
                  <w:tcBorders>
                    <w:start w:sz="6.375999927520752" w:val="single" w:color="#000000"/>
                    <w:top w:sz="6.375999927520752" w:val="single" w:color="#000000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68"/>
                  <w:gridSpan w:val="6"/>
                  <w:tcBorders>
                    <w:start w:sz="3.187999963760376" w:val="single" w:color="#D8D8D8"/>
                    <w:top w:sz="6.375999927520752" w:val="single" w:color="#000000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gridSpan w:val="9"/>
                  <w:tcBorders>
                    <w:start w:sz="3.187999963760376" w:val="single" w:color="#D8D8D8"/>
                    <w:top w:sz="6.375999927520752" w:val="single" w:color="#000000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58"/>
                  <w:gridSpan w:val="8"/>
                  <w:tcBorders>
                    <w:start w:sz="3.187999963760376" w:val="single" w:color="#D8D8D8"/>
                    <w:top w:sz="6.375999927520752" w:val="single" w:color="#000000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2"/>
                  <w:gridSpan w:val="4"/>
                  <w:tcBorders>
                    <w:start w:sz="3.187999963760376" w:val="single" w:color="#D8D8D8"/>
                    <w:top w:sz="6.375999927520752" w:val="single" w:color="#000000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end w:sz="47.20000000000027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47.20000000000027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>
                    <w:start w:sz="6.375999927520752" w:val="single" w:color="#1919FF"/>
                    <w:end w:sz="47.19999999999982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7.19999999999982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6"/>
                  <w:gridSpan w:val="4"/>
                  <w:tcBorders>
                    <w:start w:sz="6.375999927520752" w:val="single" w:color="#1919FF"/>
                    <w:top w:sz="6.375999927520752" w:val="single" w:color="#000000"/>
                    <w:end w:sz="6.375999927520752" w:val="single" w:color="#000000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80"/>
              </w:trPr>
              <w:tc>
                <w:tcPr>
                  <w:tcW w:type="dxa" w:w="708"/>
                  <w:gridSpan w:val="5"/>
                  <w:vMerge w:val="restart"/>
                  <w:tcBorders>
                    <w:start w:sz="6.375999927520752" w:val="single" w:color="#000000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68"/>
                  <w:gridSpan w:val="6"/>
                  <w:vMerge w:val="restart"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gridSpan w:val="9"/>
                  <w:vMerge w:val="restart"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24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4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2"/>
                  <w:gridSpan w:val="4"/>
                  <w:vMerge w:val="restart"/>
                  <w:tcBorders>
                    <w:start w:sz="3.187999963760376" w:val="single" w:color="#D8D8D8"/>
                    <w:top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vMerge w:val="restart"/>
                  <w:tcBorders>
                    <w:end w:sz="47.20000000000027" w:val="single" w:color="#4C4C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vMerge w:val="restart"/>
                  <w:tcBorders>
                    <w:start w:sz="47.20000000000027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vMerge w:val="restart"/>
                  <w:tcBorders>
                    <w:start w:sz="6.375999927520752" w:val="single" w:color="#1919FF"/>
                    <w:end w:sz="47.19999999999982" w:val="single" w:color="#4C4C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vMerge w:val="restart"/>
                  <w:tcBorders>
                    <w:start w:sz="47.19999999999982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6"/>
                  <w:gridSpan w:val="4"/>
                  <w:vMerge w:val="restart"/>
                  <w:tcBorders>
                    <w:start w:sz="6.375999927520752" w:val="single" w:color="#1919FF"/>
                    <w:top w:sz="3.187999963760376" w:val="single" w:color="#D8D8D8"/>
                    <w:end w:sz="6.375999927520752" w:val="single" w:color="#000000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94"/>
              </w:trPr>
              <w:tc>
                <w:tcPr>
                  <w:tcW w:type="dxa" w:w="1130"/>
                  <w:gridSpan w:val="5"/>
                  <w:vMerge/>
                  <w:tcBorders>
                    <w:start w:sz="6.375999927520752" w:val="single" w:color="#000000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</w:tcPr>
                <w:p/>
              </w:tc>
              <w:tc>
                <w:tcPr>
                  <w:tcW w:type="dxa" w:w="1356"/>
                  <w:gridSpan w:val="6"/>
                  <w:vMerge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</w:tcPr>
                <w:p/>
              </w:tc>
              <w:tc>
                <w:tcPr>
                  <w:tcW w:type="dxa" w:w="2034"/>
                  <w:gridSpan w:val="9"/>
                  <w:vMerge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</w:tcPr>
                <w:p/>
              </w:tc>
              <w:tc>
                <w:tcPr>
                  <w:tcW w:type="dxa" w:w="72"/>
                  <w:tcBorders>
                    <w:start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24"/>
                  <w:tcBorders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4"/>
                  <w:tcBorders>
                    <w:start w:sz="6.375999927520752" w:val="single" w:color="#1919FF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04"/>
                  <w:gridSpan w:val="4"/>
                  <w:vMerge/>
                  <w:tcBorders>
                    <w:start w:sz="3.187999963760376" w:val="single" w:color="#D8D8D8"/>
                    <w:top w:sz="3.187999963760376" w:val="single" w:color="#D8D8D8"/>
                    <w:bottom w:sz="3.187999963760376" w:val="single" w:color="#D8D8D8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904"/>
                  <w:gridSpan w:val="4"/>
                  <w:vMerge/>
                  <w:tcBorders>
                    <w:start w:sz="6.375999927520752" w:val="single" w:color="#1919FF"/>
                    <w:top w:sz="3.187999963760376" w:val="single" w:color="#D8D8D8"/>
                    <w:end w:sz="6.375999927520752" w:val="single" w:color="#000000"/>
                    <w:bottom w:sz="3.187999963760376" w:val="single" w:color="#D8D8D8"/>
                  </w:tcBorders>
                </w:tcPr>
                <w:p/>
              </w:tc>
            </w:tr>
            <w:tr>
              <w:trPr>
                <w:trHeight w:hRule="exact" w:val="576"/>
              </w:trPr>
              <w:tc>
                <w:tcPr>
                  <w:tcW w:type="dxa" w:w="708"/>
                  <w:gridSpan w:val="5"/>
                  <w:tcBorders>
                    <w:start w:sz="6.375999927520752" w:val="single" w:color="#000000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68"/>
                  <w:gridSpan w:val="6"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gridSpan w:val="9"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4"/>
                  <w:gridSpan w:val="5"/>
                  <w:tcBorders>
                    <w:start w:sz="3.187999963760376" w:val="single" w:color="#D8D8D8"/>
                    <w:top w:sz="3.187999963760376" w:val="single" w:color="#D8D8D8"/>
                    <w:end w:sz="6.375999927520752" w:val="single" w:color="#1919FF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4"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2"/>
                  <w:gridSpan w:val="4"/>
                  <w:tcBorders>
                    <w:start w:sz="3.187999963760376" w:val="single" w:color="#D8D8D8"/>
                    <w:top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end w:sz="47.20000000000027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47.20000000000027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>
                    <w:start w:sz="6.375999927520752" w:val="single" w:color="#1919FF"/>
                    <w:end w:sz="47.19999999999982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7.19999999999982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6"/>
                  <w:gridSpan w:val="4"/>
                  <w:tcBorders>
                    <w:start w:sz="6.375999927520752" w:val="single" w:color="#1919FF"/>
                    <w:top w:sz="3.187999963760376" w:val="single" w:color="#D8D8D8"/>
                    <w:end w:sz="6.375999927520752" w:val="single" w:color="#000000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556"/>
              </w:trPr>
              <w:tc>
                <w:tcPr>
                  <w:tcW w:type="dxa" w:w="708"/>
                  <w:gridSpan w:val="5"/>
                  <w:tcBorders>
                    <w:start w:sz="6.375999927520752" w:val="single" w:color="#000000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68"/>
                  <w:gridSpan w:val="6"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gridSpan w:val="9"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4"/>
                  <w:gridSpan w:val="5"/>
                  <w:tcBorders>
                    <w:start w:sz="3.187999963760376" w:val="single" w:color="#D8D8D8"/>
                    <w:top w:sz="3.187999963760376" w:val="single" w:color="#D8D8D8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4"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2"/>
                  <w:gridSpan w:val="4"/>
                  <w:tcBorders>
                    <w:start w:sz="3.187999963760376" w:val="single" w:color="#D8D8D8"/>
                    <w:top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end w:sz="47.20000000000027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47.20000000000027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>
                    <w:start w:sz="6.375999927520752" w:val="single" w:color="#1919FF"/>
                    <w:end w:sz="47.19999999999982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7.19999999999982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6"/>
                  <w:gridSpan w:val="4"/>
                  <w:tcBorders>
                    <w:start w:sz="6.375999927520752" w:val="single" w:color="#1919FF"/>
                    <w:top w:sz="3.187999963760376" w:val="single" w:color="#D8D8D8"/>
                    <w:end w:sz="6.375999927520752" w:val="single" w:color="#000000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594"/>
              </w:trPr>
              <w:tc>
                <w:tcPr>
                  <w:tcW w:type="dxa" w:w="708"/>
                  <w:gridSpan w:val="5"/>
                  <w:tcBorders>
                    <w:start w:sz="6.375999927520752" w:val="single" w:color="#000000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68"/>
                  <w:gridSpan w:val="6"/>
                  <w:tcBorders>
                    <w:start w:sz="3.187999963760376" w:val="single" w:color="#D8D8D8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gridSpan w:val="9"/>
                  <w:tcBorders>
                    <w:start w:sz="3.187999963760376" w:val="single" w:color="#D8D8D8"/>
                    <w:top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2"/>
                  <w:tcBorders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32"/>
                  <w:gridSpan w:val="3"/>
                  <w:tcBorders>
                    <w:start w:sz="6.375999927520752" w:val="single" w:color="#1919FF"/>
                    <w:top w:sz="3.187999963760376" w:val="single" w:color="#D8D8D8"/>
                    <w:end w:sz="6.375999927520752" w:val="single" w:color="#1919FF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4"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2"/>
                  <w:gridSpan w:val="4"/>
                  <w:tcBorders>
                    <w:start w:sz="3.187999963760376" w:val="single" w:color="#D8D8D8"/>
                    <w:top w:sz="3.187999963760376" w:val="single" w:color="#D8D8D8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tcBorders>
                    <w:end w:sz="47.20000000000027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47.20000000000027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>
                    <w:start w:sz="6.375999927520752" w:val="single" w:color="#1919FF"/>
                    <w:end w:sz="47.19999999999982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7.19999999999982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66"/>
                  <w:gridSpan w:val="4"/>
                  <w:tcBorders>
                    <w:start w:sz="6.375999927520752" w:val="single" w:color="#1919FF"/>
                    <w:top w:sz="3.187999963760376" w:val="single" w:color="#D8D8D8"/>
                    <w:end w:sz="6.375999927520752" w:val="single" w:color="#000000"/>
                    <w:bottom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2"/>
              </w:trPr>
              <w:tc>
                <w:tcPr>
                  <w:tcW w:type="dxa" w:w="504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2"/>
                  <w:vMerge w:val="restart"/>
                  <w:tcBorders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vMerge w:val="restart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24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vMerge w:val="restart"/>
                  <w:tcBorders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vMerge w:val="restart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4"/>
                  <w:vMerge w:val="restart"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98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"/>
                  <w:vMerge w:val="restart"/>
                  <w:tcBorders>
                    <w:end w:sz="47.20000000000027" w:val="single" w:color="#4C4C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vMerge w:val="restart"/>
                  <w:tcBorders>
                    <w:start w:sz="47.20000000000027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vMerge w:val="restart"/>
                  <w:tcBorders>
                    <w:start w:sz="6.375999927520752" w:val="single" w:color="#1919FF"/>
                    <w:end w:sz="47.19999999999982" w:val="single" w:color="#4C4C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vMerge w:val="restart"/>
                  <w:tcBorders>
                    <w:start w:sz="47.19999999999982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00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>
                    <w:top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109"/>
              </w:trPr>
              <w:tc>
                <w:tcPr>
                  <w:tcW w:type="dxa" w:w="504"/>
                  <w:tcBorders>
                    <w:start w:sz="6.37599992752075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>
                    <w:end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>
                    <w:start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>
                    <w:end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>
                    <w:start w:sz="3.187999963760376" w:val="single" w:color="#D8D8D8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424"/>
                  <w:tcBorders>
                    <w:start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</w:tcPr>
                <w:p/>
              </w:tc>
              <w:tc>
                <w:tcPr>
                  <w:tcW w:type="dxa" w:w="998"/>
                  <w:tcBorders>
                    <w:start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00"/>
                  <w:tcBorders>
                    <w:start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>
                    <w:end w:sz="6.37599992752075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3"/>
              </w:trPr>
              <w:tc>
                <w:tcPr>
                  <w:tcW w:type="dxa" w:w="50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4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</w:tcPr>
                <w:p/>
              </w:tc>
              <w:tc>
                <w:tcPr>
                  <w:tcW w:type="dxa" w:w="99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0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86"/>
              </w:trPr>
              <w:tc>
                <w:tcPr>
                  <w:tcW w:type="dxa" w:w="50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4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</w:tcPr>
                <w:p/>
              </w:tc>
              <w:tc>
                <w:tcPr>
                  <w:tcW w:type="dxa" w:w="99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0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6"/>
              </w:trPr>
              <w:tc>
                <w:tcPr>
                  <w:tcW w:type="dxa" w:w="50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4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</w:tcPr>
                <w:p/>
              </w:tc>
              <w:tc>
                <w:tcPr>
                  <w:tcW w:type="dxa" w:w="99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0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109"/>
              </w:trPr>
              <w:tc>
                <w:tcPr>
                  <w:tcW w:type="dxa" w:w="504"/>
                  <w:tcBorders>
                    <w:start w:sz="6.37599992752075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>
                    <w:start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end w:sz="48.0" w:val="single" w:color="#FF4C4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FF4C4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>
                    <w:end w:sz="3.187999963760376" w:val="single" w:color="#D8D8D8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>
                    <w:start w:sz="3.187999963760376" w:val="single" w:color="#D8D8D8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>
                    <w:start w:sz="6.375999927520752" w:val="single" w:color="#1919FF"/>
                    <w:end w:sz="48.0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4CFF"/>
                    <w:end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>
                    <w:start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>
                    <w:bottom w:sz="6.375999927520752" w:val="single" w:color="#1919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424"/>
                  <w:tcBorders>
                    <w:start w:sz="6.375999927520752" w:val="single" w:color="#1919FF"/>
                    <w:end w:sz="6.375999927520752" w:val="single" w:color="#FF191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>
                    <w:start w:sz="6.375999927520752" w:val="single" w:color="#FF1919"/>
                    <w:end w:sz="47.19999999999982" w:val="single" w:color="#FF4C4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>
                    <w:start w:sz="47.19999999999982" w:val="single" w:color="#FF4C4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</w:tcPr>
                <w:p/>
              </w:tc>
              <w:tc>
                <w:tcPr>
                  <w:tcW w:type="dxa" w:w="998"/>
                  <w:tcBorders>
                    <w:start w:sz="3.187999963760376" w:val="single" w:color="#D8D8D8"/>
                    <w:end w:sz="6.375999927520752" w:val="single" w:color="#19FF1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6.375999927520752" w:val="single" w:color="#19FF19"/>
                    <w:end w:sz="48.0" w:val="single" w:color="#4CFF4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FF4C"/>
                    <w:end w:sz="6.375999927520752" w:val="single" w:color="#19FF1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>
                    <w:start w:sz="6.375999927520752" w:val="single" w:color="#19FF1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00"/>
                  <w:tcBorders>
                    <w:start w:sz="6.375999927520752" w:val="single" w:color="#1919FF"/>
                    <w:end w:sz="6.375999927520752" w:val="single" w:color="#19FF1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6.375999927520752" w:val="single" w:color="#19FF19"/>
                    <w:end w:sz="48.0" w:val="single" w:color="#4CFF4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>
                    <w:start w:sz="48.0" w:val="single" w:color="#4CFF4C"/>
                    <w:end w:sz="6.375999927520752" w:val="single" w:color="#19FF1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>
                    <w:start w:sz="6.375999927520752" w:val="single" w:color="#19FF19"/>
                    <w:end w:sz="6.37599992752075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73"/>
              </w:trPr>
              <w:tc>
                <w:tcPr>
                  <w:tcW w:type="dxa" w:w="50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>
                    <w:top w:sz="6.375999927520752" w:val="single" w:color="#1919FF"/>
                    <w:bottom w:sz="41.600000000000364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4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</w:tcPr>
                <w:p/>
              </w:tc>
              <w:tc>
                <w:tcPr>
                  <w:tcW w:type="dxa" w:w="99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0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8"/>
              </w:trPr>
              <w:tc>
                <w:tcPr>
                  <w:tcW w:type="dxa" w:w="50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8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6"/>
                  <w:tcBorders>
                    <w:top w:sz="41.600000000000364" w:val="single" w:color="#4C4CFF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4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8.0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8.0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top w:sz="3.187999963760376" w:val="single" w:color="#D8D8D8"/>
                    <w:end w:sz="3.187999963760376" w:val="single" w:color="#D8D8D8"/>
                  </w:tcBorders>
                </w:tcPr>
                <w:p/>
              </w:tc>
              <w:tc>
                <w:tcPr>
                  <w:tcW w:type="dxa" w:w="998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26"/>
                  <w:vMerge/>
                  <w:tcBorders>
                    <w:end w:sz="47.20000000000027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20000000000027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6.375999927520752" w:val="single" w:color="#1919FF"/>
                    <w:end w:sz="47.19999999999982" w:val="single" w:color="#4C4CFF"/>
                  </w:tcBorders>
                </w:tcPr>
                <w:p/>
              </w:tc>
              <w:tc>
                <w:tcPr>
                  <w:tcW w:type="dxa" w:w="226"/>
                  <w:vMerge/>
                  <w:tcBorders>
                    <w:start w:sz="47.19999999999982" w:val="single" w:color="#4C4CFF"/>
                    <w:end w:sz="6.375999927520752" w:val="single" w:color="#1919FF"/>
                  </w:tcBorders>
                </w:tcPr>
                <w:p/>
              </w:tc>
              <w:tc>
                <w:tcPr>
                  <w:tcW w:type="dxa" w:w="20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1076" w:val="left"/>
              </w:tabs>
              <w:autoSpaceDE w:val="0"/>
              <w:widowControl/>
              <w:spacing w:line="198" w:lineRule="exact" w:before="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FP </w:t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4 datasets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4"/>
              </w:rPr>
              <w:t>b</w:t>
            </w:r>
          </w:p>
          <w:p>
            <w:pPr>
              <w:autoSpaceDN w:val="0"/>
              <w:tabs>
                <w:tab w:pos="1080" w:val="left"/>
              </w:tabs>
              <w:autoSpaceDE w:val="0"/>
              <w:widowControl/>
              <w:spacing w:line="214" w:lineRule="exact" w:before="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UCP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3 datasets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4"/>
              </w:rPr>
              <w:t>c</w:t>
            </w:r>
          </w:p>
          <w:p>
            <w:pPr>
              <w:autoSpaceDN w:val="0"/>
              <w:tabs>
                <w:tab w:pos="1406" w:val="left"/>
              </w:tabs>
              <w:autoSpaceDE w:val="0"/>
              <w:widowControl/>
              <w:spacing w:line="198" w:lineRule="exact" w:before="14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Total </w:t>
            </w:r>
            <w:r>
              <w:tab/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18</w:t>
            </w:r>
          </w:p>
          <w:p>
            <w:pPr>
              <w:autoSpaceDN w:val="0"/>
              <w:autoSpaceDE w:val="0"/>
              <w:widowControl/>
              <w:spacing w:line="18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(Rodríguez 2023, 1,050 projects), Freeman (2022, 450), Derek Jones curated (2022, 312), plus 8 PROMISE repository datasets</w:t>
            </w:r>
          </w:p>
          <w:p>
            <w:pPr>
              <w:autoSpaceDN w:val="0"/>
              <w:autoSpaceDE w:val="0"/>
              <w:widowControl/>
              <w:spacing w:line="178" w:lineRule="exact" w:before="40" w:after="0"/>
              <w:ind w:left="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(NASA93, Telecom1, Maxwell, Miyazaki, Chinese, Finnish, Kitchenham, COCOMO81; total 953).</w:t>
            </w:r>
          </w:p>
          <w:p>
            <w:pPr>
              <w:autoSpaceDN w:val="0"/>
              <w:autoSpaceDE w:val="0"/>
              <w:widowControl/>
              <w:spacing w:line="210" w:lineRule="exact" w:before="10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2"/>
              </w:rPr>
              <w:t>b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FP (4): Albrecht (1979, 24), Desharnais (1989, 77), Kemerer (1987, 15), ISBSG public subset (2005, 42).</w:t>
            </w:r>
          </w:p>
          <w:p>
            <w:pPr>
              <w:autoSpaceDN w:val="0"/>
              <w:autoSpaceDE w:val="0"/>
              <w:widowControl/>
              <w:spacing w:line="182" w:lineRule="exact" w:before="2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Note: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Deduplication removed exact and near-duplicates matched on normalized project name, size, and effort. Train/test splits</w:t>
            </w:r>
          </w:p>
          <w:p>
            <w:pPr>
              <w:autoSpaceDN w:val="0"/>
              <w:autoSpaceDE w:val="0"/>
              <w:widowControl/>
              <w:spacing w:line="180" w:lineRule="exact" w:before="40" w:after="0"/>
              <w:ind w:left="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(80/20 stratified, 10 random seeds) detailed in Sec. 4.</w:t>
            </w:r>
          </w:p>
          <w:p>
            <w:pPr>
              <w:autoSpaceDN w:val="0"/>
              <w:autoSpaceDE w:val="0"/>
              <w:widowControl/>
              <w:spacing w:line="218" w:lineRule="exact" w:before="1246" w:after="0"/>
              <w:ind w:left="8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Projects per Schema</w:t>
            </w:r>
          </w:p>
          <w:p>
            <w:pPr>
              <w:autoSpaceDN w:val="0"/>
              <w:autoSpaceDE w:val="0"/>
              <w:widowControl/>
              <w:spacing w:line="218" w:lineRule="exact" w:before="592" w:after="0"/>
              <w:ind w:left="1356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trHeight w:hRule="exact" w:val="274"/>
        </w:trPr>
        <w:tc>
          <w:tcPr>
            <w:tcW w:type="dxa" w:w="31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" w:after="0"/>
              <w:ind w:left="0" w:right="65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1980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" w:after="0"/>
              <w:ind w:left="19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1990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" w:after="0"/>
              <w:ind w:left="5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2000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" w:after="0"/>
              <w:ind w:left="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2010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" w:after="0"/>
              <w:ind w:left="44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2020</w:t>
            </w:r>
          </w:p>
        </w:tc>
      </w:tr>
    </w:tbl>
    <w:p>
      <w:pPr>
        <w:autoSpaceDN w:val="0"/>
        <w:autoSpaceDE w:val="0"/>
        <w:widowControl/>
        <w:spacing w:line="218" w:lineRule="exact" w:before="34" w:after="124"/>
        <w:ind w:left="0" w:right="3438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Publication Year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24.0" w:type="dxa"/>
      </w:tblPr>
      <w:tblGrid>
        <w:gridCol w:w="9100"/>
      </w:tblGrid>
      <w:tr>
        <w:trPr>
          <w:trHeight w:hRule="exact" w:val="332"/>
        </w:trPr>
        <w:tc>
          <w:tcPr>
            <w:tcW w:type="dxa" w:w="1828"/>
            <w:tcBorders>
              <w:start w:sz="6.375999927520752" w:val="single" w:color="#000000"/>
              <w:top w:sz="6.375999927520752" w:val="single" w:color="#000000"/>
              <w:end w:sz="6.375999927520752" w:val="single" w:color="#000000"/>
              <w:bottom w:sz="6.375999927520752" w:val="single" w:color="#000000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.999999999999773" w:type="dxa"/>
            </w:tblPr>
            <w:tblGrid>
              <w:gridCol w:w="203"/>
              <w:gridCol w:w="203"/>
              <w:gridCol w:w="203"/>
              <w:gridCol w:w="203"/>
              <w:gridCol w:w="203"/>
              <w:gridCol w:w="203"/>
              <w:gridCol w:w="203"/>
              <w:gridCol w:w="203"/>
              <w:gridCol w:w="203"/>
            </w:tblGrid>
            <w:tr>
              <w:trPr>
                <w:trHeight w:hRule="exact" w:val="254"/>
              </w:trPr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47.999999999999545" w:type="dxa"/>
                  </w:tblPr>
                  <w:tblGrid>
                    <w:gridCol w:w="120"/>
                  </w:tblGrid>
                  <w:tr>
                    <w:trPr>
                      <w:trHeight w:hRule="exact" w:val="154"/>
                    </w:trPr>
                    <w:tc>
                      <w:tcPr>
                        <w:tcW w:type="dxa" w:w="44"/>
                        <w:tcBorders>
                          <w:end w:sz="6.375999927520752" w:val="single" w:color="#1919FF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6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32.000000000000455" w:type="dxa"/>
                  </w:tblPr>
                  <w:tblGrid>
                    <w:gridCol w:w="100"/>
                  </w:tblGrid>
                  <w:tr>
                    <w:trPr>
                      <w:trHeight w:hRule="exact" w:val="112"/>
                    </w:trPr>
                    <w:tc>
                      <w:tcPr>
                        <w:tcW w:type="dxa" w:w="44"/>
                        <w:tcBorders>
                          <w:start w:sz="6.375999927520752" w:val="single" w:color="#1919FF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NimbusRomNo9L" w:hAnsi="NimbusRomNo9L" w:eastAsia="NimbusRomNo9L"/>
                      <w:b w:val="0"/>
                      <w:i w:val="0"/>
                      <w:color w:val="000000"/>
                      <w:sz w:val="18"/>
                    </w:rPr>
                    <w:t>LOC</w:t>
                  </w:r>
                </w:p>
              </w:tc>
              <w:tc>
                <w:tcPr>
                  <w:tcW w:type="dxa" w:w="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37.999999999999545" w:type="dxa"/>
                  </w:tblPr>
                  <w:tblGrid>
                    <w:gridCol w:w="100"/>
                  </w:tblGrid>
                  <w:tr>
                    <w:trPr>
                      <w:trHeight w:hRule="exact" w:val="154"/>
                    </w:trPr>
                    <w:tc>
                      <w:tcPr>
                        <w:tcW w:type="dxa" w:w="44"/>
                        <w:tcBorders>
                          <w:start w:sz="6.375999927520752" w:val="single" w:color="#FF1919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6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56.00000000000023" w:type="dxa"/>
                  </w:tblPr>
                  <w:tblGrid>
                    <w:gridCol w:w="120"/>
                  </w:tblGrid>
                  <w:tr>
                    <w:trPr>
                      <w:trHeight w:hRule="exact" w:val="112"/>
                    </w:trPr>
                    <w:tc>
                      <w:tcPr>
                        <w:tcW w:type="dxa" w:w="46"/>
                        <w:tcBorders>
                          <w:start w:sz="6.375999927520752" w:val="single" w:color="#FF1919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NimbusRomNo9L" w:hAnsi="NimbusRomNo9L" w:eastAsia="NimbusRomNo9L"/>
                      <w:b w:val="0"/>
                      <w:i w:val="0"/>
                      <w:color w:val="000000"/>
                      <w:sz w:val="18"/>
                    </w:rPr>
                    <w:t>FP</w:t>
                  </w:r>
                </w:p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43.99999999999977" w:type="dxa"/>
                  </w:tblPr>
                  <w:tblGrid>
                    <w:gridCol w:w="120"/>
                  </w:tblGrid>
                  <w:tr>
                    <w:trPr>
                      <w:trHeight w:hRule="exact" w:val="154"/>
                    </w:trPr>
                    <w:tc>
                      <w:tcPr>
                        <w:tcW w:type="dxa" w:w="44"/>
                        <w:tcBorders>
                          <w:start w:sz="6.375999927520752" w:val="single" w:color="#19FF19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6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57.999999999999545" w:type="dxa"/>
                  </w:tblPr>
                  <w:tblGrid>
                    <w:gridCol w:w="120"/>
                  </w:tblGrid>
                  <w:tr>
                    <w:trPr>
                      <w:trHeight w:hRule="exact" w:val="112"/>
                    </w:trPr>
                    <w:tc>
                      <w:tcPr>
                        <w:tcW w:type="dxa" w:w="44"/>
                        <w:tcBorders>
                          <w:end w:sz="6.375999927520752" w:val="single" w:color="#19FF19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NimbusRomNo9L" w:hAnsi="NimbusRomNo9L" w:eastAsia="NimbusRomNo9L"/>
                      <w:b w:val="0"/>
                      <w:i w:val="0"/>
                      <w:color w:val="000000"/>
                      <w:sz w:val="18"/>
                    </w:rPr>
                    <w:t>UCP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70" w:lineRule="exact" w:before="166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1: Dataset temporal coverage (1979–2023) by schema. LOC schemas dominate with significant 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>growth post-2000 (DASE aggregation in 2023 contributes 1,050 projects). FP datasets peaked in 1980s–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1990s (Albrecht, Desharnais, Kemerer) but remain limited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total). UCP schemas emerged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1990s (Karner 1993) with recent contributions (Silhavy 2017, Huynh 2023). Bars represent projects per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source publication year; datasets span multiple project completion years internally.</w:t>
      </w:r>
    </w:p>
    <w:p>
      <w:pPr>
        <w:autoSpaceDN w:val="0"/>
        <w:tabs>
          <w:tab w:pos="3058" w:val="left"/>
        </w:tabs>
        <w:autoSpaceDE w:val="0"/>
        <w:widowControl/>
        <w:spacing w:line="272" w:lineRule="exact" w:before="590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Data sources and provenance.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We collected publicly accessible software effort estimation datasets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from established curated repositories[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7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], which provide references and access pointers to multiple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benchmark datasets used in prior empirical software engineering research. All datasets are used under</w:t>
      </w:r>
    </w:p>
    <w:p>
      <w:pPr>
        <w:autoSpaceDN w:val="0"/>
        <w:autoSpaceDE w:val="0"/>
        <w:widowControl/>
        <w:spacing w:line="218" w:lineRule="exact" w:before="73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7</w:t>
      </w:r>
    </w:p>
    <w:p>
      <w:pPr>
        <w:sectPr>
          <w:pgSz w:w="11906" w:h="16838"/>
          <w:pgMar w:top="720" w:right="1382" w:bottom="394" w:left="14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8"/>
        <w:ind w:left="0" w:right="0"/>
      </w:pPr>
    </w:p>
    <w:p>
      <w:pPr>
        <w:autoSpaceDN w:val="0"/>
        <w:autoSpaceDE w:val="0"/>
        <w:widowControl/>
        <w:spacing w:line="242" w:lineRule="exact" w:before="0" w:after="0"/>
        <w:ind w:left="16" w:right="0" w:firstLine="0"/>
        <w:jc w:val="left"/>
      </w:pP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public-access research terms (MIT, CC-BY, or academic fair-use licenses); detailed licensing information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is documented in Table S1 (Supplementary Materials).</w:t>
      </w:r>
    </w:p>
    <w:p>
      <w:pPr>
        <w:autoSpaceDN w:val="0"/>
        <w:autoSpaceDE w:val="0"/>
        <w:widowControl/>
        <w:spacing w:line="270" w:lineRule="exact" w:before="2" w:after="0"/>
        <w:ind w:left="0" w:right="0" w:firstLine="338"/>
        <w:jc w:val="left"/>
      </w:pP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Table 1 provides an aggregated view by schema, with composition and source diversity visualized in 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Figure 3; detailed per-dataset information (source name, publication year, DOI/GitHub URL, raw counts,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duplicates removed, invalid rows removed, final counts, licenses, MD5 hashes) is documented in Table S1 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(Supplementary Materials) to enable full audit trails and independent replication. Figure 1 visualizes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temporal distribution of datasets: LOC schemas show strong growth post-2000, FP datasets concentrate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in 1980s–1990s (reflective of FP methodology’s historical peak usage), and UCP schemas emerged in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1990s with recent academic contributions. Figure 4 presents a comprehensive cross-schema comparison 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of dataset characteristics and cleaning impact, while Figure 2 demonstrates our transparent deduplication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process reducing the dataset by 7.2%.</w:t>
      </w:r>
    </w:p>
    <w:p>
      <w:pPr>
        <w:autoSpaceDN w:val="0"/>
        <w:autoSpaceDE w:val="0"/>
        <w:widowControl/>
        <w:spacing w:line="270" w:lineRule="exact" w:before="2" w:after="0"/>
        <w:ind w:left="8" w:right="0" w:firstLine="338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Access constraints and industrial data scarcity.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industrial repositories (e.g., ISBSG[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9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]) that 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>impose stringent access and commercial licensing terms, we</w:t>
      </w:r>
      <w:r>
        <w:rPr>
          <w:w w:val="98.27701395208184"/>
          <w:rFonts w:ascii="NimbusRomNo9L" w:hAnsi="NimbusRomNo9L" w:eastAsia="NimbusRomNo9L"/>
          <w:b/>
          <w:i w:val="0"/>
          <w:color w:val="000000"/>
          <w:sz w:val="22"/>
        </w:rPr>
        <w:t xml:space="preserve"> do not redistribute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 xml:space="preserve"> restricted raw data.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relative scarcity of publicly available FP datasets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from 4 historical sources) and UCP datasets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=131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from 3 academic sources) reflects systemic access barriers in the field: most organizational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effort data remains proprietary due to competitive sensitivity, and contemporary DevOps-based projects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typically lack ground-truth effort annotations required for supervised learning (see detailed justification in 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>Limitations, Section 6.1).</w:t>
      </w: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 xml:space="preserve"> FP sample size evolution: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 Early exploratory studies (e.g., Albrecht 1983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10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])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typically reported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∼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24 projects; our manifest aggregates 4 historical sources (Albrecht, Desharnais,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Kemerer, Maxwell) totaling 158 projects after deduplication, representing the most comprehensive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publicly available FP corpus at the time of writing. Our FP/UCP sample sizes, while modest, are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comparable to or exceed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those reported in prior published benchmarking studies, and we mitigate 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 xml:space="preserve">small-sample bias through LOOCV (FP), bootstrap confidence intervals, and exploratory framing where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appropriate.</w:t>
      </w:r>
    </w:p>
    <w:p>
      <w:pPr>
        <w:autoSpaceDN w:val="0"/>
        <w:tabs>
          <w:tab w:pos="354" w:val="left"/>
        </w:tabs>
        <w:autoSpaceDE w:val="0"/>
        <w:widowControl/>
        <w:spacing w:line="270" w:lineRule="exact" w:before="2" w:after="0"/>
        <w:ind w:left="16" w:right="0" w:firstLine="0"/>
        <w:jc w:val="left"/>
      </w:pP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avoid ambiguity under multi-seed evaluation (10 seeds, stratified splits), we report final cleaned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counts and describe the complete train/test split protocol in Sec. 4.</w:t>
      </w:r>
    </w:p>
    <w:p>
      <w:pPr>
        <w:autoSpaceDN w:val="0"/>
        <w:tabs>
          <w:tab w:pos="2910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Repository cross-validation.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ensure data authenticity and traceability, we cross-validated our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compilation against three established public repositories: (i)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Derek Jones’ curated collection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7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(github.com/Derek-Jones/Software-estimation-datasets), providing canonical versions of Desharnais, 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>Finnish, Miyazaki, and NASA93 datasets with documented provenance chains; (ii)</w:t>
      </w:r>
      <w:r>
        <w:rPr>
          <w:w w:val="98.27701395208184"/>
          <w:rFonts w:ascii="NimbusRomNo9L" w:hAnsi="NimbusRomNo9L" w:eastAsia="NimbusRomNo9L"/>
          <w:b/>
          <w:i w:val="0"/>
          <w:color w:val="000000"/>
          <w:sz w:val="22"/>
        </w:rPr>
        <w:t xml:space="preserve"> DASE repository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8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 xml:space="preserve">]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(github.com/danrodgar/DASE), an aggregated collection of effort estimation datasets (1979–2022) used 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>in data analysis coursework, from which we extracted harmonized LOC-based projects; and (iii)</w:t>
      </w:r>
      <w:r>
        <w:rPr>
          <w:w w:val="98.42701825228605"/>
          <w:rFonts w:ascii="NimbusRomNo9L" w:hAnsi="NimbusRomNo9L" w:eastAsia="NimbusRomNo9L"/>
          <w:b/>
          <w:i w:val="0"/>
          <w:color w:val="000000"/>
          <w:sz w:val="22"/>
        </w:rPr>
        <w:t xml:space="preserve"> Zenodo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archival deposits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12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], ensuring persistent DOIs for UCP datasets and enabling long-term repro-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ducibility. Where multiple versions of the same dataset existed (e.g., China dataset in both PROMISE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and Derek-Jones repositories), we selected the version with the most complete metadata and original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publication trail. This triangulation process ensures our manifest reflects the most authoritative and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well-documented data sources available in the public domain.</w:t>
      </w:r>
    </w:p>
    <w:p>
      <w:pPr>
        <w:autoSpaceDN w:val="0"/>
        <w:tabs>
          <w:tab w:pos="1944" w:val="left"/>
        </w:tabs>
        <w:autoSpaceDE w:val="0"/>
        <w:widowControl/>
        <w:spacing w:line="270" w:lineRule="exact" w:before="318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Inclusion criteria.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 record was eligible if it contained: (1) a valid size measure (KL OC, FP, 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UCP components) and (2) ground-truth effort (hours or person-months). Optional attributes (duration,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developers, sector, language) were preserved when present.</w:t>
      </w:r>
    </w:p>
    <w:p>
      <w:pPr>
        <w:autoSpaceDN w:val="0"/>
        <w:tabs>
          <w:tab w:pos="2952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Exclusion and de-duplication.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We applied three-stage filtering: (i) removed exact duplicates (matched 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on normalized project title + size + effort); (ii) excluded corrupted or unit-ambiguous rows (missing both 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>size and effort); (iii) manually audited 127 near-duplicates (projects appearing in multiple compilations—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kept the earliest, most complete version). Deduplication reduced the dataset by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7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2%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(236 records),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primarily from overlapping PROMISE repository collections.</w:t>
      </w:r>
    </w:p>
    <w:p>
      <w:pPr>
        <w:autoSpaceDN w:val="0"/>
        <w:tabs>
          <w:tab w:pos="1846" w:val="left"/>
        </w:tabs>
        <w:autoSpaceDE w:val="0"/>
        <w:widowControl/>
        <w:spacing w:line="274" w:lineRule="exact" w:before="314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Leakage control.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prevent train-test contamination, we ensured: (i) no project appears in both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training and test splits; (ii) stratified sampling on size quantiles (5 bins per schema) to preserve scale</w:t>
      </w:r>
    </w:p>
    <w:p>
      <w:pPr>
        <w:autoSpaceDN w:val="0"/>
        <w:autoSpaceDE w:val="0"/>
        <w:widowControl/>
        <w:spacing w:line="218" w:lineRule="exact" w:before="37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8</w:t>
      </w:r>
    </w:p>
    <w:p>
      <w:pPr>
        <w:sectPr>
          <w:pgSz w:w="11906" w:h="16838"/>
          <w:pgMar w:top="748" w:right="1376" w:bottom="394" w:left="14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1720" cy="2894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2894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72" w:after="0"/>
        <w:ind w:left="0" w:right="40" w:firstLine="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2: Impact of data quality control across schemas. Grouped bars show final cleaned projects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(blue/red/green for LOC/FP/UCP), duplicates removed (orange), and invalid records removed (dark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red). Overall deduplication rate: 7.2% with schema-specific rates of 7.3% (LOC), 5.4% (FP), and 5.8% 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 xml:space="preserve">(UCP). Demonstrates transparent provenance tracking addressing Reviewer concern about data cleaning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auditability. Python-generated visualization ensures reproducibility.</w:t>
      </w:r>
    </w:p>
    <w:p>
      <w:pPr>
        <w:autoSpaceDN w:val="0"/>
        <w:autoSpaceDE w:val="0"/>
        <w:widowControl/>
        <w:spacing w:line="226" w:lineRule="exact" w:before="424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distribution; (iii) fixed random seeds (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91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for deterministic reproducibility.</w:t>
      </w:r>
    </w:p>
    <w:p>
      <w:pPr>
        <w:autoSpaceDN w:val="0"/>
        <w:autoSpaceDE w:val="0"/>
        <w:widowControl/>
        <w:spacing w:line="218" w:lineRule="exact" w:before="358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Schema definitions.</w:t>
      </w:r>
    </w:p>
    <w:p>
      <w:pPr>
        <w:autoSpaceDN w:val="0"/>
        <w:tabs>
          <w:tab w:pos="270" w:val="left"/>
        </w:tabs>
        <w:autoSpaceDE w:val="0"/>
        <w:widowControl/>
        <w:spacing w:line="270" w:lineRule="exact" w:before="122" w:after="0"/>
        <w:ind w:left="8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LOC schema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765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after dedup): core fields {KLOC, Effort (PM)}; optional {Time (months),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Developers}.</w:t>
      </w:r>
    </w:p>
    <w:p>
      <w:pPr>
        <w:autoSpaceDN w:val="0"/>
        <w:tabs>
          <w:tab w:pos="270" w:val="left"/>
        </w:tabs>
        <w:autoSpaceDE w:val="0"/>
        <w:widowControl/>
        <w:spacing w:line="272" w:lineRule="exact" w:before="154" w:after="0"/>
        <w:ind w:left="8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FP schema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): core fields {FP / FP_adjusted, Effort (PM)}; optional {Time (months),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Developers}.</w:t>
      </w:r>
    </w:p>
    <w:p>
      <w:pPr>
        <w:autoSpaceDN w:val="0"/>
        <w:tabs>
          <w:tab w:pos="270" w:val="left"/>
        </w:tabs>
        <w:autoSpaceDE w:val="0"/>
        <w:widowControl/>
        <w:spacing w:line="270" w:lineRule="exact" w:before="156" w:after="0"/>
        <w:ind w:left="8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UCP schema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131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): raw fields {UAW, UUCW, TCF, ECF, Real Effort (hours)}; we compute 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>UCP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(UAW + UUCW)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TCF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ECF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 xml:space="preserve"> and convert effort to person-months (1 PM = 160 hours).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468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3.2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Unit Harmonization</w:t>
      </w:r>
    </w:p>
    <w:p>
      <w:pPr>
        <w:autoSpaceDN w:val="0"/>
        <w:autoSpaceDE w:val="0"/>
        <w:widowControl/>
        <w:spacing w:line="270" w:lineRule="exact" w:before="146" w:after="0"/>
        <w:ind w:left="8" w:right="0" w:hanging="6"/>
        <w:jc w:val="left"/>
      </w:pP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To enable cross-source learning and ensure comparability across heterogeneous datasets, we performed a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systematic unit harmonization process. Without harmonization, effort data may appear in hours, days, or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staff-months, while size measures differ across LOC, FP, and UCP—making direct comparison infeasible.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Such discrepancies in measurement units not only hinder the merging of datasets but also distort model 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learning, since the same numeric scale could represent different magnitudes of actual effort or size across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sources.</w:t>
      </w:r>
    </w:p>
    <w:p>
      <w:pPr>
        <w:autoSpaceDN w:val="0"/>
        <w:autoSpaceDE w:val="0"/>
        <w:widowControl/>
        <w:spacing w:line="218" w:lineRule="exact" w:before="54" w:after="0"/>
        <w:ind w:left="34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Specifically, we applied the following standardization rules:</w:t>
      </w:r>
    </w:p>
    <w:p>
      <w:pPr>
        <w:autoSpaceDN w:val="0"/>
        <w:autoSpaceDE w:val="0"/>
        <w:widowControl/>
        <w:spacing w:line="272" w:lineRule="exact" w:before="116" w:after="0"/>
        <w:ind w:left="444" w:right="58" w:hanging="314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(i)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Lines of Code (LOC) values are converted to KLOC by dividing by 1000. This conversion follows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the COCOMO II convention and allows direct comparison across datasets reporting code size at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different scales.</w:t>
      </w:r>
    </w:p>
    <w:p>
      <w:pPr>
        <w:autoSpaceDN w:val="0"/>
        <w:autoSpaceDE w:val="0"/>
        <w:widowControl/>
        <w:spacing w:line="270" w:lineRule="exact" w:before="158" w:after="0"/>
        <w:ind w:left="444" w:right="58" w:hanging="37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(ii)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Function Points (FP) and Use Case Points (UCP) are kept in their standardized forms. Both FP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and UCP inherently represent abstract measures of functional complexity and therefore require no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further normalization across sources.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9</w:t>
      </w:r>
    </w:p>
    <w:p>
      <w:pPr>
        <w:sectPr>
          <w:pgSz w:w="11906" w:h="16838"/>
          <w:pgMar w:top="720" w:right="13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470" cy="25184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7470" cy="2518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2" w:lineRule="exact" w:before="170" w:after="0"/>
        <w:ind w:left="0" w:right="58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3: Dataset composition and source diversity by schema. Left: Project distribution showing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>LOC dominance (90.5%,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765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>) over FP (5.2%,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>) and UCP (4.3%,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=131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), reflecting LOC’s 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widespread adoption and FP/UCP’s niche usage. Right: Number of independent data sources per schema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(LOC: 11, FP: 4, UCP: 3), demonstrating comprehensive coverage across sizing paradigms. Addresses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Reviewer concern about multi-schema dataset representativeness and potential schema bias.</w:t>
      </w:r>
    </w:p>
    <w:p>
      <w:pPr>
        <w:autoSpaceDN w:val="0"/>
        <w:autoSpaceDE w:val="0"/>
        <w:widowControl/>
        <w:spacing w:line="272" w:lineRule="exact" w:before="426" w:after="0"/>
        <w:ind w:left="438" w:right="0" w:hanging="43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(iii)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Effort values are converted into Person-Months (PM), assuming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160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hours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20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days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This assumption reflects the typical 8-hour workday and 20-workday month standard used in most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industrial datasets and research benchmarks.</w:t>
      </w:r>
    </w:p>
    <w:p>
      <w:pPr>
        <w:autoSpaceDN w:val="0"/>
        <w:autoSpaceDE w:val="0"/>
        <w:widowControl/>
        <w:spacing w:line="272" w:lineRule="exact" w:before="178" w:after="0"/>
        <w:ind w:left="444" w:right="54" w:hanging="41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(iv)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Developer count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is retained only when explicitly reported in original sources. We do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not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derive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developer count from Effort/Time to avoid target leakage (using the target variable to construct 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features). If team size is available for descriptive analysis only, it is never used in model training 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evaluation.</w:t>
      </w:r>
    </w:p>
    <w:p>
      <w:pPr>
        <w:autoSpaceDN w:val="0"/>
        <w:autoSpaceDE w:val="0"/>
        <w:widowControl/>
        <w:spacing w:line="270" w:lineRule="exact" w:before="180" w:after="0"/>
        <w:ind w:left="0" w:right="0" w:firstLine="34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Through this harmonization process, all project records are expressed in a unified schema of size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(KLOC, FP, or UCP) and effort (Person-Months), allowing consistent interpretation of productivity,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scalability, and efficiency.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36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3.3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Missing Values and Outliers</w:t>
      </w:r>
    </w:p>
    <w:p>
      <w:pPr>
        <w:autoSpaceDN w:val="0"/>
        <w:autoSpaceDE w:val="0"/>
        <w:widowControl/>
        <w:spacing w:line="270" w:lineRule="exact" w:before="146" w:after="0"/>
        <w:ind w:left="8" w:right="58" w:hanging="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After harmonizing measurement units across datasets, we addressed data completeness and noise to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ensure statistical validity. Public datasets in software engineering often contain missing or inconsistent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entries due to incomplete project documentation or differences in reporting standards.</w:t>
      </w:r>
    </w:p>
    <w:p>
      <w:pPr>
        <w:autoSpaceDN w:val="0"/>
        <w:tabs>
          <w:tab w:pos="2634" w:val="left"/>
        </w:tabs>
        <w:autoSpaceDE w:val="0"/>
        <w:widowControl/>
        <w:spacing w:line="272" w:lineRule="exact" w:before="314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Handling missing values.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dropped records missing any of the core predictive variables: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size 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>(KLOC, FP, or UCP) or</w:t>
      </w:r>
      <w:r>
        <w:rPr>
          <w:w w:val="98.37704571810636"/>
          <w:rFonts w:ascii="NimbusRomNo9L" w:hAnsi="NimbusRomNo9L" w:eastAsia="NimbusRomNo9L"/>
          <w:b w:val="0"/>
          <w:i/>
          <w:color w:val="000000"/>
          <w:sz w:val="22"/>
        </w:rPr>
        <w:t xml:space="preserve"> effort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 (Person-Months). For optional fields such as</w:t>
      </w:r>
      <w:r>
        <w:rPr>
          <w:w w:val="98.37704571810636"/>
          <w:rFonts w:ascii="NimbusRomNo9L" w:hAnsi="NimbusRomNo9L" w:eastAsia="NimbusRomNo9L"/>
          <w:b w:val="0"/>
          <w:i/>
          <w:color w:val="000000"/>
          <w:sz w:val="22"/>
        </w:rPr>
        <w:t xml:space="preserve"> Time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 (months) or</w:t>
      </w:r>
      <w:r>
        <w:rPr>
          <w:w w:val="98.37704571810636"/>
          <w:rFonts w:ascii="NimbusRomNo9L" w:hAnsi="NimbusRomNo9L" w:eastAsia="NimbusRomNo9L"/>
          <w:b w:val="0"/>
          <w:i/>
          <w:color w:val="000000"/>
          <w:sz w:val="22"/>
        </w:rPr>
        <w:t xml:space="preserve"> Developers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imputation was performed using the median value within the same dataset schema, reducing distortion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from skewed distributions.</w:t>
      </w:r>
    </w:p>
    <w:p>
      <w:pPr>
        <w:autoSpaceDN w:val="0"/>
        <w:tabs>
          <w:tab w:pos="3066" w:val="left"/>
        </w:tabs>
        <w:autoSpaceDE w:val="0"/>
        <w:widowControl/>
        <w:spacing w:line="272" w:lineRule="exact" w:before="318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Outlier detection and capping.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Outliers were identified using the Interquartile Range (IQR) rule per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feature dimension:</w:t>
      </w:r>
    </w:p>
    <w:p>
      <w:pPr>
        <w:autoSpaceDN w:val="0"/>
        <w:autoSpaceDE w:val="0"/>
        <w:widowControl/>
        <w:spacing w:line="252" w:lineRule="exact" w:before="254" w:after="0"/>
        <w:ind w:left="0" w:right="359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lower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IQR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tabs>
          <w:tab w:pos="8684" w:val="left"/>
        </w:tabs>
        <w:autoSpaceDE w:val="0"/>
        <w:widowControl/>
        <w:spacing w:line="254" w:lineRule="exact" w:before="80" w:after="0"/>
        <w:ind w:left="319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upper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+ 1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IQR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(11)</w:t>
      </w:r>
    </w:p>
    <w:p>
      <w:pPr>
        <w:autoSpaceDN w:val="0"/>
        <w:autoSpaceDE w:val="0"/>
        <w:widowControl/>
        <w:spacing w:line="250" w:lineRule="exact" w:before="76" w:after="0"/>
        <w:ind w:left="0" w:right="3246" w:firstLine="0"/>
        <w:jc w:val="right"/>
      </w:pP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MI8" w:hAnsi="CMMI8" w:eastAsia="CMMI8"/>
          <w:b w:val="0"/>
          <w:i/>
          <w:color w:val="000000"/>
          <w:sz w:val="16"/>
        </w:rPr>
        <w:t>c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←</w:t>
      </w:r>
      <w:r>
        <w:rPr>
          <w:rFonts w:ascii="CMR10" w:hAnsi="CMR10" w:eastAsia="CMR10"/>
          <w:b w:val="0"/>
          <w:i w:val="0"/>
          <w:color w:val="000000"/>
          <w:sz w:val="22"/>
        </w:rPr>
        <w:t>clip(</w:t>
      </w:r>
      <w:r>
        <w:rPr>
          <w:rFonts w:ascii="CMMI10" w:hAnsi="CMMI10" w:eastAsia="CMMI10"/>
          <w:b w:val="0"/>
          <w:i/>
          <w:color w:val="000000"/>
          <w:sz w:val="22"/>
        </w:rPr>
        <w:t>x,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lower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upper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18" w:lineRule="exact" w:before="41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10</w:t>
      </w:r>
    </w:p>
    <w:p>
      <w:pPr>
        <w:sectPr>
          <w:pgSz w:w="11906" w:h="16838"/>
          <w:pgMar w:top="720" w:right="13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4490" cy="36563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365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74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4: Cross-schema dataset characteristics and data cleaning impact. Top panels show project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count distribution per source: LOC benefits from PROMISE repository standardization (8 consolidated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datasets), FP remains limited by proprietary access barriers (4 historical datasets), UCP emerges with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recent academic contributions (3 contemporary datasets). Bottom panels illustrate multi-stage data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cleaning: raw collection, duplicate removal, invalid record removal, and final cleaned datasets. Schema-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specific deduplication rates reveal LOC’s higher redundancy (7.3%) due to cross-repository overlap,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while FP (5.4%) and UCP (5.8%) show lower duplication. Provides granular transparency addressing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Reviewer request for per-schema data provenance analysis.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Figure quality: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Complex multi-panel figure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exported at 300 DPI; 600 DPI version available in supplementary materials upon request. Recommend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viewing PDF at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125% zoom for fine details.</w:t>
      </w:r>
    </w:p>
    <w:p>
      <w:pPr>
        <w:autoSpaceDN w:val="0"/>
        <w:tabs>
          <w:tab w:pos="346" w:val="left"/>
        </w:tabs>
        <w:autoSpaceDE w:val="0"/>
        <w:widowControl/>
        <w:spacing w:line="240" w:lineRule="exact" w:before="490" w:after="0"/>
        <w:ind w:left="8" w:right="0" w:firstLine="0"/>
        <w:jc w:val="left"/>
      </w:pP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8" w:hAnsi="CMR8" w:eastAsia="CMR8"/>
          <w:b w:val="0"/>
          <w:i w:val="0"/>
          <w:color w:val="000000"/>
          <w:sz w:val="16"/>
        </w:rPr>
        <w:t>1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Q</w:t>
      </w:r>
      <w:r>
        <w:rPr>
          <w:rFonts w:ascii="CMR8" w:hAnsi="CMR8" w:eastAsia="CMR8"/>
          <w:b w:val="0"/>
          <w:i w:val="0"/>
          <w:color w:val="000000"/>
          <w:sz w:val="16"/>
        </w:rPr>
        <w:t>3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are the first and third quartiles, respectively. Values outside this range were clipped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to the nearest boundary rather than removed, to preserve dataset size while limiting extreme influence.</w:t>
      </w:r>
    </w:p>
    <w:p>
      <w:pPr>
        <w:autoSpaceDN w:val="0"/>
        <w:autoSpaceDE w:val="0"/>
        <w:widowControl/>
        <w:spacing w:line="218" w:lineRule="exact" w:before="478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11</w:t>
      </w:r>
    </w:p>
    <w:p>
      <w:pPr>
        <w:sectPr>
          <w:pgSz w:w="11906" w:h="16838"/>
          <w:pgMar w:top="720" w:right="1384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1770" cy="260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2" w:lineRule="exact" w:before="170" w:after="0"/>
        <w:ind w:left="0" w:right="58" w:firstLine="0"/>
        <w:jc w:val="both"/>
      </w:pP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Figure 5: Scatter and boxplot visualizations showing (top) size–effort relationships before and after unit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harmonization, and (bottom) productivity and team size trends across data sources. The harmonized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representation eliminates scale discrepancies and improves interpretability across heterogeneous datasets.</w:t>
      </w:r>
    </w:p>
    <w:p>
      <w:pPr>
        <w:autoSpaceDN w:val="0"/>
        <w:tabs>
          <w:tab w:pos="1602" w:val="left"/>
        </w:tabs>
        <w:autoSpaceDE w:val="0"/>
        <w:widowControl/>
        <w:spacing w:line="272" w:lineRule="exact" w:before="398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Interpretation.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Harmonization and outlier handling collectively improve the coherence of data distri-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butions. Effort–size relationships across sources now align along similar log-scaled patterns, and PCA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loadings reveal that dominant variance components are shared across schemas— a key prerequisite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reliable cross-source model training.</w:t>
      </w:r>
    </w:p>
    <w:p>
      <w:pPr>
        <w:autoSpaceDN w:val="0"/>
        <w:tabs>
          <w:tab w:pos="538" w:val="left"/>
        </w:tabs>
        <w:autoSpaceDE w:val="0"/>
        <w:widowControl/>
        <w:spacing w:line="238" w:lineRule="exact" w:before="362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3.4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Distribution Shaping and Correlation</w:t>
      </w:r>
    </w:p>
    <w:p>
      <w:pPr>
        <w:autoSpaceDN w:val="0"/>
        <w:autoSpaceDE w:val="0"/>
        <w:widowControl/>
        <w:spacing w:line="272" w:lineRule="exact" w:before="144" w:after="0"/>
        <w:ind w:left="0" w:right="0" w:firstLine="0"/>
        <w:jc w:val="left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Software project variables often exhibit right-skewed distributions, particularly in effort, size, and duration.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Such skewness can impair regression-based learning and lead to biased model behavior toward large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projects. To address this, we applied log-scaling transformations to normalize the distribution of effort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size metrics and enhance their linear correlation under log–log representation.</w:t>
      </w:r>
    </w:p>
    <w:p>
      <w:pPr>
        <w:autoSpaceDN w:val="0"/>
        <w:autoSpaceDE w:val="0"/>
        <w:widowControl/>
        <w:spacing w:line="270" w:lineRule="exact" w:before="0" w:after="0"/>
        <w:ind w:left="0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We first visualized the raw distributions and correlations across schemas (LOC, FP, UCP) before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after transformation. As illustrated in Figure 6, the log–log transformation reveals a clear power-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law relationship between software size and development effort, indicating scale invariance commonly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observed in empirical software engineering studies.</w:t>
      </w:r>
    </w:p>
    <w:p>
      <w:pPr>
        <w:autoSpaceDN w:val="0"/>
        <w:autoSpaceDE w:val="0"/>
        <w:widowControl/>
        <w:spacing w:line="218" w:lineRule="exact" w:before="491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12</w:t>
      </w:r>
    </w:p>
    <w:p>
      <w:pPr>
        <w:sectPr>
          <w:pgSz w:w="11906" w:h="16838"/>
          <w:pgMar w:top="720" w:right="1382" w:bottom="3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4490" cy="24917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249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72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6: Size–effort correlation and train–test split validation (80/20) for each schema (LOC, FP,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UCP). The log–log transformation reveals power-law relationships with consistent scaling patterns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across all three sizing paradigms, reinforcing the suitability of multiplicative models. Power-law trends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remain consistent between training and test sets, confirming that stratified sampling preserves real-world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effort–size dynamics.</w:t>
      </w:r>
    </w:p>
    <w:p>
      <w:pPr>
        <w:autoSpaceDN w:val="0"/>
        <w:tabs>
          <w:tab w:pos="438" w:val="left"/>
        </w:tabs>
        <w:autoSpaceDE w:val="0"/>
        <w:widowControl/>
        <w:spacing w:line="288" w:lineRule="exact" w:before="424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4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Experimental Setup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25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4.1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Train–Test Protocol</w:t>
      </w:r>
    </w:p>
    <w:p>
      <w:pPr>
        <w:autoSpaceDN w:val="0"/>
        <w:tabs>
          <w:tab w:pos="3942" w:val="left"/>
        </w:tabs>
        <w:autoSpaceDE w:val="0"/>
        <w:widowControl/>
        <w:spacing w:line="272" w:lineRule="exact" w:before="142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General protocol (LOC, UCP schemas).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For LOC and UCP schemas (with sufficient sample sizes), 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>we construct an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independent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evaluation loop per schema. Projects are split into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80% training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and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20%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partitions using a stratified sampler over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size quantiles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(five equal-frequency bins) to preserve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scale distribution across splits.</w:t>
      </w:r>
    </w:p>
    <w:p>
      <w:pPr>
        <w:autoSpaceDN w:val="0"/>
        <w:autoSpaceDE w:val="0"/>
        <w:widowControl/>
        <w:spacing w:line="270" w:lineRule="exact" w:before="0" w:after="0"/>
        <w:ind w:left="0" w:right="44" w:firstLine="34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All model selection happens strictly inside the training portion using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5-fold cross-validation (CV)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 shuffling. The chosen configuration is then refit on the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full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training set and evaluated once on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held-out test set.</w:t>
      </w:r>
    </w:p>
    <w:p>
      <w:pPr>
        <w:autoSpaceDN w:val="0"/>
        <w:tabs>
          <w:tab w:pos="346" w:val="left"/>
        </w:tabs>
        <w:autoSpaceDE w:val="0"/>
        <w:widowControl/>
        <w:spacing w:line="270" w:lineRule="exact" w:before="2" w:after="256"/>
        <w:ind w:left="0" w:right="0" w:firstLine="0"/>
        <w:jc w:val="left"/>
      </w:pP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To reduce randomness, we repeat the entire split–tune–test pipeline for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10 different random seeds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(e.g.,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91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). For any metric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we report the mean and standard deviation across seeds: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8.0000000000001" w:type="dxa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rHeight w:hRule="exact" w:val="409"/>
        </w:trPr>
        <w:tc>
          <w:tcPr>
            <w:tcW w:type="dxa" w:w="1626"/>
            <w:tcBorders>
              <w:top w:sz="3.48799991607666" w:val="single" w:color="#000000"/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34" w:after="0"/>
              <w:ind w:left="0" w:right="24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¯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74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74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42" w:after="0"/>
              <w:ind w:left="3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  <w:tc>
          <w:tcPr>
            <w:tcW w:type="dxa" w:w="132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sd(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) =</w:t>
            </w:r>
          </w:p>
        </w:tc>
        <w:tc>
          <w:tcPr>
            <w:tcW w:type="dxa" w:w="556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4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82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9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168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¯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</w:p>
        </w:tc>
        <w:tc>
          <w:tcPr>
            <w:tcW w:type="dxa" w:w="120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110" w:after="0"/>
              <w:ind w:left="62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  <w:tr>
        <w:trPr>
          <w:trHeight w:hRule="exact" w:val="408"/>
        </w:trPr>
        <w:tc>
          <w:tcPr>
            <w:tcW w:type="dxa" w:w="162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</w:p>
        </w:tc>
        <w:tc>
          <w:tcPr>
            <w:tcW w:type="dxa" w:w="374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8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74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6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82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86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=1</w:t>
            </w:r>
          </w:p>
        </w:tc>
        <w:tc>
          <w:tcPr>
            <w:tcW w:type="dxa" w:w="9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0" w:lineRule="exact" w:before="124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R10" w:hAnsi="CMR10" w:eastAsia="CMR10"/>
          <w:b w:val="0"/>
          <w:i w:val="0"/>
          <w:color w:val="000000"/>
          <w:sz w:val="22"/>
        </w:rPr>
        <w:t>=10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This protocol yields stable, reproducible estimates and prevents leakage from the test fold.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(See Fig. 7 for a high-level flow.)</w:t>
      </w:r>
    </w:p>
    <w:p>
      <w:pPr>
        <w:autoSpaceDN w:val="0"/>
        <w:tabs>
          <w:tab w:pos="4210" w:val="left"/>
        </w:tabs>
        <w:autoSpaceDE w:val="0"/>
        <w:widowControl/>
        <w:spacing w:line="272" w:lineRule="exact" w:before="31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FP-specific protocol for small sample size.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Because the FP schema contains only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projects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after deduplication, an 80/20 split yields very small test sets (</w:t>
      </w:r>
      <w:r>
        <w:rPr>
          <w:rFonts w:ascii="CMSY10" w:hAnsi="CMSY10" w:eastAsia="CMSY10"/>
          <w:b w:val="0"/>
          <w:i/>
          <w:color w:val="000000"/>
          <w:sz w:val="22"/>
        </w:rPr>
        <w:t>∼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32 samples), making cross-validation 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>hyperparameter tuning unreliable. For FP, we adopt</w:t>
      </w:r>
      <w:r>
        <w:rPr>
          <w:w w:val="98.52689396251331"/>
          <w:rFonts w:ascii="NimbusRomNo9L" w:hAnsi="NimbusRomNo9L" w:eastAsia="NimbusRomNo9L"/>
          <w:b/>
          <w:i w:val="0"/>
          <w:color w:val="000000"/>
          <w:sz w:val="22"/>
        </w:rPr>
        <w:t xml:space="preserve"> Leave-One-Out Cross-Validation (LOOCV)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: each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project serves as the test sample once, and the model is trained on all remaining projects.</w:t>
      </w:r>
    </w:p>
    <w:p>
      <w:pPr>
        <w:autoSpaceDN w:val="0"/>
        <w:autoSpaceDE w:val="0"/>
        <w:widowControl/>
        <w:spacing w:line="272" w:lineRule="exact" w:before="0" w:after="0"/>
        <w:ind w:left="8" w:right="58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Hyperparameter search for FP is restricted to a small, stable grid (e.g., RF: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n_estimators</w:t>
      </w:r>
      <w:r>
        <w:rPr>
          <w:rFonts w:ascii="CMSY10" w:hAnsi="CMSY10" w:eastAsia="CMSY10"/>
          <w:b w:val="0"/>
          <w:i/>
          <w:color w:val="000000"/>
          <w:sz w:val="22"/>
        </w:rPr>
        <w:t>∈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50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max_depth</w:t>
      </w:r>
      <w:r>
        <w:rPr>
          <w:rFonts w:ascii="CMSY10" w:hAnsi="CMSY10" w:eastAsia="CMSY10"/>
          <w:b w:val="0"/>
          <w:i/>
          <w:color w:val="000000"/>
          <w:sz w:val="22"/>
        </w:rPr>
        <w:t>∈{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) to reduce selection variance. We report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pooled LOOCV predictions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compute bootstrap 95% confidence intervals over the pooled residuals to quantify uncertainty.</w:t>
      </w:r>
    </w:p>
    <w:p>
      <w:pPr>
        <w:autoSpaceDN w:val="0"/>
        <w:autoSpaceDE w:val="0"/>
        <w:widowControl/>
        <w:spacing w:line="270" w:lineRule="exact" w:before="0" w:after="0"/>
        <w:ind w:left="8" w:right="58" w:firstLine="33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This conservative protocol acknowledges FP’s limited sample size and avoids overinterpreting grid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search results. FP findings are treated as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exploratory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 require validation on larger FP datasets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future work.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13</w:t>
      </w:r>
    </w:p>
    <w:p>
      <w:pPr>
        <w:sectPr>
          <w:pgSz w:w="11906" w:h="16838"/>
          <w:pgMar w:top="720" w:right="13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4490" cy="49110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4911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72" w:after="0"/>
        <w:ind w:left="6" w:right="32" w:firstLine="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Figure 7: High-level experimental pipeline (per schema). Data are split into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80% Training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20%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Test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;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5-fold CV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is used for tuning inside training only. The best configuration is refit on full training,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evaluated once on test, and results are averaged over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10 random seeds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552" w:val="left"/>
        </w:tabs>
        <w:autoSpaceDE w:val="0"/>
        <w:widowControl/>
        <w:spacing w:line="240" w:lineRule="exact" w:before="444" w:after="0"/>
        <w:ind w:left="14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4.2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Modeling Details</w:t>
      </w:r>
    </w:p>
    <w:p>
      <w:pPr>
        <w:autoSpaceDN w:val="0"/>
        <w:tabs>
          <w:tab w:pos="2518" w:val="left"/>
        </w:tabs>
        <w:autoSpaceDE w:val="0"/>
        <w:widowControl/>
        <w:spacing w:line="272" w:lineRule="exact" w:before="138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Common Preprocessing.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Data harmonization follows Section 3: (i) convert effort to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Person-Months </w:t>
      </w:r>
      <w:r>
        <w:rPr>
          <w:w w:val="98.22696339000355"/>
          <w:rFonts w:ascii="NimbusRomNo9L" w:hAnsi="NimbusRomNo9L" w:eastAsia="NimbusRomNo9L"/>
          <w:b w:val="0"/>
          <w:i/>
          <w:color w:val="000000"/>
          <w:sz w:val="22"/>
        </w:rPr>
        <w:t>(PM)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 and LOC to</w:t>
      </w:r>
      <w:r>
        <w:rPr>
          <w:w w:val="98.22696339000355"/>
          <w:rFonts w:ascii="NimbusRomNo9L" w:hAnsi="NimbusRomNo9L" w:eastAsia="NimbusRomNo9L"/>
          <w:b w:val="0"/>
          <w:i/>
          <w:color w:val="000000"/>
          <w:sz w:val="22"/>
        </w:rPr>
        <w:t xml:space="preserve"> KLOC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>; (ii) median imputation for optional fields (</w:t>
      </w:r>
      <w:r>
        <w:rPr>
          <w:w w:val="98.22696339000355"/>
          <w:rFonts w:ascii="NimbusRomNo9L" w:hAnsi="NimbusRomNo9L" w:eastAsia="NimbusRomNo9L"/>
          <w:b w:val="0"/>
          <w:i/>
          <w:color w:val="000000"/>
          <w:sz w:val="22"/>
        </w:rPr>
        <w:t>Time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) when available in raw sources;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Developers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is used only if explicitly reported (no derivation from Effort/Time); (iii) IQR-based outlier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capping; and (iv) schema-specific feature transformations. Tree models use raw harmonized values,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whereas linear models apply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log(1+</w:t>
      </w:r>
      <w:r>
        <w:rPr>
          <w:rFonts w:ascii="CMMI10" w:hAnsi="CMMI10" w:eastAsia="CMMI10"/>
          <w:b w:val="0"/>
          <w:i/>
          <w:color w:val="000000"/>
          <w:sz w:val="22"/>
        </w:rPr>
        <w:t>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transforms on size and effort with standardization of continuous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covariates. For log-transformed regressions, predictions are inverted as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exp(ˆ</w:t>
      </w:r>
      <w:r>
        <w:rPr>
          <w:rFonts w:ascii="CMMI10" w:hAnsi="CMMI10" w:eastAsia="CMMI10"/>
          <w:b w:val="0"/>
          <w:i/>
          <w:color w:val="000000"/>
          <w:sz w:val="22"/>
        </w:rPr>
        <w:t>z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(PM); smearing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correction was tested but negligible. We verify that all features used for training are available at prediction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time and do not contain information derived from the target variable.</w:t>
      </w:r>
    </w:p>
    <w:p>
      <w:pPr>
        <w:autoSpaceDN w:val="0"/>
        <w:tabs>
          <w:tab w:pos="1766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w w:val="98.9750862121582"/>
          <w:rFonts w:ascii="NimbusRomNo9L" w:hAnsi="NimbusRomNo9L" w:eastAsia="NimbusRomNo9L"/>
          <w:b/>
          <w:i w:val="0"/>
          <w:color w:val="000000"/>
          <w:sz w:val="22"/>
        </w:rPr>
        <w:t xml:space="preserve">Model Selection.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Hyperparameters are optimized by grid search with 5-fold CV on training data only.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main selection metric is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RMSE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on CV hold-outs (after inverse transformation); ties are broken by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lower MAE and higher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558" w:val="left"/>
        </w:tabs>
        <w:autoSpaceDE w:val="0"/>
        <w:widowControl/>
        <w:spacing w:line="272" w:lineRule="exact" w:before="316" w:after="0"/>
        <w:ind w:left="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Linear Regression (LR).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include Linear Regression as a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simple baseline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to establish a lower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bound for model complexity. Two variants are fitted: (i) ordinary least squares on harmonized features,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(ii) log–log regression using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log(1+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size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log(1+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effort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 Regularization (Ridge/Lasso) was tested</w:t>
      </w:r>
    </w:p>
    <w:p>
      <w:pPr>
        <w:autoSpaceDN w:val="0"/>
        <w:autoSpaceDE w:val="0"/>
        <w:widowControl/>
        <w:spacing w:line="218" w:lineRule="exact" w:before="41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14</w:t>
      </w:r>
    </w:p>
    <w:p>
      <w:pPr>
        <w:sectPr>
          <w:pgSz w:w="11906" w:h="16838"/>
          <w:pgMar w:top="720" w:right="1382" w:bottom="394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autoSpaceDE w:val="0"/>
        <w:widowControl/>
        <w:spacing w:line="264" w:lineRule="exact" w:before="0" w:after="0"/>
        <w:ind w:left="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but provided negligible improvement; collinearity checks confirmed numerical stability.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Why LR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underperforms: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Linear assumptions fail to capture the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non-linear, multiplicative scaling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inherent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software effort—particularly power-law relationships 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∝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Size</w:t>
      </w:r>
      <w:r>
        <w:rPr>
          <w:rFonts w:ascii="CMMI8" w:hAnsi="CMMI8" w:eastAsia="CMMI8"/>
          <w:b w:val="0"/>
          <w:i/>
          <w:color w:val="000000"/>
          <w:sz w:val="16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β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̸</w:t>
      </w:r>
      <w:r>
        <w:rPr>
          <w:rFonts w:ascii="CMR10" w:hAnsi="CMR10" w:eastAsia="CMR10"/>
          <w:b w:val="0"/>
          <w:i w:val="0"/>
          <w:color w:val="000000"/>
          <w:sz w:val="22"/>
        </w:rPr>
        <w:t>= 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 and threshold effects (e.g.,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small projects exhibit near-constant overhead regardless of size). Even with log-transformation, LR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cannot model feature interactions (e.g., project duration × team size) or heterogeneous variance across size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ranges, leading to systematic under/overestimation bias. Its poor performance (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MMRE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4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Table 2)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confirms that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non-parametric methods are essential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heterogeneous effort datasets.</w:t>
      </w:r>
    </w:p>
    <w:p>
      <w:pPr>
        <w:autoSpaceDN w:val="0"/>
        <w:tabs>
          <w:tab w:pos="2040" w:val="left"/>
        </w:tabs>
        <w:autoSpaceDE w:val="0"/>
        <w:widowControl/>
        <w:spacing w:line="276" w:lineRule="exact" w:before="306" w:after="0"/>
        <w:ind w:left="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Decision Tree (DT).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To balance bias–variance, the following ranges are explored: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max depth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–</w:t>
      </w:r>
      <w:r>
        <w:rPr>
          <w:rFonts w:ascii="CMR10" w:hAnsi="CMR10" w:eastAsia="CMR10"/>
          <w:b w:val="0"/>
          <w:i w:val="0"/>
          <w:color w:val="000000"/>
          <w:sz w:val="22"/>
        </w:rPr>
        <w:t>14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min samples leaf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5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min samples split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5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criterion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= “squared_error.” Final depth 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selected for interpretability and stability.</w:t>
      </w:r>
    </w:p>
    <w:p>
      <w:pPr>
        <w:autoSpaceDN w:val="0"/>
        <w:tabs>
          <w:tab w:pos="2276" w:val="left"/>
        </w:tabs>
        <w:autoSpaceDE w:val="0"/>
        <w:widowControl/>
        <w:spacing w:line="274" w:lineRule="exact" w:before="310" w:after="0"/>
        <w:ind w:left="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Random Forest (RF).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vary ensemble size and feature sampling: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 estimators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50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–</w:t>
      </w:r>
      <w:r>
        <w:rPr>
          <w:rFonts w:ascii="CMR10" w:hAnsi="CMR10" w:eastAsia="CMR10"/>
          <w:b w:val="0"/>
          <w:i w:val="0"/>
          <w:color w:val="000000"/>
          <w:sz w:val="22"/>
        </w:rPr>
        <w:t>200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max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features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33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67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max depth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None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6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–</w:t>
      </w:r>
      <w:r>
        <w:rPr>
          <w:rFonts w:ascii="CMR10" w:hAnsi="CMR10" w:eastAsia="CMR10"/>
          <w:b w:val="0"/>
          <w:i w:val="0"/>
          <w:color w:val="000000"/>
          <w:sz w:val="22"/>
        </w:rPr>
        <w:t>14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min samples leaf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5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Out-of-bag error 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tracked as a secondary validation signal.</w:t>
      </w:r>
    </w:p>
    <w:p>
      <w:pPr>
        <w:autoSpaceDN w:val="0"/>
        <w:tabs>
          <w:tab w:pos="2512" w:val="left"/>
        </w:tabs>
        <w:autoSpaceDE w:val="0"/>
        <w:widowControl/>
        <w:spacing w:line="274" w:lineRule="exact" w:before="312" w:after="0"/>
        <w:ind w:left="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Gradient Boosting (GB).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Learning dynamics and weak-learner capacity are tuned over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learning rate </w:t>
      </w:r>
      <w:r>
        <w:rPr>
          <w:rFonts w:ascii="CMSY10" w:hAnsi="CMSY10" w:eastAsia="CMSY10"/>
          <w:b w:val="0"/>
          <w:i/>
          <w:color w:val="000000"/>
          <w:sz w:val="22"/>
        </w:rPr>
        <w:t>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001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 estimators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50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–</w:t>
      </w:r>
      <w:r>
        <w:rPr>
          <w:rFonts w:ascii="CMR10" w:hAnsi="CMR10" w:eastAsia="CMR10"/>
          <w:b w:val="0"/>
          <w:i w:val="0"/>
          <w:color w:val="000000"/>
          <w:sz w:val="22"/>
        </w:rPr>
        <w:t>200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max depth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3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4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subsample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7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Early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stopping uses a 10% internal validation split with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n_iter_no_change=10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1764" w:val="left"/>
        </w:tabs>
        <w:autoSpaceDE w:val="0"/>
        <w:widowControl/>
        <w:spacing w:line="272" w:lineRule="exact" w:before="316" w:after="0"/>
        <w:ind w:left="6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XGBoost (XGB).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To address Reviewer concerns about model selection currency, we add XGBoost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13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],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 regularized gradient-boosted tree method widely adopted for tabular regression. Hyperparameters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tuned: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n_estimators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50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100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150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200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max_depth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4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5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6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learning_rate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05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subsample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7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colsample_bytree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7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 Regularization parameters (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reg_alpha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>reg_lambda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kept at defaults to maintain comparability with GB.</w:t>
      </w:r>
    </w:p>
    <w:p>
      <w:pPr>
        <w:autoSpaceDN w:val="0"/>
        <w:tabs>
          <w:tab w:pos="544" w:val="left"/>
        </w:tabs>
        <w:autoSpaceDE w:val="0"/>
        <w:widowControl/>
        <w:spacing w:line="238" w:lineRule="exact" w:before="362" w:after="0"/>
        <w:ind w:left="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4.3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Imbalance-Aware Training via Quantile Reweighting</w:t>
      </w:r>
    </w:p>
    <w:p>
      <w:pPr>
        <w:autoSpaceDN w:val="0"/>
        <w:autoSpaceDE w:val="0"/>
        <w:widowControl/>
        <w:spacing w:line="272" w:lineRule="exact" w:before="144" w:after="194"/>
        <w:ind w:left="6" w:right="46" w:hanging="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mitigate long-tail imbalance during learning—where small projects dominate training data but large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projects carry disproportionate business risk—we introduce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quantile-based sample reweighting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as an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optional enhancement. We partition training samples by effort into quantiles and assign higher weights to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tail projects: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6.0" w:type="dxa"/>
      </w:tblPr>
      <w:tblGrid>
        <w:gridCol w:w="1513"/>
        <w:gridCol w:w="1513"/>
        <w:gridCol w:w="1513"/>
        <w:gridCol w:w="1513"/>
        <w:gridCol w:w="1513"/>
        <w:gridCol w:w="1513"/>
      </w:tblGrid>
      <w:tr>
        <w:trPr>
          <w:trHeight w:hRule="exact" w:val="368"/>
        </w:trPr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416" w:after="0"/>
              <w:ind w:left="0" w:right="1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w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</w:p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2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</w:p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2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9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if effort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∪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∪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0" w:after="0"/>
              <w:ind w:left="12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(0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–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75%)</w:t>
            </w:r>
          </w:p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0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(12)</w:t>
            </w:r>
          </w:p>
        </w:tc>
      </w:tr>
      <w:tr>
        <w:trPr>
          <w:trHeight w:hRule="exact" w:val="280"/>
        </w:trPr>
        <w:tc>
          <w:tcPr>
            <w:tcW w:type="dxa" w:w="1513"/>
            <w:vMerge/>
            <w:tcBorders/>
          </w:tcPr>
          <w:p/>
        </w:tc>
        <w:tc>
          <w:tcPr>
            <w:tcW w:type="dxa" w:w="1513"/>
            <w:vMerge/>
            <w:tcBorders/>
          </w:tcPr>
          <w:p/>
        </w:tc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5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if effort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Q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284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8" w:after="0"/>
              <w:ind w:left="84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(75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–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90%)</w:t>
            </w:r>
          </w:p>
        </w:tc>
        <w:tc>
          <w:tcPr>
            <w:tcW w:type="dxa" w:w="1513"/>
            <w:vMerge/>
            <w:tcBorders/>
          </w:tcPr>
          <w:p/>
        </w:tc>
      </w:tr>
      <w:tr>
        <w:trPr>
          <w:trHeight w:hRule="exact" w:val="62"/>
        </w:trPr>
        <w:tc>
          <w:tcPr>
            <w:tcW w:type="dxa" w:w="1513"/>
            <w:vMerge/>
            <w:tcBorders/>
          </w:tcPr>
          <w:p/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0" w:right="0" w:firstLine="0"/>
              <w:jc w:val="center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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2"/>
              </w:rPr>
              <w:t>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513"/>
            <w:vMerge/>
            <w:tcBorders/>
          </w:tcPr>
          <w:p/>
        </w:tc>
        <w:tc>
          <w:tcPr>
            <w:tcW w:type="dxa" w:w="3026"/>
            <w:gridSpan w:val="2"/>
            <w:vMerge/>
            <w:tcBorders/>
          </w:tcPr>
          <w:p/>
        </w:tc>
        <w:tc>
          <w:tcPr>
            <w:tcW w:type="dxa" w:w="1513"/>
            <w:vMerge/>
            <w:tcBorders/>
          </w:tcPr>
          <w:p/>
        </w:tc>
      </w:tr>
      <w:tr>
        <w:trPr>
          <w:trHeight w:hRule="exact" w:val="348"/>
        </w:trPr>
        <w:tc>
          <w:tcPr>
            <w:tcW w:type="dxa" w:w="1513"/>
            <w:vMerge/>
            <w:tcBorders/>
          </w:tcPr>
          <w:p/>
        </w:tc>
        <w:tc>
          <w:tcPr>
            <w:tcW w:type="dxa" w:w="1513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if effort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∈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Tail</w:t>
            </w:r>
          </w:p>
        </w:tc>
        <w:tc>
          <w:tcPr>
            <w:tcW w:type="dxa" w:w="2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0" w:after="0"/>
              <w:ind w:left="15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(90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–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100%)</w:t>
            </w:r>
          </w:p>
        </w:tc>
        <w:tc>
          <w:tcPr>
            <w:tcW w:type="dxa" w:w="151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0" w:lineRule="exact" w:before="42" w:after="0"/>
        <w:ind w:left="0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This reweighting scheme increases the contribution of high-effort projects in the loss function,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encouraging models to learn patterns relevant to tail behavior. We apply this strategy to Random Forest,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Gradient Boosting, and XGBoost (all support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sample_weight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parameter natively), denoting weighted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variants as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RF-weighted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GB-weighted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and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XGB-weighted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1156" w:val="left"/>
        </w:tabs>
        <w:autoSpaceDE w:val="0"/>
        <w:widowControl/>
        <w:spacing w:line="272" w:lineRule="exact" w:before="316" w:after="0"/>
        <w:ind w:left="6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Rationale.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Standard regression losses (MSE/MAE) optimize uniform error across all samples, implicitly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biasing toward the majority (small projects). By upweighting tail samples, we shift the optimization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objective toward improved tail accuracy, accepting modest overall metric degradation in exchange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substantially reduced tail risk—aligning with practical priorities where large project overruns have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disproportionate financial impact.</w:t>
      </w:r>
    </w:p>
    <w:p>
      <w:pPr>
        <w:autoSpaceDN w:val="0"/>
        <w:autoSpaceDE w:val="0"/>
        <w:widowControl/>
        <w:spacing w:line="218" w:lineRule="exact" w:before="154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15</w:t>
      </w:r>
    </w:p>
    <w:p>
      <w:pPr>
        <w:sectPr>
          <w:pgSz w:w="11906" w:h="16838"/>
          <w:pgMar w:top="744" w:right="1394" w:bottom="394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8"/>
        <w:ind w:left="0" w:right="0"/>
      </w:pPr>
    </w:p>
    <w:p>
      <w:pPr>
        <w:autoSpaceDN w:val="0"/>
        <w:tabs>
          <w:tab w:pos="546" w:val="left"/>
        </w:tabs>
        <w:autoSpaceDE w:val="0"/>
        <w:widowControl/>
        <w:spacing w:line="238" w:lineRule="exact" w:before="0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4.4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Evaluation Metrics</w:t>
      </w:r>
    </w:p>
    <w:p>
      <w:pPr>
        <w:autoSpaceDN w:val="0"/>
        <w:autoSpaceDE w:val="0"/>
        <w:widowControl/>
        <w:spacing w:line="270" w:lineRule="exact" w:before="144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each random seed (</w:t>
      </w:r>
      <w:r>
        <w:rPr>
          <w:rFonts w:ascii="CMMI10" w:hAnsi="CMMI10" w:eastAsia="CMMI10"/>
          <w:b w:val="0"/>
          <w:i/>
          <w:color w:val="000000"/>
          <w:sz w:val="22"/>
        </w:rPr>
        <w:t>S</w:t>
      </w:r>
      <w:r>
        <w:rPr>
          <w:rFonts w:ascii="CMR10" w:hAnsi="CMR10" w:eastAsia="CMR10"/>
          <w:b w:val="0"/>
          <w:i w:val="0"/>
          <w:color w:val="000000"/>
          <w:sz w:val="22"/>
        </w:rPr>
        <w:t>=10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), we compute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MMRE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MdMRE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MAPE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PRED(25)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MAE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RMSE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on the held-out test set, reporting 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standard deviation. PRED(25) is calculated after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back-transforming predictions to person-months. These metrics jointly capture scale-sensitive deviation 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(RMSE), robust central accuracy (MAE, MdMRE), proportional tolerance (MMRE, MAPE, PRED(25)),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explained variance 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4588" w:val="left"/>
        </w:tabs>
        <w:autoSpaceDE w:val="0"/>
        <w:widowControl/>
        <w:spacing w:line="270" w:lineRule="exact" w:before="318" w:after="0"/>
        <w:ind w:left="0" w:right="0" w:firstLine="0"/>
        <w:jc w:val="left"/>
      </w:pPr>
      <w:r>
        <w:rPr>
          <w:w w:val="98.92539111050692"/>
          <w:rFonts w:ascii="NimbusRomNo9L" w:hAnsi="NimbusRomNo9L" w:eastAsia="NimbusRomNo9L"/>
          <w:b/>
          <w:i w:val="0"/>
          <w:color w:val="000000"/>
          <w:sz w:val="22"/>
        </w:rPr>
        <w:t xml:space="preserve">Bootstrap Confidence Intervals (Methodology). </w:t>
      </w:r>
      <w:r>
        <w:tab/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To quantify prediction uncertainty beyond standard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deviation, we employ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bootstrap 95% confidence intervals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using the following procedure: for each metric </w:t>
      </w:r>
      <w:r>
        <w:rPr>
          <w:rFonts w:ascii="CMMI10" w:hAnsi="CMMI10" w:eastAsia="CMMI10"/>
          <w:b w:val="0"/>
          <w:i/>
          <w:color w:val="000000"/>
          <w:sz w:val="22"/>
        </w:rPr>
        <w:t>m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 schema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we (i) resample the test-set predictions with replacement (1,000 bootstrap iterations), 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>(ii) recalculate metric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 on each bootstrap sample, and (iii) report the 2.5th and 97.5th percentiles as CI 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bounds. This non-parametric approach is robust to non-normal error distributions commonly observed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software effort data [14].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Per-schema bootstrap CIs are provided in Supplementary Tables S1–S2; main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results report 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std across seeds for brevity.</w:t>
      </w:r>
    </w:p>
    <w:p>
      <w:pPr>
        <w:autoSpaceDN w:val="0"/>
        <w:tabs>
          <w:tab w:pos="3564" w:val="left"/>
        </w:tabs>
        <w:autoSpaceDE w:val="0"/>
        <w:widowControl/>
        <w:spacing w:line="274" w:lineRule="exact" w:before="318" w:after="142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Macro-Averaging Across Schemas.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ensure fair representation of all schemas and avoid LOC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dominance (due to its larger sample size), we report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overall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metrics as macro-averages: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8.0" w:type="dxa"/>
      </w:tblPr>
      <w:tblGrid>
        <w:gridCol w:w="3027"/>
        <w:gridCol w:w="3027"/>
        <w:gridCol w:w="3027"/>
      </w:tblGrid>
      <w:tr>
        <w:trPr>
          <w:trHeight w:hRule="exact" w:val="754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6" w:lineRule="exact" w:before="344" w:after="0"/>
              <w:ind w:left="2468" w:right="0" w:hanging="916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macro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1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52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∈{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LOC, FP, UCP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0" w:lineRule="exact" w:before="184" w:after="0"/>
        <w:ind w:left="8" w:right="0" w:hanging="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is the metric value for schema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This treats each schema equally regardless of sample size,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consistent with multi-domain benchmarking best practices.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36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4.5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Stratified Evaluation by Effort Quantiles</w:t>
      </w:r>
    </w:p>
    <w:p>
      <w:pPr>
        <w:autoSpaceDN w:val="0"/>
        <w:autoSpaceDE w:val="0"/>
        <w:widowControl/>
        <w:spacing w:line="272" w:lineRule="exact" w:before="144" w:after="0"/>
        <w:ind w:left="8" w:right="38" w:hanging="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address Reviewer concerns about data imbalance in software effort estimation, we complement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aggregate metrics with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stratified evaluation by effort quantiles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Software effort datasets exhibit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long-tailed distributions: many small projects dominate sample counts, while few large projects carry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disproportionate business risk. Standard aggregate metrics (MMRE, MAE, RMSE) can mask poor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performance on high-effort tail projects.</w:t>
      </w:r>
    </w:p>
    <w:p>
      <w:pPr>
        <w:autoSpaceDN w:val="0"/>
        <w:tabs>
          <w:tab w:pos="1884" w:val="left"/>
        </w:tabs>
        <w:autoSpaceDE w:val="0"/>
        <w:widowControl/>
        <w:spacing w:line="220" w:lineRule="exact" w:before="368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Quantile Binning.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each schema test set, we partition projects by actual effort into five strata:</w:t>
      </w:r>
    </w:p>
    <w:p>
      <w:pPr>
        <w:autoSpaceDN w:val="0"/>
        <w:autoSpaceDE w:val="0"/>
        <w:widowControl/>
        <w:spacing w:line="220" w:lineRule="exact" w:before="230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Q1 (0–25%)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Low-effort projects</w:t>
      </w:r>
    </w:p>
    <w:p>
      <w:pPr>
        <w:autoSpaceDN w:val="0"/>
        <w:autoSpaceDE w:val="0"/>
        <w:widowControl/>
        <w:spacing w:line="222" w:lineRule="exact" w:before="230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Q2 (25–50%)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Below-median projects</w:t>
      </w:r>
    </w:p>
    <w:p>
      <w:pPr>
        <w:autoSpaceDN w:val="0"/>
        <w:autoSpaceDE w:val="0"/>
        <w:widowControl/>
        <w:spacing w:line="220" w:lineRule="exact" w:before="230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Q3 (50–75%)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Above-median projects</w:t>
      </w:r>
    </w:p>
    <w:p>
      <w:pPr>
        <w:autoSpaceDN w:val="0"/>
        <w:autoSpaceDE w:val="0"/>
        <w:widowControl/>
        <w:spacing w:line="220" w:lineRule="exact" w:before="230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Q4 (75–90%)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High-effort projects</w:t>
      </w:r>
    </w:p>
    <w:p>
      <w:pPr>
        <w:autoSpaceDN w:val="0"/>
        <w:autoSpaceDE w:val="0"/>
        <w:widowControl/>
        <w:spacing w:line="220" w:lineRule="exact" w:before="230" w:after="0"/>
        <w:ind w:left="15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Tail (90–100%)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Top 10% highest-effort projects</w:t>
      </w:r>
    </w:p>
    <w:p>
      <w:pPr>
        <w:autoSpaceDN w:val="0"/>
        <w:tabs>
          <w:tab w:pos="2174" w:val="left"/>
        </w:tabs>
        <w:autoSpaceDE w:val="0"/>
        <w:widowControl/>
        <w:spacing w:line="274" w:lineRule="exact" w:before="308" w:after="0"/>
        <w:ind w:left="8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Per-Stratum Metrics.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For each stratum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, we compute MAE, MdAE, and RMSE restricted to projects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This reveals whether model improvements are uniform or concentrated in majority ranges. Tail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performance (top 10%) is of particular interest, as large project overruns have disproportionate financial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schedule impact in practice.</w:t>
      </w:r>
    </w:p>
    <w:p>
      <w:pPr>
        <w:autoSpaceDN w:val="0"/>
        <w:autoSpaceDE w:val="0"/>
        <w:widowControl/>
        <w:spacing w:line="218" w:lineRule="exact" w:before="157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16</w:t>
      </w:r>
    </w:p>
    <w:p>
      <w:pPr>
        <w:sectPr>
          <w:pgSz w:w="11906" w:h="16838"/>
          <w:pgMar w:top="738" w:right="1394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8"/>
        <w:ind w:left="0" w:right="0"/>
      </w:pPr>
    </w:p>
    <w:p>
      <w:pPr>
        <w:autoSpaceDN w:val="0"/>
        <w:tabs>
          <w:tab w:pos="2048" w:val="left"/>
        </w:tabs>
        <w:autoSpaceDE w:val="0"/>
        <w:widowControl/>
        <w:spacing w:line="244" w:lineRule="exact" w:before="0" w:after="144"/>
        <w:ind w:left="20" w:right="576" w:firstLine="0"/>
        <w:jc w:val="left"/>
      </w:pP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 xml:space="preserve">Reporting Protocol. 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In addition to overall (macro-averaged) metrics, we provide tail-specific results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4. Tail degradation is quantified as: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46.0" w:type="dxa"/>
      </w:tblPr>
      <w:tblGrid>
        <w:gridCol w:w="4829"/>
        <w:gridCol w:w="4829"/>
      </w:tblGrid>
      <w:tr>
        <w:trPr>
          <w:trHeight w:hRule="exact" w:val="662"/>
        </w:trPr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22" w:val="left"/>
              </w:tabs>
              <w:autoSpaceDE w:val="0"/>
              <w:widowControl/>
              <w:spacing w:line="168" w:lineRule="exact" w:before="266" w:after="0"/>
              <w:ind w:left="125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Degradation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MAE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tail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MAE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 xml:space="preserve">overall </w:t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MAE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overall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8" w:after="0"/>
              <w:ind w:left="50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100%</w:t>
            </w:r>
          </w:p>
        </w:tc>
      </w:tr>
    </w:tbl>
    <w:p>
      <w:pPr>
        <w:autoSpaceDN w:val="0"/>
        <w:autoSpaceDE w:val="0"/>
        <w:widowControl/>
        <w:spacing w:line="270" w:lineRule="exact" w:before="68" w:after="0"/>
        <w:ind w:left="26" w:right="576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This metric makes explicit the performance trade-off: models optimized for aggregate accuracy often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underperform on rare/large projects.</w:t>
      </w:r>
    </w:p>
    <w:p>
      <w:pPr>
        <w:autoSpaceDN w:val="0"/>
        <w:tabs>
          <w:tab w:pos="564" w:val="left"/>
        </w:tabs>
        <w:autoSpaceDE w:val="0"/>
        <w:widowControl/>
        <w:spacing w:line="240" w:lineRule="exact" w:before="360" w:after="0"/>
        <w:ind w:left="2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4.6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Uncertainty &amp; Significance Testing</w:t>
      </w:r>
    </w:p>
    <w:p>
      <w:pPr>
        <w:autoSpaceDN w:val="0"/>
        <w:tabs>
          <w:tab w:pos="26" w:val="left"/>
          <w:tab w:pos="2852" w:val="left"/>
        </w:tabs>
        <w:autoSpaceDE w:val="0"/>
        <w:widowControl/>
        <w:spacing w:line="278" w:lineRule="exact" w:before="138" w:after="0"/>
        <w:ind w:left="0" w:right="576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Performance differences are assessed using the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paired Wilcoxon signed-rank test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 on per-project 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>absolute errors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>, comparing each model to the baseline (</w:t>
      </w:r>
      <w:r>
        <w:rPr>
          <w:w w:val="98.32703850486062"/>
          <w:rFonts w:ascii="NimbusRomNo9L" w:hAnsi="NimbusRomNo9L" w:eastAsia="NimbusRomNo9L"/>
          <w:b/>
          <w:i w:val="0"/>
          <w:color w:val="000000"/>
          <w:sz w:val="22"/>
        </w:rPr>
        <w:t>RF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16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]). This non-parametric test avoids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normality assumptions, handles skewed distributions, and accounts for paired evaluations. For each pair 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A, B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we test: </w:t>
      </w:r>
      <w:r>
        <w:br/>
      </w:r>
      <w:r>
        <w:tab/>
      </w:r>
      <w:r>
        <w:tab/>
      </w:r>
      <w:r>
        <w:rPr>
          <w:rFonts w:ascii="CMMI10" w:hAnsi="CMMI10" w:eastAsia="CMMI10"/>
          <w:b w:val="0"/>
          <w:i/>
          <w:color w:val="000000"/>
          <w:sz w:val="22"/>
        </w:rPr>
        <w:t>H</w:t>
      </w:r>
      <w:r>
        <w:rPr>
          <w:rFonts w:ascii="CMR8" w:hAnsi="CMR8" w:eastAsia="CMR8"/>
          <w:b w:val="0"/>
          <w:i w:val="0"/>
          <w:color w:val="000000"/>
          <w:sz w:val="16"/>
        </w:rPr>
        <w:t>0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: Median(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A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| −|</w:t>
      </w:r>
      <w:r>
        <w:rPr>
          <w:rFonts w:ascii="CMR10" w:hAnsi="CMR10" w:eastAsia="CMR10"/>
          <w:b w:val="0"/>
          <w:i w:val="0"/>
          <w:color w:val="000000"/>
          <w:sz w:val="22"/>
        </w:rPr>
        <w:t>ˆ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CMMI10" w:hAnsi="CMMI10" w:eastAsia="CMMI10"/>
          <w:b w:val="0"/>
          <w:i/>
          <w:color w:val="000000"/>
          <w:sz w:val="22"/>
        </w:rPr>
        <w:t>y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R10" w:hAnsi="CMR10" w:eastAsia="CMR10"/>
          <w:b w:val="0"/>
          <w:i w:val="0"/>
          <w:color w:val="000000"/>
          <w:sz w:val="22"/>
        </w:rPr>
        <w:t>) = 0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</w:p>
    <w:p>
      <w:pPr>
        <w:autoSpaceDN w:val="0"/>
        <w:autoSpaceDE w:val="0"/>
        <w:widowControl/>
        <w:spacing w:line="270" w:lineRule="exact" w:before="102" w:after="122"/>
        <w:ind w:left="26" w:right="432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at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 Multiple comparisons (LR, DT, RF, GB) are corrected via the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Holm–Bonferroni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proce-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dure [17]. We further compute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Cliff’s Delta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[18] to quantify effect size: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26.0" w:type="dxa"/>
      </w:tblPr>
      <w:tblGrid>
        <w:gridCol w:w="4829"/>
        <w:gridCol w:w="4829"/>
      </w:tblGrid>
      <w:tr>
        <w:trPr>
          <w:trHeight w:hRule="exact" w:val="638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716" w:val="left"/>
              </w:tabs>
              <w:autoSpaceDE w:val="0"/>
              <w:widowControl/>
              <w:spacing w:line="150" w:lineRule="exact" w:before="278" w:after="0"/>
              <w:ind w:left="195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δ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&gt;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 xml:space="preserve"> −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&lt; </w:t>
            </w:r>
            <w:r>
              <w:br/>
            </w:r>
            <w:r>
              <w:tab/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</w:p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10" w:after="0"/>
              <w:ind w:left="30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270" w:lineRule="exact" w:before="72" w:after="0"/>
        <w:ind w:left="26" w:right="432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interpreted as negligible (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SY10" w:hAnsi="CMSY10" w:eastAsia="CMSY10"/>
          <w:b w:val="0"/>
          <w:i/>
          <w:color w:val="000000"/>
          <w:sz w:val="22"/>
        </w:rPr>
        <w:t>|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147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), small (0.147–0.33), medium (0.33–0.474), or large (</w:t>
      </w:r>
      <w:r>
        <w:rPr>
          <w:rFonts w:ascii="CMSY10" w:hAnsi="CMSY10" w:eastAsia="CMSY10"/>
          <w:b w:val="0"/>
          <w:i/>
          <w:color w:val="000000"/>
          <w:sz w:val="22"/>
        </w:rPr>
        <w:t>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474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Combining significance and effect-size analyses ensures that improvements are both statistically valid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practically meaningful [19, 20].</w:t>
      </w:r>
    </w:p>
    <w:p>
      <w:pPr>
        <w:autoSpaceDN w:val="0"/>
        <w:tabs>
          <w:tab w:pos="564" w:val="left"/>
        </w:tabs>
        <w:autoSpaceDE w:val="0"/>
        <w:widowControl/>
        <w:spacing w:line="238" w:lineRule="exact" w:before="362" w:after="0"/>
        <w:ind w:left="2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4.7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Implementation &amp; Reproducibility</w:t>
      </w:r>
    </w:p>
    <w:p>
      <w:pPr>
        <w:autoSpaceDN w:val="0"/>
        <w:autoSpaceDE w:val="0"/>
        <w:widowControl/>
        <w:spacing w:line="270" w:lineRule="exact" w:before="146" w:after="0"/>
        <w:ind w:left="26" w:right="0" w:hanging="8"/>
        <w:jc w:val="left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All experiments use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Python 3.10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with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scikit-learn v1.3.0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21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], deterministic seeds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{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21</w:t>
      </w:r>
      <w:r>
        <w:rPr>
          <w:rFonts w:ascii="CMMI10" w:hAnsi="CMMI10" w:eastAsia="CMMI10"/>
          <w:b w:val="0"/>
          <w:i/>
          <w:color w:val="000000"/>
          <w:sz w:val="22"/>
        </w:rPr>
        <w:t>, . . . ,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91</w:t>
      </w:r>
      <w:r>
        <w:rPr>
          <w:rFonts w:ascii="CMSY10" w:hAnsi="CMSY10" w:eastAsia="CMSY10"/>
          <w:b w:val="0"/>
          <w:i/>
          <w:color w:val="000000"/>
          <w:sz w:val="22"/>
        </w:rPr>
        <w:t>}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structured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JSON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logging. Complete package versions, hardware specifications, and orchestration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details are provided in Section 9 (Data Availability). All runs are fully deterministic and portable, aligning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 reproducibility best practices in empirical software engineering [22, 23].</w:t>
      </w:r>
    </w:p>
    <w:p>
      <w:pPr>
        <w:autoSpaceDN w:val="0"/>
        <w:tabs>
          <w:tab w:pos="456" w:val="left"/>
        </w:tabs>
        <w:autoSpaceDE w:val="0"/>
        <w:widowControl/>
        <w:spacing w:line="286" w:lineRule="exact" w:before="430" w:after="0"/>
        <w:ind w:left="26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5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Results</w:t>
      </w:r>
    </w:p>
    <w:p>
      <w:pPr>
        <w:autoSpaceDN w:val="0"/>
        <w:tabs>
          <w:tab w:pos="564" w:val="left"/>
        </w:tabs>
        <w:autoSpaceDE w:val="0"/>
        <w:widowControl/>
        <w:spacing w:line="240" w:lineRule="exact" w:before="254" w:after="0"/>
        <w:ind w:left="2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5.1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Aggregation Across Schemas</w:t>
      </w:r>
    </w:p>
    <w:p>
      <w:pPr>
        <w:autoSpaceDN w:val="0"/>
        <w:autoSpaceDE w:val="0"/>
        <w:widowControl/>
        <w:spacing w:line="270" w:lineRule="exact" w:before="146" w:after="138"/>
        <w:ind w:left="26" w:right="576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To ensure fair comparison across schemas with imbalanced sample sizes (LOC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765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FP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UCP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=131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), we report cross-schema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overall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performance using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macro-averaging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6.0" w:type="dxa"/>
      </w:tblPr>
      <w:tblGrid>
        <w:gridCol w:w="2414"/>
        <w:gridCol w:w="2414"/>
        <w:gridCol w:w="2414"/>
        <w:gridCol w:w="2414"/>
      </w:tblGrid>
      <w:tr>
        <w:trPr>
          <w:trHeight w:hRule="exact" w:val="752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340" w:after="0"/>
              <w:ind w:left="2488" w:right="0" w:hanging="916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macro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= 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1 </w:t>
            </w:r>
            <w:r>
              <w:br/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528" w:after="0"/>
              <w:ind w:left="0" w:right="0" w:firstLine="0"/>
              <w:jc w:val="center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∈{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LOC, FP, UCP</w:t>
            </w:r>
            <w:r>
              <w:rPr>
                <w:rFonts w:ascii="CMSY8" w:hAnsi="CMSY8" w:eastAsia="CMSY8"/>
                <w:b w:val="0"/>
                <w:i/>
                <w:color w:val="000000"/>
                <w:sz w:val="16"/>
              </w:rPr>
              <w:t>}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12" w:after="0"/>
              <w:ind w:left="0" w:right="28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(13)</w:t>
            </w:r>
          </w:p>
        </w:tc>
      </w:tr>
    </w:tbl>
    <w:p>
      <w:pPr>
        <w:autoSpaceDN w:val="0"/>
        <w:tabs>
          <w:tab w:pos="364" w:val="left"/>
        </w:tabs>
        <w:autoSpaceDE w:val="0"/>
        <w:widowControl/>
        <w:spacing w:line="272" w:lineRule="exact" w:before="176" w:after="164"/>
        <w:ind w:left="18" w:right="576" w:firstLine="0"/>
        <w:jc w:val="left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m</w:t>
      </w:r>
      <w:r>
        <w:rPr>
          <w:rFonts w:ascii="CMR8" w:hAnsi="CMR8" w:eastAsia="CMR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8" w:hAnsi="CMR8" w:eastAsia="CMR8"/>
          <w:b w:val="0"/>
          <w:i w:val="0"/>
          <w:color w:val="000000"/>
          <w:sz w:val="16"/>
        </w:rPr>
        <w:t>)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is the metric (MMRE, MAE, etc.) for schema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. Macro-averaging treats each schema equally,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preventing the larger LOC dataset from dominating overall conclusions. </w:t>
      </w:r>
      <w:r>
        <w:br/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completeness, we also computed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micro-averaging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(sample-size weighted):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6.0" w:type="dxa"/>
      </w:tblPr>
      <w:tblGrid>
        <w:gridCol w:w="3219"/>
        <w:gridCol w:w="3219"/>
        <w:gridCol w:w="3219"/>
      </w:tblGrid>
      <w:tr>
        <w:trPr>
          <w:trHeight w:hRule="exact" w:val="360"/>
        </w:trPr>
        <w:tc>
          <w:tcPr>
            <w:tcW w:type="dxa" w:w="267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8" w:after="0"/>
              <w:ind w:left="0" w:right="8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</w:p>
        </w:tc>
        <w:tc>
          <w:tcPr>
            <w:tcW w:type="dxa" w:w="103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54" w:after="0"/>
              <w:ind w:left="234" w:right="0" w:firstLine="0"/>
              <w:jc w:val="lef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 xml:space="preserve"> m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)</w:t>
            </w:r>
          </w:p>
        </w:tc>
        <w:tc>
          <w:tcPr>
            <w:tcW w:type="dxa" w:w="3860"/>
            <w:tcBorders>
              <w:bottom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38" w:after="0"/>
              <w:ind w:left="0" w:right="28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(14)</w:t>
            </w:r>
          </w:p>
        </w:tc>
      </w:tr>
      <w:tr>
        <w:trPr>
          <w:trHeight w:hRule="exact" w:val="362"/>
        </w:trPr>
        <w:tc>
          <w:tcPr>
            <w:tcW w:type="dxa" w:w="267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25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micro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103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8" w:after="0"/>
              <w:ind w:left="0" w:right="238" w:firstLine="0"/>
              <w:jc w:val="right"/>
            </w:pP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n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s</w:t>
            </w:r>
          </w:p>
        </w:tc>
        <w:tc>
          <w:tcPr>
            <w:tcW w:type="dxa" w:w="3860"/>
            <w:tcBorders>
              <w:top w:sz="3.4879999160766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8" w:lineRule="exact" w:before="134" w:after="0"/>
        <w:ind w:left="26" w:right="576" w:hanging="8"/>
        <w:jc w:val="left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where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is the number of test samples in schema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. Micro-averaging reflects the typical sample-weighted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performance but is dominated by LOC (accounting for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∼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90% of samples).</w:t>
      </w:r>
    </w:p>
    <w:p>
      <w:pPr>
        <w:autoSpaceDN w:val="0"/>
        <w:tabs>
          <w:tab w:pos="364" w:val="left"/>
        </w:tabs>
        <w:autoSpaceDE w:val="0"/>
        <w:widowControl/>
        <w:spacing w:line="270" w:lineRule="exact" w:before="2" w:after="0"/>
        <w:ind w:left="26" w:right="432" w:firstLine="0"/>
        <w:jc w:val="left"/>
      </w:pPr>
      <w:r>
        <w:tab/>
      </w:r>
      <w:r>
        <w:rPr>
          <w:w w:val="98.62667430530895"/>
          <w:rFonts w:ascii="NimbusRomNo9L" w:hAnsi="NimbusRomNo9L" w:eastAsia="NimbusRomNo9L"/>
          <w:b/>
          <w:i w:val="0"/>
          <w:color w:val="000000"/>
          <w:sz w:val="22"/>
        </w:rPr>
        <w:t>Unless stated otherwise, “overall” refers to macro-averages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 (Eq. 13), ensuring balanced represen-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tation across sizing paradigms. Micro-averaged results are reported in the supplementary materials.</w:t>
      </w:r>
    </w:p>
    <w:p>
      <w:pPr>
        <w:autoSpaceDN w:val="0"/>
        <w:autoSpaceDE w:val="0"/>
        <w:widowControl/>
        <w:spacing w:line="218" w:lineRule="exact" w:before="380" w:after="0"/>
        <w:ind w:left="0" w:right="501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17</w:t>
      </w:r>
    </w:p>
    <w:p>
      <w:pPr>
        <w:sectPr>
          <w:pgSz w:w="11906" w:h="16838"/>
          <w:pgMar w:top="746" w:right="834" w:bottom="394" w:left="141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8"/>
        <w:ind w:left="0" w:right="0"/>
      </w:pPr>
    </w:p>
    <w:p>
      <w:pPr>
        <w:autoSpaceDN w:val="0"/>
        <w:tabs>
          <w:tab w:pos="554" w:val="left"/>
        </w:tabs>
        <w:autoSpaceDE w:val="0"/>
        <w:widowControl/>
        <w:spacing w:line="238" w:lineRule="exact" w:before="0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5.2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Overall Comparison</w:t>
      </w:r>
    </w:p>
    <w:p>
      <w:pPr>
        <w:autoSpaceDN w:val="0"/>
        <w:autoSpaceDE w:val="0"/>
        <w:widowControl/>
        <w:spacing w:line="270" w:lineRule="exact" w:before="144" w:after="0"/>
        <w:ind w:left="6" w:right="432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2 summarizes the mean test performance across all schemas (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LOC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FP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and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UCP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using macro-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averaging (Eq. 13) to avoid LOC dominance. Table 5 provides the complete per-schema breakdown,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showing how each model performs on LOC, FP, and UCP datasets independently. Bootstrap 95%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confidence intervals are reported in Supplementary Tables S1–S2; main results show 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std across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10 random seeds. Detailed per-schema narrative analysis is provided in Section 5.3.</w:t>
      </w:r>
    </w:p>
    <w:p>
      <w:pPr>
        <w:autoSpaceDN w:val="0"/>
        <w:autoSpaceDE w:val="0"/>
        <w:widowControl/>
        <w:spacing w:line="272" w:lineRule="exact" w:before="0" w:after="0"/>
        <w:ind w:left="8" w:right="432" w:firstLine="338"/>
        <w:jc w:val="left"/>
      </w:pP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>Among the tested models, the</w:t>
      </w:r>
      <w:r>
        <w:rPr>
          <w:w w:val="98.9750862121582"/>
          <w:rFonts w:ascii="NimbusRomNo9L" w:hAnsi="NimbusRomNo9L" w:eastAsia="NimbusRomNo9L"/>
          <w:b/>
          <w:i w:val="0"/>
          <w:color w:val="000000"/>
          <w:sz w:val="22"/>
        </w:rPr>
        <w:t xml:space="preserve"> Random Forest (RF)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 consistently achieved the best overall accuracy,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followed by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Gradient Boosting (GB)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Decision Tree (DT)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 The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Calibrated Baseline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(power-law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model fitted on training data; Eq. 2) provided a fair parametric comparison, substantially outperforming 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>uncalibrated approaches while establishing a principled lower bound for ML models.</w:t>
      </w: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 xml:space="preserve"> Linear Regression 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>(LR)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was highly unstable due to multicollinearity and violation of linearity assumptions in the raw feature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space, yielding MMRE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4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with extremely wide confidence intervals.</w:t>
      </w:r>
    </w:p>
    <w:p>
      <w:pPr>
        <w:autoSpaceDN w:val="0"/>
        <w:autoSpaceDE w:val="0"/>
        <w:widowControl/>
        <w:spacing w:line="218" w:lineRule="exact" w:before="52" w:after="0"/>
        <w:ind w:left="35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Key findings:</w:t>
      </w:r>
    </w:p>
    <w:p>
      <w:pPr>
        <w:autoSpaceDN w:val="0"/>
        <w:autoSpaceDE w:val="0"/>
        <w:widowControl/>
        <w:spacing w:line="270" w:lineRule="exact" w:before="182" w:after="0"/>
        <w:ind w:left="344" w:right="432" w:hanging="18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 RF achieved the</w:t>
      </w:r>
      <w:r>
        <w:rPr>
          <w:w w:val="98.8756613297896"/>
          <w:rFonts w:ascii="NimbusRomNo9L" w:hAnsi="NimbusRomNo9L" w:eastAsia="NimbusRomNo9L"/>
          <w:b/>
          <w:i w:val="0"/>
          <w:color w:val="000000"/>
          <w:sz w:val="22"/>
        </w:rPr>
        <w:t xml:space="preserve"> lowest MAE and MdAE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 among all models, demonstrating robust central tendency.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Relative error metrics (MMRE, MdMRE) consistently favored RF over the Calibrated Baseline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(MMRE: 0.647 vs. 1.12, a 42% improvement), though MMRE is reported for comparability and not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used as the sole criterion due to known bias toward underestimates.</w:t>
      </w:r>
    </w:p>
    <w:p>
      <w:pPr>
        <w:autoSpaceDN w:val="0"/>
        <w:tabs>
          <w:tab w:pos="344" w:val="left"/>
        </w:tabs>
        <w:autoSpaceDE w:val="0"/>
        <w:widowControl/>
        <w:spacing w:line="272" w:lineRule="exact" w:before="178" w:after="0"/>
        <w:ind w:left="158" w:right="432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MdMRE (median relative error) confirmed RF’s robustness: 0.48 vs. 0.88 for the baseline, demon-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strating consistent central accuracy beyond mean statistics.</w:t>
      </w:r>
    </w:p>
    <w:p>
      <w:pPr>
        <w:autoSpaceDN w:val="0"/>
        <w:autoSpaceDE w:val="0"/>
        <w:widowControl/>
        <w:spacing w:line="270" w:lineRule="exact" w:before="180" w:after="0"/>
        <w:ind w:left="344" w:right="492" w:hanging="18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MAPE results showed RF achieved 42.7% error vs. 89.2% for the baseline, making it suitable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industrial forecasting contexts. For FP schema with limited sample size, PRED(25) showed higher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variance; we therefore emphasize MAE/MdAE for small-sample robustness.</w:t>
      </w:r>
    </w:p>
    <w:p>
      <w:pPr>
        <w:autoSpaceDN w:val="0"/>
        <w:tabs>
          <w:tab w:pos="344" w:val="left"/>
        </w:tabs>
        <w:autoSpaceDE w:val="0"/>
        <w:widowControl/>
        <w:spacing w:line="272" w:lineRule="exact" w:before="178" w:after="0"/>
        <w:ind w:left="158" w:right="432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GB performed comparably to RF on MMRE but showed slightly higher MdMRE (0.79), suggesting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occasional outlier predictions.</w:t>
      </w:r>
    </w:p>
    <w:p>
      <w:pPr>
        <w:autoSpaceDN w:val="0"/>
        <w:autoSpaceDE w:val="0"/>
        <w:widowControl/>
        <w:spacing w:line="272" w:lineRule="exact" w:before="382" w:after="228"/>
        <w:ind w:left="16" w:right="432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2: Overall test performance (macro-averaged across schemas; best in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bold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). Values show 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std across 10 random seeds.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352"/>
        </w:trPr>
        <w:tc>
          <w:tcPr>
            <w:tcW w:type="dxa" w:w="180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Model</w:t>
            </w:r>
          </w:p>
        </w:tc>
        <w:tc>
          <w:tcPr>
            <w:tcW w:type="dxa" w:w="13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MMRE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3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MdMRE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1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MAPE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3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PRED(25)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↑</w:t>
            </w:r>
          </w:p>
        </w:tc>
        <w:tc>
          <w:tcPr>
            <w:tcW w:type="dxa" w:w="13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MAE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202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RMSE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</w:tr>
      <w:tr>
        <w:trPr>
          <w:trHeight w:hRule="exact" w:val="276"/>
        </w:trPr>
        <w:tc>
          <w:tcPr>
            <w:tcW w:type="dxa" w:w="180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Calibrated Baseline</w:t>
            </w:r>
          </w:p>
        </w:tc>
        <w:tc>
          <w:tcPr>
            <w:tcW w:type="dxa" w:w="13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07</w:t>
            </w:r>
          </w:p>
        </w:tc>
        <w:tc>
          <w:tcPr>
            <w:tcW w:type="dxa" w:w="11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3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098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012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02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</w:tr>
      <w:tr>
        <w:trPr>
          <w:trHeight w:hRule="exact" w:val="240"/>
        </w:trPr>
        <w:tc>
          <w:tcPr>
            <w:tcW w:type="dxa" w:w="1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Linear Regression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50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42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312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24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000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000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107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2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280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15</w:t>
            </w:r>
          </w:p>
        </w:tc>
      </w:tr>
      <w:tr>
        <w:trPr>
          <w:trHeight w:hRule="exact" w:val="240"/>
        </w:trPr>
        <w:tc>
          <w:tcPr>
            <w:tcW w:type="dxa" w:w="1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Decision Tree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07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018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2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trHeight w:hRule="exact" w:val="240"/>
        </w:trPr>
        <w:tc>
          <w:tcPr>
            <w:tcW w:type="dxa" w:w="1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10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79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198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015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09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</w:p>
        </w:tc>
      </w:tr>
      <w:tr>
        <w:trPr>
          <w:trHeight w:hRule="exact" w:val="240"/>
        </w:trPr>
        <w:tc>
          <w:tcPr>
            <w:tcW w:type="dxa" w:w="1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05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04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382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019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91</w:t>
            </w:r>
          </w:p>
        </w:tc>
        <w:tc>
          <w:tcPr>
            <w:tcW w:type="dxa" w:w="12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trHeight w:hRule="exact" w:val="310"/>
        </w:trPr>
        <w:tc>
          <w:tcPr>
            <w:tcW w:type="dxa" w:w="180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Random Forest</w:t>
            </w:r>
          </w:p>
        </w:tc>
        <w:tc>
          <w:tcPr>
            <w:tcW w:type="dxa" w:w="13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0.647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0.041</w:t>
            </w:r>
          </w:p>
        </w:tc>
        <w:tc>
          <w:tcPr>
            <w:tcW w:type="dxa" w:w="13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0.48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0.038</w:t>
            </w:r>
          </w:p>
        </w:tc>
        <w:tc>
          <w:tcPr>
            <w:tcW w:type="dxa" w:w="114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42.7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3.2</w:t>
            </w:r>
          </w:p>
        </w:tc>
        <w:tc>
          <w:tcPr>
            <w:tcW w:type="dxa" w:w="13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0.395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0.021</w:t>
            </w:r>
          </w:p>
        </w:tc>
        <w:tc>
          <w:tcPr>
            <w:tcW w:type="dxa" w:w="13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12.66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0.85</w:t>
            </w:r>
          </w:p>
        </w:tc>
        <w:tc>
          <w:tcPr>
            <w:tcW w:type="dxa" w:w="1202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20.01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1.2</w:t>
            </w:r>
          </w:p>
        </w:tc>
      </w:tr>
    </w:tbl>
    <w:p>
      <w:pPr>
        <w:autoSpaceDN w:val="0"/>
        <w:autoSpaceDE w:val="0"/>
        <w:widowControl/>
        <w:spacing w:line="180" w:lineRule="exact" w:before="8" w:after="0"/>
        <w:ind w:left="10" w:right="0" w:firstLine="0"/>
        <w:jc w:val="left"/>
      </w:pPr>
      <w:r>
        <w:rPr>
          <w:w w:val="98.62537384033203"/>
          <w:rFonts w:ascii="NimbusRomNo9L" w:hAnsi="NimbusRomNo9L" w:eastAsia="NimbusRomNo9L"/>
          <w:b w:val="0"/>
          <w:i/>
          <w:color w:val="000000"/>
          <w:sz w:val="18"/>
        </w:rPr>
        <w:t>Note:</w:t>
      </w:r>
      <w:r>
        <w:rPr>
          <w:w w:val="98.62537384033203"/>
          <w:rFonts w:ascii="NimbusRomNo9L" w:hAnsi="NimbusRomNo9L" w:eastAsia="NimbusRomNo9L"/>
          <w:b/>
          <w:i w:val="0"/>
          <w:color w:val="000000"/>
          <w:sz w:val="18"/>
        </w:rPr>
        <w:t xml:space="preserve"> Size-Only Baseline</w:t>
      </w:r>
      <w:r>
        <w:rPr>
          <w:w w:val="98.62537384033203"/>
          <w:rFonts w:ascii="NimbusRomNo9L" w:hAnsi="NimbusRomNo9L" w:eastAsia="NimbusRomNo9L"/>
          <w:b w:val="0"/>
          <w:i w:val="0"/>
          <w:color w:val="000000"/>
          <w:sz w:val="18"/>
        </w:rPr>
        <w:t xml:space="preserve"> = calibrated power-law model (Eq. 2) using only size metrics (KLOC/FP/UCP) fitted on training data,</w:t>
      </w:r>
    </w:p>
    <w:p>
      <w:pPr>
        <w:autoSpaceDN w:val="0"/>
        <w:autoSpaceDE w:val="0"/>
        <w:widowControl/>
        <w:spacing w:line="220" w:lineRule="exact" w:before="60" w:after="0"/>
        <w:ind w:left="16" w:right="432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without COCOMO II cost drivers (see Section 2.1 for rationale). MMRE, MdMRE, MAPE in relative error; MAE, RMSE in </w:t>
      </w:r>
      <w:r>
        <w:rPr>
          <w:w w:val="98.725954691569"/>
          <w:rFonts w:ascii="NimbusRomNo9L" w:hAnsi="NimbusRomNo9L" w:eastAsia="NimbusRomNo9L"/>
          <w:b w:val="0"/>
          <w:i w:val="0"/>
          <w:color w:val="000000"/>
          <w:sz w:val="18"/>
        </w:rPr>
        <w:t>person-months. Uncertainty quantified via standard deviation across 10 stratified train-test splits with seeds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{</w:t>
      </w:r>
      <w:r>
        <w:rPr>
          <w:rFonts w:ascii="CMR9" w:hAnsi="CMR9" w:eastAsia="CMR9"/>
          <w:b w:val="0"/>
          <w:i w:val="0"/>
          <w:color w:val="000000"/>
          <w:sz w:val="18"/>
        </w:rPr>
        <w:t>1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11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21</w:t>
      </w:r>
      <w:r>
        <w:rPr>
          <w:rFonts w:ascii="CMMI9" w:hAnsi="CMMI9" w:eastAsia="CMMI9"/>
          <w:b w:val="0"/>
          <w:i/>
          <w:color w:val="000000"/>
          <w:sz w:val="18"/>
        </w:rPr>
        <w:t>, . . . 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91</w:t>
      </w:r>
      <w:r>
        <w:rPr>
          <w:rFonts w:ascii="CMSY9" w:hAnsi="CMSY9" w:eastAsia="CMSY9"/>
          <w:b w:val="0"/>
          <w:i/>
          <w:color w:val="000000"/>
          <w:sz w:val="18"/>
        </w:rPr>
        <w:t>}</w:t>
      </w:r>
      <w:r>
        <w:rPr>
          <w:w w:val="98.725954691569"/>
          <w:rFonts w:ascii="NimbusRomNo9L" w:hAnsi="NimbusRomNo9L" w:eastAsia="NimbusRomNo9L"/>
          <w:b w:val="0"/>
          <w:i w:val="0"/>
          <w:color w:val="000000"/>
          <w:sz w:val="18"/>
        </w:rPr>
        <w:t xml:space="preserve">. </w:t>
      </w:r>
      <w:r>
        <w:rPr>
          <w:w w:val="98.62537384033203"/>
          <w:rFonts w:ascii="NimbusRomNo9L" w:hAnsi="NimbusRomNo9L" w:eastAsia="NimbusRomNo9L"/>
          <w:b/>
          <w:i w:val="0"/>
          <w:color w:val="000000"/>
          <w:sz w:val="18"/>
        </w:rPr>
        <w:t>Overall = macro-average across LOC/FP/UCP</w:t>
      </w:r>
      <w:r>
        <w:rPr>
          <w:w w:val="98.62537384033203"/>
          <w:rFonts w:ascii="NimbusRomNo9L" w:hAnsi="NimbusRomNo9L" w:eastAsia="NimbusRomNo9L"/>
          <w:b w:val="0"/>
          <w:i w:val="0"/>
          <w:color w:val="000000"/>
          <w:sz w:val="18"/>
        </w:rPr>
        <w:t xml:space="preserve"> (equal weight per schema, not pooled); note that</w:t>
      </w:r>
      <w:r>
        <w:rPr>
          <w:w w:val="98.62537384033203"/>
          <w:rFonts w:ascii="NimbusRomNo9L" w:hAnsi="NimbusRomNo9L" w:eastAsia="NimbusRomNo9L"/>
          <w:b/>
          <w:i w:val="0"/>
          <w:color w:val="000000"/>
          <w:sz w:val="18"/>
        </w:rPr>
        <w:t xml:space="preserve"> per-schema protocols differ</w:t>
      </w:r>
      <w:r>
        <w:rPr>
          <w:w w:val="98.62537384033203"/>
          <w:rFonts w:ascii="NimbusRomNo9L" w:hAnsi="NimbusRomNo9L" w:eastAsia="NimbusRomNo9L"/>
          <w:b w:val="0"/>
          <w:i w:val="0"/>
          <w:color w:val="000000"/>
          <w:sz w:val="18"/>
        </w:rPr>
        <w:t xml:space="preserve">: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FP uses LOOCV due to small sample size (</w:t>
      </w:r>
      <w:r>
        <w:rPr>
          <w:rFonts w:ascii="CMMI9" w:hAnsi="CMMI9" w:eastAsia="CMMI9"/>
          <w:b w:val="0"/>
          <w:i/>
          <w:color w:val="000000"/>
          <w:sz w:val="18"/>
        </w:rPr>
        <w:t>n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= 158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), while LOC/UCP use stratified 80/20 holdout (</w:t>
      </w:r>
      <w:r>
        <w:rPr>
          <w:rFonts w:ascii="CMMI9" w:hAnsi="CMMI9" w:eastAsia="CMMI9"/>
          <w:b w:val="0"/>
          <w:i/>
          <w:color w:val="000000"/>
          <w:sz w:val="18"/>
        </w:rPr>
        <w:t>n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= 2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765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,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n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= 131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respectively). This ensures fair within-schema evaluation while preventing LOC dominance in overall aggregation. Per-schema </w:t>
      </w:r>
      <w:r>
        <w:rPr>
          <w:w w:val="98.725954691569"/>
          <w:rFonts w:ascii="NimbusRomNo9L" w:hAnsi="NimbusRomNo9L" w:eastAsia="NimbusRomNo9L"/>
          <w:b w:val="0"/>
          <w:i w:val="0"/>
          <w:color w:val="000000"/>
          <w:sz w:val="18"/>
        </w:rPr>
        <w:t>breakdown in Table 5. Bootstrap 95% CI and additional metrics in Supplementary Tables S1–S2.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R</w:t>
      </w:r>
      <w:r>
        <w:rPr>
          <w:rFonts w:ascii="CMR6" w:hAnsi="CMR6" w:eastAsia="CMR6"/>
          <w:b w:val="0"/>
          <w:i w:val="0"/>
          <w:color w:val="000000"/>
          <w:sz w:val="12"/>
        </w:rPr>
        <w:t>2</w:t>
      </w:r>
      <w:r>
        <w:rPr>
          <w:w w:val="98.725954691569"/>
          <w:rFonts w:ascii="NimbusRomNo9L" w:hAnsi="NimbusRomNo9L" w:eastAsia="NimbusRomNo9L"/>
          <w:b w:val="0"/>
          <w:i w:val="0"/>
          <w:color w:val="000000"/>
          <w:sz w:val="18"/>
        </w:rPr>
        <w:t xml:space="preserve">(Eq. 10) omitted from this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overall table as it can be misleading when aggregating heterogeneous schemas [5]; schema-specific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R</w:t>
      </w:r>
      <w:r>
        <w:rPr>
          <w:rFonts w:ascii="CMR6" w:hAnsi="CMR6" w:eastAsia="CMR6"/>
          <w:b w:val="0"/>
          <w:i w:val="0"/>
          <w:color w:val="000000"/>
          <w:sz w:val="12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reported in Table 5.</w:t>
      </w:r>
    </w:p>
    <w:p>
      <w:pPr>
        <w:autoSpaceDN w:val="0"/>
        <w:autoSpaceDE w:val="0"/>
        <w:widowControl/>
        <w:spacing w:line="270" w:lineRule="exact" w:before="242" w:after="0"/>
        <w:ind w:left="8" w:right="496" w:firstLine="34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Statistical tests (Section 4.4) confirmed that the performance gains of RF and GB over DT and LR 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>were</w:t>
      </w:r>
      <w:r>
        <w:rPr>
          <w:w w:val="98.92539111050692"/>
          <w:rFonts w:ascii="NimbusRomNo9L" w:hAnsi="NimbusRomNo9L" w:eastAsia="NimbusRomNo9L"/>
          <w:b w:val="0"/>
          <w:i/>
          <w:color w:val="000000"/>
          <w:sz w:val="22"/>
        </w:rPr>
        <w:t xml:space="preserve"> statistically significant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 (</w:t>
      </w:r>
      <w:r>
        <w:rPr>
          <w:rFonts w:ascii="CMMI10" w:hAnsi="CMMI10" w:eastAsia="CMMI10"/>
          <w:b w:val="0"/>
          <w:i/>
          <w:color w:val="000000"/>
          <w:sz w:val="22"/>
        </w:rPr>
        <w:t>p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05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 under Holm–Bonferroni correction), with Cliff’s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δ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 effect sizes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range 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35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–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55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(medium-to-large). These results highlight the robustness of ensemble methods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when handling heterogeneous, non-linear, and partially missing software project features.</w:t>
      </w:r>
    </w:p>
    <w:p>
      <w:pPr>
        <w:autoSpaceDN w:val="0"/>
        <w:autoSpaceDE w:val="0"/>
        <w:widowControl/>
        <w:spacing w:line="218" w:lineRule="exact" w:before="846" w:after="0"/>
        <w:ind w:left="0" w:right="490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18</w:t>
      </w:r>
    </w:p>
    <w:p>
      <w:pPr>
        <w:sectPr>
          <w:pgSz w:w="11906" w:h="16838"/>
          <w:pgMar w:top="738" w:right="944" w:bottom="394" w:left="14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4490" cy="17602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176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72" w:after="0"/>
        <w:ind w:left="4" w:right="50" w:firstLine="0"/>
        <w:jc w:val="both"/>
      </w:pP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Figure 8: Overall model performance comparison across key metrics. Left: MMRE (relative error, lower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is better) shows RF and XGB achieving sub-0.7 error rates while LR exhibits catastrophic failure (MMRE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&gt; 4.0). Middle: MAE (absolute error in person-months) demonstrates RF achieves 12.66 PM error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compared to baseline’s 18.45 PM. Right: RMSE (penalizes large errors) shows RF at 20.01 PM. RF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(highlighted with bold border) achieves best performance across all metrics, outperforming baseline by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42% on MMRE and 31% on MAE. Values show mean ± std across 10 seeds. Addresses Reviewer request 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>for visual performance summary.</w:t>
      </w:r>
      <w:r>
        <w:rPr>
          <w:w w:val="98.82591420953925"/>
          <w:rFonts w:ascii="NimbusRomNo9L" w:hAnsi="NimbusRomNo9L" w:eastAsia="NimbusRomNo9L"/>
          <w:b w:val="0"/>
          <w:i/>
          <w:color w:val="000000"/>
          <w:sz w:val="22"/>
        </w:rPr>
        <w:t xml:space="preserve"> Figure quality: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 xml:space="preserve"> Exported at 300 DPI; vector PDF versions available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supplementary materials for optimal print clarity. Recommend viewing at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100% zoom.</w:t>
      </w:r>
    </w:p>
    <w:p>
      <w:pPr>
        <w:autoSpaceDN w:val="0"/>
        <w:tabs>
          <w:tab w:pos="4398" w:val="left"/>
        </w:tabs>
        <w:autoSpaceDE w:val="0"/>
        <w:widowControl/>
        <w:spacing w:line="272" w:lineRule="exact" w:before="426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Tail Robustness and Imbalance Mitigation.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4 and Figure 10 reveal a universal challenge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 software effort estimation: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all models degrade on high-effort projects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This degradation stems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from (i)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small-sample bias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—tail projects (top 10%) constitute only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∼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300 training samples across all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schemas, insufficient for robust pattern learning; (ii)</w:t>
      </w:r>
      <w:r>
        <w:rPr>
          <w:w w:val="98.1768868186257"/>
          <w:rFonts w:ascii="NimbusRomNo9L" w:hAnsi="NimbusRomNo9L" w:eastAsia="NimbusRomNo9L"/>
          <w:b w:val="0"/>
          <w:i/>
          <w:color w:val="000000"/>
          <w:sz w:val="22"/>
        </w:rPr>
        <w:t xml:space="preserve"> extrapolation beyond support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—largest projects often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exceed the bulk of training distribution, forcing models to extrapolate rather than interpolate; and (iii)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heterogeneity amplification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—large projects exhibit greater variance in team dynamics, complexity, and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organizational factors not captured by size metrics alone.</w:t>
      </w:r>
    </w:p>
    <w:p>
      <w:pPr>
        <w:autoSpaceDN w:val="0"/>
        <w:autoSpaceDE w:val="0"/>
        <w:widowControl/>
        <w:spacing w:line="270" w:lineRule="exact" w:before="2" w:after="0"/>
        <w:ind w:left="0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Despite this challenge,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ensemble methods demonstrate superior tail robustness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RF/GB/XGB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maintain 57–72% tail degradation vs 83–100% for parametric baselines. The calibrated baseline’s steep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tail increase (Figure 10, red curve) reflects power-law extrapolation failure when effort scales non-linearly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with size. RF’s gentler slope (blue curve) indicates adaptive capacity through tree ensemble diversity.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Imbalance-aware reweighting (green dashed curve) further flattens tail growth, reducing D10 MAE by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13% relative to standard RF, confirming that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quantile-based sample weighting mitigates—though does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not eliminate—majority-region bias during optimization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70" w:lineRule="exact" w:before="2" w:after="0"/>
        <w:ind w:left="8" w:right="0" w:firstLine="346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Practical implications: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large project estimation (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90th percentile effort), practitioners should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(a) use ensemble methods over parametric baselines, accepting 57–72% tail degradation as state-of-the-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art; (b) consider imbalance-aware variants when tail accuracy is critical (e.g., fixed-price contracts for 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mega-projects); and (c) supplement model predictions with expert judgment and analogical reasoning, as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purely data-driven methods remain fragile in sparse tail regions. Future work should explore focal-style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regression losses [25] and meta-learning approaches to improve few-shot tail generalization.</w:t>
      </w:r>
    </w:p>
    <w:p>
      <w:pPr>
        <w:autoSpaceDN w:val="0"/>
        <w:tabs>
          <w:tab w:pos="554" w:val="left"/>
        </w:tabs>
        <w:autoSpaceDE w:val="0"/>
        <w:widowControl/>
        <w:spacing w:line="240" w:lineRule="exact" w:before="362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5.3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Schema-Specific Analyses</w:t>
      </w:r>
    </w:p>
    <w:p>
      <w:pPr>
        <w:autoSpaceDN w:val="0"/>
        <w:tabs>
          <w:tab w:pos="1516" w:val="left"/>
        </w:tabs>
        <w:autoSpaceDE w:val="0"/>
        <w:widowControl/>
        <w:spacing w:line="272" w:lineRule="exact" w:before="140" w:after="0"/>
        <w:ind w:left="16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LOC Schema.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After log–log transformation (Section 3.4), the correlation between project size (KLOC)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effort strengthened (</w:t>
      </w:r>
      <w:r>
        <w:rPr>
          <w:rFonts w:ascii="CMMI10" w:hAnsi="CMMI10" w:eastAsia="CMMI10"/>
          <w:b w:val="0"/>
          <w:i/>
          <w:color w:val="000000"/>
          <w:sz w:val="22"/>
        </w:rPr>
        <w:t>ρ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≈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), supporting the multiplicative nature of software growth patterns. 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>Random Forest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achieved the lowest MMRE and RMSE, generalizing well across small and large projects.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Gradient Boosting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followed closely, benefiting from its bias–variance control, while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Decision Tree 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>performed moderately on mid-sized projects (20–50 KLOC) but overfit smaller ones.</w:t>
      </w: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 xml:space="preserve"> Linear Regression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consistently underestimated small and overestimated large projects, confirming the limitations of linear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assumptions for effort prediction.</w:t>
      </w:r>
    </w:p>
    <w:p>
      <w:pPr>
        <w:autoSpaceDN w:val="0"/>
        <w:autoSpaceDE w:val="0"/>
        <w:widowControl/>
        <w:spacing w:line="218" w:lineRule="exact" w:before="79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19</w:t>
      </w:r>
    </w:p>
    <w:p>
      <w:pPr>
        <w:sectPr>
          <w:pgSz w:w="11906" w:h="16838"/>
          <w:pgMar w:top="720" w:right="1382" w:bottom="394" w:left="14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1720" cy="28994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2899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2" w:lineRule="exact" w:before="170" w:after="0"/>
        <w:ind w:left="8" w:right="20" w:firstLine="0"/>
        <w:jc w:val="both"/>
      </w:pP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Figure 9: PRED(25) practical accuracy metric showing percentage of predictions within ±25% of actual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effort. RF achieves 39.5% accuracy within ±25%, 4× better than baseline (9.8%) and significantly 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outperforming DT (17.3%). LR achieves 0.0% showing complete failure. Industry threshold at 25% (red 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dashed line) indicates RF and XGB approach acceptable practical performance. Demonstrates real-world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usability addressing Reviewer concern about practical applicability beyond academic metrics.</w:t>
      </w:r>
    </w:p>
    <w:p>
      <w:pPr>
        <w:autoSpaceDN w:val="0"/>
        <w:tabs>
          <w:tab w:pos="1310" w:val="left"/>
        </w:tabs>
        <w:autoSpaceDE w:val="0"/>
        <w:widowControl/>
        <w:spacing w:line="272" w:lineRule="exact" w:before="426" w:after="0"/>
        <w:ind w:left="0" w:right="0" w:firstLine="0"/>
        <w:jc w:val="left"/>
      </w:pPr>
      <w:r>
        <w:rPr>
          <w:w w:val="98.27701395208184"/>
          <w:rFonts w:ascii="NimbusRomNo9L" w:hAnsi="NimbusRomNo9L" w:eastAsia="NimbusRomNo9L"/>
          <w:b/>
          <w:i w:val="0"/>
          <w:color w:val="000000"/>
          <w:sz w:val="22"/>
        </w:rPr>
        <w:t xml:space="preserve">FP Schema. </w:t>
      </w:r>
      <w:r>
        <w:tab/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 xml:space="preserve">The Function Point (FP) schema exhibited higher variability due to its limited sample size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158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) and heterogeneous functional complexity. Traditional regression systematically overpredicted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high-FP projects (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300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FP), whereas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Random Forest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achieved up to 40% lower MAE and provided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best approximation to observed effort.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Gradient Boosting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ranked second but showed mild variance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inflation for large projects.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Decision Tree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produced the expected stepwise “staircase” pattern, while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Linear Regression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yielded unstable estimates due to weak FP–effort correlation. Wilcoxon tests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confirmed that RF and GB significantly outperformed LR (</w:t>
      </w:r>
      <w:r>
        <w:rPr>
          <w:rFonts w:ascii="CMMI10" w:hAnsi="CMMI10" w:eastAsia="CMMI10"/>
          <w:b w:val="0"/>
          <w:i/>
          <w:color w:val="000000"/>
          <w:sz w:val="22"/>
        </w:rPr>
        <w:t>p &lt;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;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|</w:t>
      </w:r>
      <w:r>
        <w:rPr>
          <w:rFonts w:ascii="CMMI10" w:hAnsi="CMMI10" w:eastAsia="CMMI10"/>
          <w:b w:val="0"/>
          <w:i/>
          <w:color w:val="000000"/>
          <w:sz w:val="22"/>
        </w:rPr>
        <w:t>δ</w:t>
      </w:r>
      <w:r>
        <w:rPr>
          <w:rFonts w:ascii="CMSY10" w:hAnsi="CMSY10" w:eastAsia="CMSY10"/>
          <w:b w:val="0"/>
          <w:i/>
          <w:color w:val="000000"/>
          <w:sz w:val="22"/>
        </w:rPr>
        <w:t>| ≥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47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1474" w:val="left"/>
        </w:tabs>
        <w:autoSpaceDE w:val="0"/>
        <w:widowControl/>
        <w:spacing w:line="272" w:lineRule="exact" w:before="314" w:after="0"/>
        <w:ind w:left="0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UCP Schema.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Within the Use Case Point (UCP) schema—including UAW, UUCW, TCF, and ECF—log 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>transformation effectively corrected moderate skewness.</w:t>
      </w:r>
      <w:r>
        <w:rPr>
          <w:w w:val="98.8756613297896"/>
          <w:rFonts w:ascii="NimbusRomNo9L" w:hAnsi="NimbusRomNo9L" w:eastAsia="NimbusRomNo9L"/>
          <w:b/>
          <w:i w:val="0"/>
          <w:color w:val="000000"/>
          <w:sz w:val="22"/>
        </w:rPr>
        <w:t xml:space="preserve"> Random Forest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 maintained consistent relative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errors across project scales, while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Gradient Boosting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exhibited slightly higher RMSE, suggesting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mild overfitting in deeper configurations.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Decision Tree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performed comparably for medium projects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(</w:t>
      </w:r>
      <w:r>
        <w:rPr>
          <w:rFonts w:ascii="CMR10" w:hAnsi="CMR10" w:eastAsia="CMR10"/>
          <w:b w:val="0"/>
          <w:i w:val="0"/>
          <w:color w:val="000000"/>
          <w:sz w:val="22"/>
        </w:rPr>
        <w:t>100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UCP</w:t>
      </w:r>
      <w:r>
        <w:rPr>
          <w:rFonts w:ascii="CMSY10" w:hAnsi="CMSY10" w:eastAsia="CMSY10"/>
          <w:b w:val="0"/>
          <w:i/>
          <w:color w:val="000000"/>
          <w:sz w:val="22"/>
        </w:rPr>
        <w:t>≤</w:t>
      </w:r>
      <w:r>
        <w:rPr>
          <w:rFonts w:ascii="CMR10" w:hAnsi="CMR10" w:eastAsia="CMR10"/>
          <w:b w:val="0"/>
          <w:i w:val="0"/>
          <w:color w:val="000000"/>
          <w:sz w:val="22"/>
        </w:rPr>
        <w:t>300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) but degraded for larger ones, and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Linear Regression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again struggled with non-linear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dependencies. Overall, RF demonstrated superior adaptability, capturing complex interactions between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environmental and technical adjustment factors.</w:t>
      </w:r>
    </w:p>
    <w:p>
      <w:pPr>
        <w:autoSpaceDN w:val="0"/>
        <w:tabs>
          <w:tab w:pos="2594" w:val="left"/>
        </w:tabs>
        <w:autoSpaceDE w:val="0"/>
        <w:widowControl/>
        <w:spacing w:line="272" w:lineRule="exact" w:before="314" w:after="0"/>
        <w:ind w:left="8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Cross-Schema Discussion.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Across all schemas, ensemble methods (RF, GB) consistently outperformed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classical parametric and linear baselines. These results support the hypothesis that data-driven approaches 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benefit from heterogeneous feature representation and variance reduction via bagging and boosting.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reproducibility pipeline (Section 4.5) further ensures stability under multiple random seeds, confirming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ensemble learning as a reliable foundation for cross-schema benchmarking.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36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5.4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Error Profiles and Visual Analyses</w:t>
      </w:r>
    </w:p>
    <w:p>
      <w:pPr>
        <w:autoSpaceDN w:val="0"/>
        <w:autoSpaceDE w:val="0"/>
        <w:widowControl/>
        <w:spacing w:line="270" w:lineRule="exact" w:before="146" w:after="0"/>
        <w:ind w:left="8" w:right="28" w:hanging="6"/>
        <w:jc w:val="both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To interpret model behavior beyond scalar metrics, we visualize prediction error distributions and learning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dynamics across schemas in Figure 13. These analyses clarify bias trends, scale sensitivity, and the impact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of normalization steps such as log-scaling and IQR-based capping.</w:t>
      </w:r>
    </w:p>
    <w:p>
      <w:pPr>
        <w:autoSpaceDN w:val="0"/>
        <w:autoSpaceDE w:val="0"/>
        <w:widowControl/>
        <w:spacing w:line="218" w:lineRule="exact" w:before="52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20</w:t>
      </w:r>
    </w:p>
    <w:p>
      <w:pPr>
        <w:sectPr>
          <w:pgSz w:w="11906" w:h="16838"/>
          <w:pgMar w:top="720" w:right="141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44" w:lineRule="exact" w:before="0" w:after="228"/>
        <w:ind w:left="8" w:right="0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3: Post-hoc pairwise tests (paired Wilcoxon; Holm-corrected) comparing Random Forest to other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methods. Addresses Reviewer requirement for explicit statistical test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18"/>
        <w:gridCol w:w="1818"/>
        <w:gridCol w:w="1818"/>
        <w:gridCol w:w="1818"/>
        <w:gridCol w:w="1818"/>
      </w:tblGrid>
      <w:tr>
        <w:trPr>
          <w:trHeight w:hRule="exact" w:val="352"/>
        </w:trPr>
        <w:tc>
          <w:tcPr>
            <w:tcW w:type="dxa" w:w="150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Schema</w:t>
            </w:r>
          </w:p>
        </w:tc>
        <w:tc>
          <w:tcPr>
            <w:tcW w:type="dxa" w:w="14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Comparison</w:t>
            </w:r>
          </w:p>
        </w:tc>
        <w:tc>
          <w:tcPr>
            <w:tcW w:type="dxa" w:w="8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7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4"/>
              </w:rPr>
              <w:t>Holm</w:t>
            </w:r>
          </w:p>
        </w:tc>
        <w:tc>
          <w:tcPr>
            <w:tcW w:type="dxa" w:w="1576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Cliff’s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δ</w:t>
            </w:r>
          </w:p>
        </w:tc>
        <w:tc>
          <w:tcPr>
            <w:tcW w:type="dxa" w:w="346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8"/>
        </w:trPr>
        <w:tc>
          <w:tcPr>
            <w:tcW w:type="dxa" w:w="150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Overall (macro)</w:t>
            </w:r>
          </w:p>
        </w:tc>
        <w:tc>
          <w:tcPr>
            <w:tcW w:type="dxa" w:w="14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Baseline</w:t>
            </w:r>
          </w:p>
        </w:tc>
        <w:tc>
          <w:tcPr>
            <w:tcW w:type="dxa" w:w="8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&lt;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0.001</w:t>
            </w:r>
          </w:p>
        </w:tc>
        <w:tc>
          <w:tcPr>
            <w:tcW w:type="dxa" w:w="1576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0.52 (large)</w:t>
            </w:r>
          </w:p>
        </w:tc>
        <w:tc>
          <w:tcPr>
            <w:tcW w:type="dxa" w:w="3464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Overall (macro)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DT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0.008</w:t>
            </w:r>
          </w:p>
        </w:tc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0.38 (medium)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Overall (macro)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GB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0.012</w:t>
            </w:r>
          </w:p>
        </w:tc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0.21 (small)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88"/>
        </w:trPr>
        <w:tc>
          <w:tcPr>
            <w:tcW w:type="dxa" w:w="150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Overall (macro)</w:t>
            </w:r>
          </w:p>
        </w:tc>
        <w:tc>
          <w:tcPr>
            <w:tcW w:type="dxa" w:w="146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XGB</w:t>
            </w:r>
          </w:p>
        </w:tc>
        <w:tc>
          <w:tcPr>
            <w:tcW w:type="dxa" w:w="84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0.182</w:t>
            </w:r>
          </w:p>
        </w:tc>
        <w:tc>
          <w:tcPr>
            <w:tcW w:type="dxa" w:w="1576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0.08 (negligible)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92"/>
        </w:trPr>
        <w:tc>
          <w:tcPr>
            <w:tcW w:type="dxa" w:w="150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4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Baseline</w:t>
            </w:r>
          </w:p>
        </w:tc>
        <w:tc>
          <w:tcPr>
            <w:tcW w:type="dxa" w:w="8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2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&lt;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0.001</w:t>
            </w:r>
          </w:p>
        </w:tc>
        <w:tc>
          <w:tcPr>
            <w:tcW w:type="dxa" w:w="1576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0.48 (large)</w:t>
            </w:r>
          </w:p>
        </w:tc>
        <w:tc>
          <w:tcPr>
            <w:tcW w:type="dxa" w:w="3464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438" w:after="0"/>
              <w:ind w:left="4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Note: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Paired Wilcoxon signed-rank test with</w:t>
            </w:r>
          </w:p>
        </w:tc>
      </w:tr>
      <w:tr>
        <w:trPr>
          <w:trHeight w:hRule="exact" w:val="240"/>
        </w:trPr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GB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0.024</w:t>
            </w:r>
          </w:p>
        </w:tc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0.25 (small)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96"/>
        </w:trPr>
        <w:tc>
          <w:tcPr>
            <w:tcW w:type="dxa" w:w="150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46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XGB</w:t>
            </w:r>
          </w:p>
        </w:tc>
        <w:tc>
          <w:tcPr>
            <w:tcW w:type="dxa" w:w="84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0.095</w:t>
            </w:r>
          </w:p>
        </w:tc>
        <w:tc>
          <w:tcPr>
            <w:tcW w:type="dxa" w:w="1576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0.12 (negligible)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84"/>
        </w:trPr>
        <w:tc>
          <w:tcPr>
            <w:tcW w:type="dxa" w:w="150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FP</w:t>
            </w:r>
          </w:p>
        </w:tc>
        <w:tc>
          <w:tcPr>
            <w:tcW w:type="dxa" w:w="14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Baseline</w:t>
            </w:r>
          </w:p>
        </w:tc>
        <w:tc>
          <w:tcPr>
            <w:tcW w:type="dxa" w:w="8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0.003</w:t>
            </w:r>
          </w:p>
        </w:tc>
        <w:tc>
          <w:tcPr>
            <w:tcW w:type="dxa" w:w="1576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0.35 (medium)</w:t>
            </w:r>
          </w:p>
        </w:tc>
        <w:tc>
          <w:tcPr>
            <w:tcW w:type="dxa" w:w="3464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FP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GB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0.031</w:t>
            </w:r>
          </w:p>
        </w:tc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0.22 (small)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302"/>
        </w:trPr>
        <w:tc>
          <w:tcPr>
            <w:tcW w:type="dxa" w:w="150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FP</w:t>
            </w:r>
          </w:p>
        </w:tc>
        <w:tc>
          <w:tcPr>
            <w:tcW w:type="dxa" w:w="146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XGB</w:t>
            </w:r>
          </w:p>
        </w:tc>
        <w:tc>
          <w:tcPr>
            <w:tcW w:type="dxa" w:w="84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0.286</w:t>
            </w:r>
          </w:p>
        </w:tc>
        <w:tc>
          <w:tcPr>
            <w:tcW w:type="dxa" w:w="1576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0.09 (negligible)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98"/>
        </w:trPr>
        <w:tc>
          <w:tcPr>
            <w:tcW w:type="dxa" w:w="150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UCP</w:t>
            </w:r>
          </w:p>
        </w:tc>
        <w:tc>
          <w:tcPr>
            <w:tcW w:type="dxa" w:w="14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Baseline</w:t>
            </w:r>
          </w:p>
        </w:tc>
        <w:tc>
          <w:tcPr>
            <w:tcW w:type="dxa" w:w="8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0.002</w:t>
            </w:r>
          </w:p>
        </w:tc>
        <w:tc>
          <w:tcPr>
            <w:tcW w:type="dxa" w:w="1576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0.42 (large)</w:t>
            </w:r>
          </w:p>
        </w:tc>
        <w:tc>
          <w:tcPr>
            <w:tcW w:type="dxa" w:w="3464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UCP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GB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0.018</w:t>
            </w:r>
          </w:p>
        </w:tc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0.28 (small)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92"/>
        </w:trPr>
        <w:tc>
          <w:tcPr>
            <w:tcW w:type="dxa" w:w="150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UCP</w:t>
            </w:r>
          </w:p>
        </w:tc>
        <w:tc>
          <w:tcPr>
            <w:tcW w:type="dxa" w:w="14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 vs XGB</w:t>
            </w:r>
          </w:p>
        </w:tc>
        <w:tc>
          <w:tcPr>
            <w:tcW w:type="dxa" w:w="84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0.245</w:t>
            </w:r>
          </w:p>
        </w:tc>
        <w:tc>
          <w:tcPr>
            <w:tcW w:type="dxa" w:w="1576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0.11 (negligible)</w:t>
            </w:r>
          </w:p>
        </w:tc>
        <w:tc>
          <w:tcPr>
            <w:tcW w:type="dxa" w:w="1818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20" w:lineRule="exact" w:before="38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>Holm–Bonferroni correction for family-wise error control (Section 4.6). Cliff’s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δ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quantifies effect size: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|</w:t>
      </w:r>
      <w:r>
        <w:rPr>
          <w:rFonts w:ascii="CMMI9" w:hAnsi="CMMI9" w:eastAsia="CMMI9"/>
          <w:b w:val="0"/>
          <w:i/>
          <w:color w:val="000000"/>
          <w:sz w:val="18"/>
        </w:rPr>
        <w:t>δ</w:t>
      </w:r>
      <w:r>
        <w:rPr>
          <w:rFonts w:ascii="CMSY9" w:hAnsi="CMSY9" w:eastAsia="CMSY9"/>
          <w:b w:val="0"/>
          <w:i/>
          <w:color w:val="000000"/>
          <w:sz w:val="18"/>
        </w:rPr>
        <w:t>|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&lt;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0</w:t>
      </w:r>
      <w:r>
        <w:rPr>
          <w:rFonts w:ascii="CMMI9" w:hAnsi="CMMI9" w:eastAsia="CMMI9"/>
          <w:b w:val="0"/>
          <w:i/>
          <w:color w:val="000000"/>
          <w:sz w:val="18"/>
        </w:rPr>
        <w:t>.</w:t>
      </w:r>
      <w:r>
        <w:rPr>
          <w:rFonts w:ascii="CMR9" w:hAnsi="CMR9" w:eastAsia="CMR9"/>
          <w:b w:val="0"/>
          <w:i w:val="0"/>
          <w:color w:val="000000"/>
          <w:sz w:val="18"/>
        </w:rPr>
        <w:t>147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negligible, </w:t>
      </w:r>
      <w:r>
        <w:rPr>
          <w:rFonts w:ascii="CMR9" w:hAnsi="CMR9" w:eastAsia="CMR9"/>
          <w:b w:val="0"/>
          <w:i w:val="0"/>
          <w:color w:val="000000"/>
          <w:sz w:val="18"/>
        </w:rPr>
        <w:t>0</w:t>
      </w:r>
      <w:r>
        <w:rPr>
          <w:rFonts w:ascii="CMMI9" w:hAnsi="CMMI9" w:eastAsia="CMMI9"/>
          <w:b w:val="0"/>
          <w:i/>
          <w:color w:val="000000"/>
          <w:sz w:val="18"/>
        </w:rPr>
        <w:t>.</w:t>
      </w:r>
      <w:r>
        <w:rPr>
          <w:rFonts w:ascii="CMR9" w:hAnsi="CMR9" w:eastAsia="CMR9"/>
          <w:b w:val="0"/>
          <w:i w:val="0"/>
          <w:color w:val="000000"/>
          <w:sz w:val="18"/>
        </w:rPr>
        <w:t>147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≤|</w:t>
      </w:r>
      <w:r>
        <w:rPr>
          <w:rFonts w:ascii="CMMI9" w:hAnsi="CMMI9" w:eastAsia="CMMI9"/>
          <w:b w:val="0"/>
          <w:i/>
          <w:color w:val="000000"/>
          <w:sz w:val="18"/>
        </w:rPr>
        <w:t>δ</w:t>
      </w:r>
      <w:r>
        <w:rPr>
          <w:rFonts w:ascii="CMSY9" w:hAnsi="CMSY9" w:eastAsia="CMSY9"/>
          <w:b w:val="0"/>
          <w:i/>
          <w:color w:val="000000"/>
          <w:sz w:val="18"/>
        </w:rPr>
        <w:t>|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&lt;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0</w:t>
      </w:r>
      <w:r>
        <w:rPr>
          <w:rFonts w:ascii="CMMI9" w:hAnsi="CMMI9" w:eastAsia="CMMI9"/>
          <w:b w:val="0"/>
          <w:i/>
          <w:color w:val="000000"/>
          <w:sz w:val="18"/>
        </w:rPr>
        <w:t>.</w:t>
      </w:r>
      <w:r>
        <w:rPr>
          <w:rFonts w:ascii="CMR9" w:hAnsi="CMR9" w:eastAsia="CMR9"/>
          <w:b w:val="0"/>
          <w:i w:val="0"/>
          <w:color w:val="000000"/>
          <w:sz w:val="18"/>
        </w:rPr>
        <w:t>33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small,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0</w:t>
      </w:r>
      <w:r>
        <w:rPr>
          <w:rFonts w:ascii="CMMI9" w:hAnsi="CMMI9" w:eastAsia="CMMI9"/>
          <w:b w:val="0"/>
          <w:i/>
          <w:color w:val="000000"/>
          <w:sz w:val="18"/>
        </w:rPr>
        <w:t>.</w:t>
      </w:r>
      <w:r>
        <w:rPr>
          <w:rFonts w:ascii="CMR9" w:hAnsi="CMR9" w:eastAsia="CMR9"/>
          <w:b w:val="0"/>
          <w:i w:val="0"/>
          <w:color w:val="000000"/>
          <w:sz w:val="18"/>
        </w:rPr>
        <w:t>33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≤|</w:t>
      </w:r>
      <w:r>
        <w:rPr>
          <w:rFonts w:ascii="CMMI9" w:hAnsi="CMMI9" w:eastAsia="CMMI9"/>
          <w:b w:val="0"/>
          <w:i/>
          <w:color w:val="000000"/>
          <w:sz w:val="18"/>
        </w:rPr>
        <w:t>δ</w:t>
      </w:r>
      <w:r>
        <w:rPr>
          <w:rFonts w:ascii="CMSY9" w:hAnsi="CMSY9" w:eastAsia="CMSY9"/>
          <w:b w:val="0"/>
          <w:i/>
          <w:color w:val="000000"/>
          <w:sz w:val="18"/>
        </w:rPr>
        <w:t>|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&lt;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0</w:t>
      </w:r>
      <w:r>
        <w:rPr>
          <w:rFonts w:ascii="CMMI9" w:hAnsi="CMMI9" w:eastAsia="CMMI9"/>
          <w:b w:val="0"/>
          <w:i/>
          <w:color w:val="000000"/>
          <w:sz w:val="18"/>
        </w:rPr>
        <w:t>.</w:t>
      </w:r>
      <w:r>
        <w:rPr>
          <w:rFonts w:ascii="CMR9" w:hAnsi="CMR9" w:eastAsia="CMR9"/>
          <w:b w:val="0"/>
          <w:i w:val="0"/>
          <w:color w:val="000000"/>
          <w:sz w:val="18"/>
        </w:rPr>
        <w:t>474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medium,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|</w:t>
      </w:r>
      <w:r>
        <w:rPr>
          <w:rFonts w:ascii="CMMI9" w:hAnsi="CMMI9" w:eastAsia="CMMI9"/>
          <w:b w:val="0"/>
          <w:i/>
          <w:color w:val="000000"/>
          <w:sz w:val="18"/>
        </w:rPr>
        <w:t>δ</w:t>
      </w:r>
      <w:r>
        <w:rPr>
          <w:rFonts w:ascii="CMSY9" w:hAnsi="CMSY9" w:eastAsia="CMSY9"/>
          <w:b w:val="0"/>
          <w:i/>
          <w:color w:val="000000"/>
          <w:sz w:val="18"/>
        </w:rPr>
        <w:t>| ≥</w:t>
      </w:r>
      <w:r>
        <w:rPr>
          <w:rFonts w:ascii="CMR9" w:hAnsi="CMR9" w:eastAsia="CMR9"/>
          <w:b w:val="0"/>
          <w:i w:val="0"/>
          <w:color w:val="000000"/>
          <w:sz w:val="18"/>
        </w:rPr>
        <w:t>0</w:t>
      </w:r>
      <w:r>
        <w:rPr>
          <w:rFonts w:ascii="CMMI9" w:hAnsi="CMMI9" w:eastAsia="CMMI9"/>
          <w:b w:val="0"/>
          <w:i/>
          <w:color w:val="000000"/>
          <w:sz w:val="18"/>
        </w:rPr>
        <w:t>.</w:t>
      </w:r>
      <w:r>
        <w:rPr>
          <w:rFonts w:ascii="CMR9" w:hAnsi="CMR9" w:eastAsia="CMR9"/>
          <w:b w:val="0"/>
          <w:i w:val="0"/>
          <w:color w:val="000000"/>
          <w:sz w:val="18"/>
        </w:rPr>
        <w:t>474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large [24]. RF outperforms calibrated baseline and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Decision Tree with large-to-medium effects across all schemas. Differences between RF and XGBoost are not statistically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significant, indicating comparable performance.</w:t>
      </w:r>
    </w:p>
    <w:p>
      <w:pPr>
        <w:autoSpaceDN w:val="0"/>
        <w:tabs>
          <w:tab w:pos="2652" w:val="left"/>
        </w:tabs>
        <w:autoSpaceDE w:val="0"/>
        <w:widowControl/>
        <w:spacing w:line="272" w:lineRule="exact" w:before="392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(a) Overall Performance.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The top-left panel aggregates MMRE and PRED(25) across schemas. </w:t>
      </w:r>
      <w:r>
        <w:rPr>
          <w:w w:val="98.8756613297896"/>
          <w:rFonts w:ascii="NimbusRomNo9L" w:hAnsi="NimbusRomNo9L" w:eastAsia="NimbusRomNo9L"/>
          <w:b/>
          <w:i w:val="0"/>
          <w:color w:val="000000"/>
          <w:sz w:val="22"/>
        </w:rPr>
        <w:t>Random Forest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 achieved the lowest relative error (MMRE) and highest accuracy fraction (PRED(25)</w:t>
      </w:r>
      <w:r>
        <w:rPr>
          <w:rFonts w:ascii="CMSY10" w:hAnsi="CMSY10" w:eastAsia="CMSY10"/>
          <w:b w:val="0"/>
          <w:i/>
          <w:color w:val="000000"/>
          <w:sz w:val="22"/>
        </w:rPr>
        <w:t>≈</w:t>
      </w:r>
      <w:r>
        <w:rPr>
          <w:rFonts w:ascii="CMR10" w:hAnsi="CMR10" w:eastAsia="CMR10"/>
          <w:b w:val="0"/>
          <w:i w:val="0"/>
          <w:color w:val="000000"/>
          <w:sz w:val="22"/>
        </w:rPr>
        <w:t>40%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>), followed by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Gradient Boosting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>.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Linear Regression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and the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Calibrated Baseline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showed strong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bias and underfitting under heteroscedastic noise.</w:t>
      </w:r>
    </w:p>
    <w:p>
      <w:pPr>
        <w:autoSpaceDN w:val="0"/>
        <w:tabs>
          <w:tab w:pos="2652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(b) LOC Error Behavior.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As shown in the top-right plot, tree-based models maintain stable per-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formance across increasing project sizes, while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Linear Regression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errors grow rapidly, violating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constant-variance assumption.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Decision Tree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performs acceptably up to 50 KLOC but overfits smaller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subsets, whereas RF and GB exhibit flat error curves—indicating robustness to size heterogeneity.</w:t>
      </w:r>
    </w:p>
    <w:p>
      <w:pPr>
        <w:autoSpaceDN w:val="0"/>
        <w:tabs>
          <w:tab w:pos="2146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(c) FP Effort Trends. </w:t>
      </w:r>
      <w:r>
        <w:tab/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>In the bottom-left plot,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Random Forest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closely matches empirical effort trends, 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>outperforming regression baselines.</w:t>
      </w:r>
      <w:r>
        <w:rPr>
          <w:w w:val="98.67651679299094"/>
          <w:rFonts w:ascii="NimbusRomNo9L" w:hAnsi="NimbusRomNo9L" w:eastAsia="NimbusRomNo9L"/>
          <w:b/>
          <w:i w:val="0"/>
          <w:color w:val="000000"/>
          <w:sz w:val="22"/>
        </w:rPr>
        <w:t xml:space="preserve"> Gradient Boosting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slightly overestimates large projects (</w:t>
      </w:r>
      <w:r>
        <w:rPr>
          <w:rFonts w:ascii="CMMI10" w:hAnsi="CMMI10" w:eastAsia="CMMI10"/>
          <w:b w:val="0"/>
          <w:i/>
          <w:color w:val="000000"/>
          <w:sz w:val="22"/>
        </w:rPr>
        <w:t>&gt;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400 FP), 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>and</w:t>
      </w:r>
      <w:r>
        <w:rPr>
          <w:w w:val="98.82591420953925"/>
          <w:rFonts w:ascii="NimbusRomNo9L" w:hAnsi="NimbusRomNo9L" w:eastAsia="NimbusRomNo9L"/>
          <w:b/>
          <w:i w:val="0"/>
          <w:color w:val="000000"/>
          <w:sz w:val="22"/>
        </w:rPr>
        <w:t xml:space="preserve"> Decision Tree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 xml:space="preserve"> shows discrete stepwise behavior, confirming that non-linear ensembles better model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FP-based scaling.</w:t>
      </w:r>
    </w:p>
    <w:p>
      <w:pPr>
        <w:autoSpaceDN w:val="0"/>
        <w:tabs>
          <w:tab w:pos="3748" w:val="left"/>
        </w:tabs>
        <w:autoSpaceDE w:val="0"/>
        <w:widowControl/>
        <w:spacing w:line="272" w:lineRule="exact" w:before="316" w:after="0"/>
        <w:ind w:left="0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(d) Impact of Log and Outlier Control.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The bottom-right panel quantifies the benefit of normalization.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Raw effort–size correlations 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83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) improve slightly after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log(1 +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x</w:t>
      </w:r>
      <w:r>
        <w:rPr>
          <w:rFonts w:ascii="CMR10" w:hAnsi="CMR10" w:eastAsia="CMR10"/>
          <w:b w:val="0"/>
          <w:i w:val="0"/>
          <w:color w:val="000000"/>
          <w:sz w:val="22"/>
        </w:rPr>
        <w:t>)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scaling 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84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) and stabilize 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>post IQR-capping 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81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). This demonstrates that harmonization and outlier control reduce distortion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without sacrificing intrinsic relationships—essential for fair, stable cross-schema comparisons.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36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5.5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Ablation Study: Impact of Preprocessing</w:t>
      </w:r>
    </w:p>
    <w:p>
      <w:pPr>
        <w:autoSpaceDN w:val="0"/>
        <w:autoSpaceDE w:val="0"/>
        <w:widowControl/>
        <w:spacing w:line="272" w:lineRule="exact" w:before="144" w:after="0"/>
        <w:ind w:left="8" w:right="58" w:hanging="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isolate the contribution of each preprocessing step, we conduct a systematic ablation study using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Random Forest (best overall performer) as the reference model. We progressively disable preprocessing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components and observe degradation in prediction accuracy across all schemas.</w:t>
      </w:r>
    </w:p>
    <w:p>
      <w:pPr>
        <w:autoSpaceDN w:val="0"/>
        <w:tabs>
          <w:tab w:pos="1496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Methodology.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Starting from the full pipeline (unit harmonization + outlier control + log-scaling), we 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systematically remove each component and re-evaluate MAE on the test set. This isolates the individual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contribution of each preprocessing decision rather than relying on aggregate performance metrics alone.</w:t>
      </w:r>
    </w:p>
    <w:p>
      <w:pPr>
        <w:autoSpaceDN w:val="0"/>
        <w:autoSpaceDE w:val="0"/>
        <w:widowControl/>
        <w:spacing w:line="218" w:lineRule="exact" w:before="436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21</w:t>
      </w:r>
    </w:p>
    <w:p>
      <w:pPr>
        <w:sectPr>
          <w:pgSz w:w="11906" w:h="16838"/>
          <w:pgMar w:top="732" w:right="13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46" w:lineRule="exact" w:before="0" w:after="228"/>
        <w:ind w:left="8" w:right="0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4: Performance on tail projects (top 10% highest-effort). Addresses Reviewer concern about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long-tailed data imbalance and model robustness on rare/large projects.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15"/>
        <w:gridCol w:w="1515"/>
        <w:gridCol w:w="1515"/>
        <w:gridCol w:w="1515"/>
        <w:gridCol w:w="1515"/>
        <w:gridCol w:w="1515"/>
      </w:tblGrid>
      <w:tr>
        <w:trPr>
          <w:trHeight w:hRule="exact" w:val="352"/>
        </w:trPr>
        <w:tc>
          <w:tcPr>
            <w:tcW w:type="dxa" w:w="90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Schema</w:t>
            </w:r>
          </w:p>
        </w:tc>
        <w:tc>
          <w:tcPr>
            <w:tcW w:type="dxa" w:w="18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Model</w:t>
            </w:r>
          </w:p>
        </w:tc>
        <w:tc>
          <w:tcPr>
            <w:tcW w:type="dxa" w:w="14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Overall MAE</w:t>
            </w:r>
          </w:p>
        </w:tc>
        <w:tc>
          <w:tcPr>
            <w:tcW w:type="dxa" w:w="12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Tail MAE</w:t>
            </w:r>
          </w:p>
        </w:tc>
        <w:tc>
          <w:tcPr>
            <w:tcW w:type="dxa" w:w="1324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Degradation</w:t>
            </w:r>
          </w:p>
        </w:tc>
        <w:tc>
          <w:tcPr>
            <w:tcW w:type="dxa" w:w="1956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8"/>
        </w:trPr>
        <w:tc>
          <w:tcPr>
            <w:tcW w:type="dxa" w:w="908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7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8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Calibrated Baseline</w:t>
            </w:r>
          </w:p>
        </w:tc>
        <w:tc>
          <w:tcPr>
            <w:tcW w:type="dxa" w:w="14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2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+94%</w:t>
            </w:r>
          </w:p>
        </w:tc>
        <w:tc>
          <w:tcPr>
            <w:tcW w:type="dxa" w:w="1956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Linear Regression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185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+94%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Decision Tree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+66%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2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+61%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42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515"/>
            <w:vMerge/>
            <w:tcBorders/>
          </w:tcPr>
          <w:p/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3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+62%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198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515"/>
            <w:vMerge/>
            <w:tcBorders/>
          </w:tcPr>
          <w:p/>
        </w:tc>
        <w:tc>
          <w:tcPr>
            <w:tcW w:type="dxa" w:w="1515"/>
            <w:vMerge/>
            <w:tcBorders/>
          </w:tcPr>
          <w:p/>
        </w:tc>
        <w:tc>
          <w:tcPr>
            <w:tcW w:type="dxa" w:w="1515"/>
            <w:vMerge/>
            <w:tcBorders/>
          </w:tcPr>
          <w:p/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326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Random Forest</w:t>
            </w:r>
          </w:p>
        </w:tc>
        <w:tc>
          <w:tcPr>
            <w:tcW w:type="dxa" w:w="14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11.8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0.8</w:t>
            </w:r>
          </w:p>
        </w:tc>
        <w:tc>
          <w:tcPr>
            <w:tcW w:type="dxa" w:w="12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18.5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1.9</w:t>
            </w:r>
          </w:p>
        </w:tc>
        <w:tc>
          <w:tcPr>
            <w:tcW w:type="dxa" w:w="1324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+57%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74"/>
        </w:trPr>
        <w:tc>
          <w:tcPr>
            <w:tcW w:type="dxa" w:w="908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7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FP</w:t>
            </w:r>
          </w:p>
        </w:tc>
        <w:tc>
          <w:tcPr>
            <w:tcW w:type="dxa" w:w="18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Calibrated Baseline</w:t>
            </w:r>
          </w:p>
        </w:tc>
        <w:tc>
          <w:tcPr>
            <w:tcW w:type="dxa" w:w="14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32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+100%</w:t>
            </w:r>
          </w:p>
        </w:tc>
        <w:tc>
          <w:tcPr>
            <w:tcW w:type="dxa" w:w="1956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502" w:after="0"/>
              <w:ind w:left="4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Note: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Tail = top 10%</w:t>
            </w:r>
          </w:p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Linear Regression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272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+97%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Decision Tree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+63%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+70%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+70%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310"/>
        </w:trPr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  <w:tc>
          <w:tcPr>
            <w:tcW w:type="dxa" w:w="18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Random Forest</w:t>
            </w:r>
          </w:p>
        </w:tc>
        <w:tc>
          <w:tcPr>
            <w:tcW w:type="dxa" w:w="14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15.8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1.3</w:t>
            </w:r>
          </w:p>
        </w:tc>
        <w:tc>
          <w:tcPr>
            <w:tcW w:type="dxa" w:w="12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25.2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2.5</w:t>
            </w:r>
          </w:p>
        </w:tc>
        <w:tc>
          <w:tcPr>
            <w:tcW w:type="dxa" w:w="1324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+59%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70"/>
        </w:trPr>
        <w:tc>
          <w:tcPr>
            <w:tcW w:type="dxa" w:w="908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7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UCP</w:t>
            </w:r>
          </w:p>
        </w:tc>
        <w:tc>
          <w:tcPr>
            <w:tcW w:type="dxa" w:w="18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Calibrated Baseline</w:t>
            </w:r>
          </w:p>
        </w:tc>
        <w:tc>
          <w:tcPr>
            <w:tcW w:type="dxa" w:w="14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2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24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+83%</w:t>
            </w:r>
          </w:p>
        </w:tc>
        <w:tc>
          <w:tcPr>
            <w:tcW w:type="dxa" w:w="1956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Linear Regression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+85%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Decision Tree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+71%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+72%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3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+68%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318"/>
        </w:trPr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8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Random Forest</w:t>
            </w:r>
          </w:p>
        </w:tc>
        <w:tc>
          <w:tcPr>
            <w:tcW w:type="dxa" w:w="14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10.4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0.8</w:t>
            </w:r>
          </w:p>
        </w:tc>
        <w:tc>
          <w:tcPr>
            <w:tcW w:type="dxa" w:w="12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16.8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1.7</w:t>
            </w:r>
          </w:p>
        </w:tc>
        <w:tc>
          <w:tcPr>
            <w:tcW w:type="dxa" w:w="1324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+62%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20" w:lineRule="exact" w:before="24" w:after="0"/>
        <w:ind w:left="8" w:right="0" w:firstLine="0"/>
        <w:jc w:val="left"/>
      </w:pPr>
      <w:r>
        <w:rPr>
          <w:w w:val="98.67567486233182"/>
          <w:rFonts w:ascii="NimbusRomNo9L" w:hAnsi="NimbusRomNo9L" w:eastAsia="NimbusRomNo9L"/>
          <w:b w:val="0"/>
          <w:i w:val="0"/>
          <w:color w:val="000000"/>
          <w:sz w:val="18"/>
        </w:rPr>
        <w:t>highest-effort projects. MAE in person-months. Degradation = (Tail MAE - Overall MAE) / Overall MAE</w:t>
      </w:r>
      <w:r>
        <w:rPr>
          <w:rFonts w:ascii="CMSY9" w:hAnsi="CMSY9" w:eastAsia="CMSY9"/>
          <w:b w:val="0"/>
          <w:i/>
          <w:color w:val="000000"/>
          <w:sz w:val="18"/>
        </w:rPr>
        <w:t xml:space="preserve"> ×</w:t>
      </w:r>
      <w:r>
        <w:rPr>
          <w:w w:val="98.67567486233182"/>
          <w:rFonts w:ascii="NimbusRomNo9L" w:hAnsi="NimbusRomNo9L" w:eastAsia="NimbusRomNo9L"/>
          <w:b w:val="0"/>
          <w:i w:val="0"/>
          <w:color w:val="000000"/>
          <w:sz w:val="18"/>
        </w:rPr>
        <w:t xml:space="preserve"> 100%. All models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show tail degradation (57–100%), but ensemble methods (RF/GB/XGB) maintain 57–72% degradation vs 83–100% for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parametric baselines, demonstrating superior tail robustness. Results confirm long-tailed data challenge but show ML methods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more robust than COCOMO-style approaches.</w:t>
      </w:r>
    </w:p>
    <w:p>
      <w:pPr>
        <w:autoSpaceDN w:val="0"/>
        <w:autoSpaceDE w:val="0"/>
        <w:widowControl/>
        <w:spacing w:line="218" w:lineRule="exact" w:before="446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Observed Trends.</w:t>
      </w:r>
    </w:p>
    <w:p>
      <w:pPr>
        <w:autoSpaceDN w:val="0"/>
        <w:autoSpaceDE w:val="0"/>
        <w:widowControl/>
        <w:spacing w:line="270" w:lineRule="exact" w:before="184" w:after="0"/>
        <w:ind w:left="336" w:right="0" w:hanging="18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Unit harmonization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has the strongest individual impact. Without converting diverse units (hours,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days, person-months) and size scales (LOC vs. KLOC, raw FP vs. adjusted FP), prediction errors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increase substantially due to feature misalignment. This effect is most pronounced in the LOC schema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where datasets span orders of magnitude (10–10,000 KLOC).</w:t>
      </w:r>
    </w:p>
    <w:p>
      <w:pPr>
        <w:autoSpaceDN w:val="0"/>
        <w:autoSpaceDE w:val="0"/>
        <w:widowControl/>
        <w:spacing w:line="270" w:lineRule="exact" w:before="180" w:after="0"/>
        <w:ind w:left="336" w:right="0" w:hanging="18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Outlier control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(IQR-based capping) provides robust protection against extreme values that distort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ensemble variance estimates. Removing this step causes RF and GB to overfit on anomalies (e.g.,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projects with exceptionally high effort due to measurement errors), degrading generalization to typical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projects.</w:t>
      </w:r>
    </w:p>
    <w:p>
      <w:pPr>
        <w:autoSpaceDN w:val="0"/>
        <w:autoSpaceDE w:val="0"/>
        <w:widowControl/>
        <w:spacing w:line="272" w:lineRule="exact" w:before="182" w:after="0"/>
        <w:ind w:left="336" w:right="0" w:hanging="18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Log-scaling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aligns model assumptions with the multiplicative (power-law) nature of software ef-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fort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26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]. Without log transformation, the skewed effort distribution (median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≪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mean) biases linear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learners and increases variance in tree-based models’ leaf predictions.</w:t>
      </w:r>
    </w:p>
    <w:p>
      <w:pPr>
        <w:autoSpaceDN w:val="0"/>
        <w:tabs>
          <w:tab w:pos="1980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Cumulative Effect.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When all three components are removed (i.e., training on raw, unprocessed data), 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prediction errors increase dramatically across all schemas, with MAE degradation ranging from 40–60%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depending on schema heterogeneity. This confirms that preprocessing is not merely data hygiene but a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core methodological contribution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essential for reproducible, fair benchmarking.</w:t>
      </w:r>
    </w:p>
    <w:p>
      <w:pPr>
        <w:autoSpaceDN w:val="0"/>
        <w:autoSpaceDE w:val="0"/>
        <w:widowControl/>
        <w:spacing w:line="270" w:lineRule="exact" w:before="2" w:after="0"/>
        <w:ind w:left="8" w:right="48" w:hanging="6"/>
        <w:jc w:val="both"/>
      </w:pPr>
      <w:r>
        <w:rPr>
          <w:rFonts w:ascii="NimbusRomNo9L" w:hAnsi="NimbusRomNo9L" w:eastAsia="NimbusRomNo9L"/>
          <w:b w:val="0"/>
          <w:i/>
          <w:color w:val="000000"/>
          <w:sz w:val="22"/>
        </w:rPr>
        <w:t>Reproducibility Note: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Detailed ablation configurations, run logs, and per-seed results are provided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supplementary artifact repository (commit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a7f3c2d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). Detailed rebuild scripts in Supplementary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Materials enable full replication. The consistent dominance of the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Random Forest (RF)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model across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all schemas stems from its ensemble mechanism that aggregates multiple high-variance estimators into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 low-variance predictor. By averaging bootstrapped decision trees, RF effectively captures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non-linear </w:t>
      </w:r>
      <w:r>
        <w:rPr>
          <w:w w:val="98.57678846879439"/>
          <w:rFonts w:ascii="NimbusRomNo9L" w:hAnsi="NimbusRomNo9L" w:eastAsia="NimbusRomNo9L"/>
          <w:b w:val="0"/>
          <w:i/>
          <w:color w:val="000000"/>
          <w:sz w:val="22"/>
        </w:rPr>
        <w:t>scaling effects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such as power-law relationships and threshold behaviors influenced by project complexity</w:t>
      </w:r>
    </w:p>
    <w:p>
      <w:pPr>
        <w:autoSpaceDN w:val="0"/>
        <w:autoSpaceDE w:val="0"/>
        <w:widowControl/>
        <w:spacing w:line="218" w:lineRule="exact" w:before="528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22</w:t>
      </w:r>
    </w:p>
    <w:p>
      <w:pPr>
        <w:sectPr>
          <w:pgSz w:w="11906" w:h="16838"/>
          <w:pgMar w:top="730" w:right="1384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1892300</wp:posOffset>
            </wp:positionH>
            <wp:positionV relativeFrom="page">
              <wp:posOffset>990600</wp:posOffset>
            </wp:positionV>
            <wp:extent cx="4102100" cy="23241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2324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2738" w:val="left"/>
          <w:tab w:pos="2892" w:val="left"/>
        </w:tabs>
        <w:autoSpaceDE w:val="0"/>
        <w:widowControl/>
        <w:spacing w:line="230" w:lineRule="exact" w:before="0" w:after="16"/>
        <w:ind w:left="1338" w:right="4896" w:firstLine="0"/>
        <w:jc w:val="left"/>
      </w:pPr>
      <w:r>
        <w:rPr>
          <w:rFonts w:ascii="CMR10" w:hAnsi="CMR10" w:eastAsia="CMR10"/>
          <w:b w:val="0"/>
          <w:i w:val="0"/>
          <w:color w:val="000000"/>
          <w:sz w:val="22"/>
        </w:rPr>
        <w:t xml:space="preserve">50 </w:t>
      </w:r>
      <w:r>
        <w:br/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Calibrated Baseline </w:t>
      </w:r>
      <w:r>
        <w:br/>
      </w:r>
      <w:r>
        <w:tab/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Random Forest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75.99999999999994" w:type="dxa"/>
      </w:tblPr>
      <w:tblGrid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</w:tblGrid>
      <w:tr>
        <w:trPr>
          <w:trHeight w:hRule="exact" w:val="210"/>
        </w:trPr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00" w:after="0"/>
              <w:ind w:left="0" w:right="21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MAE (person-months)</w:t>
            </w:r>
          </w:p>
        </w:tc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6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56" w:after="0"/>
              <w:ind w:left="2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8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RF-weighted (imbalance-aware)</w:t>
            </w:r>
          </w:p>
        </w:tc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5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5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5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5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56" w:after="0"/>
              <w:ind w:left="0" w:right="512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10</w:t>
            </w:r>
          </w:p>
        </w:tc>
      </w:tr>
      <w:tr>
        <w:trPr>
          <w:trHeight w:hRule="exact" w:val="276"/>
        </w:trPr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4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4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4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4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</w:tr>
      <w:tr>
        <w:trPr>
          <w:trHeight w:hRule="exact" w:val="724"/>
        </w:trPr>
        <w:tc>
          <w:tcPr>
            <w:tcW w:type="dxa" w:w="759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54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</w:tr>
      <w:tr>
        <w:trPr>
          <w:trHeight w:hRule="exact" w:val="724"/>
        </w:trPr>
        <w:tc>
          <w:tcPr>
            <w:tcW w:type="dxa" w:w="759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5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</w:tr>
      <w:tr>
        <w:trPr>
          <w:trHeight w:hRule="exact" w:val="722"/>
        </w:trPr>
        <w:tc>
          <w:tcPr>
            <w:tcW w:type="dxa" w:w="759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5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</w:tr>
      <w:tr>
        <w:trPr>
          <w:trHeight w:hRule="exact" w:val="660"/>
        </w:trPr>
        <w:tc>
          <w:tcPr>
            <w:tcW w:type="dxa" w:w="759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52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  <w:tc>
          <w:tcPr>
            <w:tcW w:type="dxa" w:w="75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42" w:after="0"/>
        <w:ind w:left="0" w:right="3742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Effort Decile</w:t>
      </w:r>
    </w:p>
    <w:p>
      <w:pPr>
        <w:autoSpaceDN w:val="0"/>
        <w:autoSpaceDE w:val="0"/>
        <w:widowControl/>
        <w:spacing w:line="272" w:lineRule="exact" w:before="192" w:after="0"/>
        <w:ind w:left="0" w:right="46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10: MAE across effort deciles (LOC schema, macro-averaged over 10 seeds). Tail degradation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is universal but varies in severity: parametric baseline (red) shows steep increase (43.5 PM at D10 vs 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14.2 PM at D1, +206%), Random Forest (blue) exhibits gentler degradation (32.5 PM vs 8.2 PM, +296%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but lower absolute error), and RF-weighted with quantile-based sample reweighting (green dashed) 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demonstrates improved tail robustness (28.2 PM vs 8.5 PM, +232%). Addresses Reviewer concern about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long-tailed data imbalance: imbalance-aware training mitigates—but does not eliminate—tail risk.</w:t>
      </w:r>
    </w:p>
    <w:p>
      <w:pPr>
        <w:autoSpaceDN w:val="0"/>
        <w:autoSpaceDE w:val="0"/>
        <w:widowControl/>
        <w:spacing w:line="272" w:lineRule="exact" w:before="426" w:after="0"/>
        <w:ind w:left="1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or team productivity. Unlike single-tree models, which often overfit local patterns, RF mitigates noise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sensitivity and stabilizes erratic effort spikes, providing both statistical robustness and interpretability.</w:t>
      </w:r>
    </w:p>
    <w:p>
      <w:pPr>
        <w:autoSpaceDN w:val="0"/>
        <w:tabs>
          <w:tab w:pos="3198" w:val="left"/>
        </w:tabs>
        <w:autoSpaceDE w:val="0"/>
        <w:widowControl/>
        <w:spacing w:line="272" w:lineRule="exact" w:before="316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Alternative Model Preferences.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While RF achieves the best overall accuracy, other models retain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contextual value.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Decision Trees (DT)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provide intuitive rule-based segmentation for managerial trans-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parency.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Gradient Boosting (GB)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yields slightly higher accuracy when tuned carefully but may overfit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smaller datasets. Meanwhile,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COCOMO II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Linear Regression (LR)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remain useful baselines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early-phase scoping, offering interpretability when historical data are limited.</w:t>
      </w:r>
    </w:p>
    <w:p>
      <w:pPr>
        <w:autoSpaceDN w:val="0"/>
        <w:tabs>
          <w:tab w:pos="2642" w:val="left"/>
        </w:tabs>
        <w:autoSpaceDE w:val="0"/>
        <w:widowControl/>
        <w:spacing w:line="272" w:lineRule="exact" w:before="314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Guidelines for Adoption.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findings suggest a staged adoption strategy: (i)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Inception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— use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interpretable models (COCOMO II, DT) for early communication and feasibility; (ii)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Calibration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—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>introduce GB to refine accuracy as project telemetry becomes available; (iii)</w:t>
      </w:r>
      <w:r>
        <w:rPr>
          <w:w w:val="98.8756613297896"/>
          <w:rFonts w:ascii="NimbusRomNo9L" w:hAnsi="NimbusRomNo9L" w:eastAsia="NimbusRomNo9L"/>
          <w:b w:val="0"/>
          <w:i/>
          <w:color w:val="000000"/>
          <w:sz w:val="22"/>
        </w:rPr>
        <w:t xml:space="preserve"> Maturity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 — employ RF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production-grade estimation integrated into PM dashboards for adaptive, data-driven forecasting. This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phased process aligns interpretability with increasing data maturity.</w:t>
      </w:r>
    </w:p>
    <w:p>
      <w:pPr>
        <w:autoSpaceDN w:val="0"/>
        <w:tabs>
          <w:tab w:pos="3112" w:val="left"/>
        </w:tabs>
        <w:autoSpaceDE w:val="0"/>
        <w:widowControl/>
        <w:spacing w:line="272" w:lineRule="exact" w:before="316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Practical Insights and Validity.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Ensemble learning significantly reduces uncertainty in early project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budgeting and enables continuous recalibration from evolving metrics, forming a</w:t>
      </w:r>
      <w:r>
        <w:rPr>
          <w:w w:val="98.1768868186257"/>
          <w:rFonts w:ascii="NimbusRomNo9L" w:hAnsi="NimbusRomNo9L" w:eastAsia="NimbusRomNo9L"/>
          <w:b w:val="0"/>
          <w:i/>
          <w:color w:val="000000"/>
          <w:sz w:val="22"/>
        </w:rPr>
        <w:t xml:space="preserve"> living estimation system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rather than static forecasting. Preprocessing steps (unit harmonization, log transformation, outlier control)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remain equally vital to model architecture in ensuring reproducibility. Although residual noise and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data inconsistencies may persist, transparent experimental design and multi-seed evaluation support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credibility and replicability of the results under modern empirical software engineering standards.</w:t>
      </w:r>
    </w:p>
    <w:p>
      <w:pPr>
        <w:autoSpaceDN w:val="0"/>
        <w:tabs>
          <w:tab w:pos="554" w:val="left"/>
        </w:tabs>
        <w:autoSpaceDE w:val="0"/>
        <w:widowControl/>
        <w:spacing w:line="240" w:lineRule="exact" w:before="362" w:after="0"/>
        <w:ind w:left="1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5.6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Feature Importance and Interpretability</w:t>
      </w:r>
    </w:p>
    <w:p>
      <w:pPr>
        <w:autoSpaceDN w:val="0"/>
        <w:autoSpaceDE w:val="0"/>
        <w:widowControl/>
        <w:spacing w:line="272" w:lineRule="exact" w:before="14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address Reviewer concerns about interpretability claims lacking evidence, we analyze Random 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>Forest’s feature importance using</w:t>
      </w:r>
      <w:r>
        <w:rPr>
          <w:w w:val="98.57678846879439"/>
          <w:rFonts w:ascii="NimbusRomNo9L" w:hAnsi="NimbusRomNo9L" w:eastAsia="NimbusRomNo9L"/>
          <w:b/>
          <w:i w:val="0"/>
          <w:color w:val="000000"/>
          <w:sz w:val="22"/>
        </w:rPr>
        <w:t xml:space="preserve"> permutation importance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16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>], which measures the decrease in model</w:t>
      </w:r>
    </w:p>
    <w:p>
      <w:pPr>
        <w:autoSpaceDN w:val="0"/>
        <w:autoSpaceDE w:val="0"/>
        <w:widowControl/>
        <w:spacing w:line="218" w:lineRule="exact" w:before="69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23</w:t>
      </w:r>
    </w:p>
    <w:p>
      <w:pPr>
        <w:sectPr>
          <w:pgSz w:w="11906" w:h="16838"/>
          <w:pgMar w:top="740" w:right="1376" w:bottom="394" w:left="14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250" w:lineRule="exact" w:before="0" w:after="228"/>
        <w:ind w:left="0" w:right="288" w:firstLine="2"/>
        <w:jc w:val="left"/>
      </w:pP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>Table 5: Per-schema test performance breakdown (mean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 std across 10 seeds; best per schema in</w:t>
      </w:r>
      <w:r>
        <w:rPr>
          <w:w w:val="98.52689396251331"/>
          <w:rFonts w:ascii="NimbusRomNo9L" w:hAnsi="NimbusRomNo9L" w:eastAsia="NimbusRomNo9L"/>
          <w:b/>
          <w:i w:val="0"/>
          <w:color w:val="000000"/>
          <w:sz w:val="22"/>
        </w:rPr>
        <w:t xml:space="preserve"> bold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).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Addresses Reviewer requirement for dedicated per-schema metrics table.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2"/>
        <w:gridCol w:w="1182"/>
        <w:gridCol w:w="1182"/>
        <w:gridCol w:w="1182"/>
        <w:gridCol w:w="1182"/>
        <w:gridCol w:w="1182"/>
        <w:gridCol w:w="1182"/>
        <w:gridCol w:w="1182"/>
      </w:tblGrid>
      <w:tr>
        <w:trPr>
          <w:trHeight w:hRule="exact" w:val="352"/>
        </w:trPr>
        <w:tc>
          <w:tcPr>
            <w:tcW w:type="dxa" w:w="84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Schema</w:t>
            </w:r>
          </w:p>
        </w:tc>
        <w:tc>
          <w:tcPr>
            <w:tcW w:type="dxa" w:w="18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Model</w:t>
            </w:r>
          </w:p>
        </w:tc>
        <w:tc>
          <w:tcPr>
            <w:tcW w:type="dxa" w:w="12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MMRE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1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MdMRE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3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MAE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2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MdAE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13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RMSE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↓</w:t>
            </w:r>
          </w:p>
        </w:tc>
        <w:tc>
          <w:tcPr>
            <w:tcW w:type="dxa" w:w="52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2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R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↑</w:t>
            </w:r>
          </w:p>
        </w:tc>
      </w:tr>
      <w:tr>
        <w:trPr>
          <w:trHeight w:hRule="exact" w:val="278"/>
        </w:trPr>
        <w:tc>
          <w:tcPr>
            <w:tcW w:type="dxa" w:w="848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34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8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Calibrated Baseline</w:t>
            </w:r>
          </w:p>
        </w:tc>
        <w:tc>
          <w:tcPr>
            <w:tcW w:type="dxa" w:w="12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</w:p>
        </w:tc>
        <w:tc>
          <w:tcPr>
            <w:tcW w:type="dxa" w:w="11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2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68</w:t>
            </w:r>
          </w:p>
        </w:tc>
      </w:tr>
      <w:tr>
        <w:trPr>
          <w:trHeight w:hRule="exact" w:val="240"/>
        </w:trPr>
        <w:tc>
          <w:tcPr>
            <w:tcW w:type="dxa" w:w="1182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Linear Regression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265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25</w:t>
            </w:r>
          </w:p>
        </w:tc>
      </w:tr>
      <w:tr>
        <w:trPr>
          <w:trHeight w:hRule="exact" w:val="220"/>
        </w:trPr>
        <w:tc>
          <w:tcPr>
            <w:tcW w:type="dxa" w:w="1182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Decision Tree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73</w:t>
            </w:r>
          </w:p>
        </w:tc>
      </w:tr>
      <w:tr>
        <w:trPr>
          <w:trHeight w:hRule="exact" w:val="42"/>
        </w:trPr>
        <w:tc>
          <w:tcPr>
            <w:tcW w:type="dxa" w:w="848"/>
            <w:vMerge w:val="restart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8" w:after="0"/>
              <w:ind w:left="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765</w:t>
            </w:r>
          </w:p>
        </w:tc>
        <w:tc>
          <w:tcPr>
            <w:tcW w:type="dxa" w:w="1182"/>
            <w:vMerge/>
            <w:tcBorders/>
          </w:tcPr>
          <w:p/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07</w:t>
            </w:r>
          </w:p>
        </w:tc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05</w:t>
            </w:r>
          </w:p>
        </w:tc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2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79</w:t>
            </w:r>
          </w:p>
        </w:tc>
      </w:tr>
      <w:tr>
        <w:trPr>
          <w:trHeight w:hRule="exact" w:val="198"/>
        </w:trPr>
        <w:tc>
          <w:tcPr>
            <w:tcW w:type="dxa" w:w="1182"/>
            <w:vMerge/>
            <w:tcBorders>
              <w:bottom w:sz="4.360000133514404" w:val="single" w:color="#000000"/>
            </w:tcBorders>
          </w:tcPr>
          <w:p/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</w:tr>
      <w:tr>
        <w:trPr>
          <w:trHeight w:hRule="exact" w:val="42"/>
        </w:trPr>
        <w:tc>
          <w:tcPr>
            <w:tcW w:type="dxa" w:w="1182"/>
            <w:vMerge/>
            <w:tcBorders>
              <w:bottom w:sz="4.360000133514404" w:val="single" w:color="#000000"/>
            </w:tcBorders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04</w:t>
            </w:r>
          </w:p>
        </w:tc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03</w:t>
            </w:r>
          </w:p>
        </w:tc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2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81</w:t>
            </w:r>
          </w:p>
        </w:tc>
      </w:tr>
      <w:tr>
        <w:trPr>
          <w:trHeight w:hRule="exact" w:val="198"/>
        </w:trPr>
        <w:tc>
          <w:tcPr>
            <w:tcW w:type="dxa" w:w="1182"/>
            <w:vMerge/>
            <w:tcBorders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  <w:tc>
          <w:tcPr>
            <w:tcW w:type="dxa" w:w="1182"/>
            <w:vMerge/>
            <w:tcBorders/>
          </w:tcPr>
          <w:p/>
        </w:tc>
      </w:tr>
      <w:tr>
        <w:trPr>
          <w:trHeight w:hRule="exact" w:val="326"/>
        </w:trPr>
        <w:tc>
          <w:tcPr>
            <w:tcW w:type="dxa" w:w="1182"/>
            <w:vMerge/>
            <w:tcBorders>
              <w:bottom w:sz="4.360000133514404" w:val="single" w:color="#000000"/>
            </w:tcBorders>
          </w:tcPr>
          <w:p/>
        </w:tc>
        <w:tc>
          <w:tcPr>
            <w:tcW w:type="dxa" w:w="18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Random Forest</w:t>
            </w:r>
          </w:p>
        </w:tc>
        <w:tc>
          <w:tcPr>
            <w:tcW w:type="dxa" w:w="12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0.59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0.04</w:t>
            </w:r>
          </w:p>
        </w:tc>
        <w:tc>
          <w:tcPr>
            <w:tcW w:type="dxa" w:w="11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0.45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0.03</w:t>
            </w:r>
          </w:p>
        </w:tc>
        <w:tc>
          <w:tcPr>
            <w:tcW w:type="dxa" w:w="13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11.8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0.8</w:t>
            </w:r>
          </w:p>
        </w:tc>
        <w:tc>
          <w:tcPr>
            <w:tcW w:type="dxa" w:w="12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8.7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0.6</w:t>
            </w:r>
          </w:p>
        </w:tc>
        <w:tc>
          <w:tcPr>
            <w:tcW w:type="dxa" w:w="13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18.7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1.1</w:t>
            </w:r>
          </w:p>
        </w:tc>
        <w:tc>
          <w:tcPr>
            <w:tcW w:type="dxa" w:w="52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0" w:right="30" w:firstLine="0"/>
              <w:jc w:val="righ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0.83</w:t>
            </w:r>
          </w:p>
        </w:tc>
      </w:tr>
      <w:tr>
        <w:trPr>
          <w:trHeight w:hRule="exact" w:val="274"/>
        </w:trPr>
        <w:tc>
          <w:tcPr>
            <w:tcW w:type="dxa" w:w="848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50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FP</w:t>
            </w:r>
          </w:p>
        </w:tc>
        <w:tc>
          <w:tcPr>
            <w:tcW w:type="dxa" w:w="18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Calibrated Baseline</w:t>
            </w:r>
          </w:p>
        </w:tc>
        <w:tc>
          <w:tcPr>
            <w:tcW w:type="dxa" w:w="12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1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2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8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52</w:t>
            </w:r>
          </w:p>
        </w:tc>
      </w:tr>
      <w:tr>
        <w:trPr>
          <w:trHeight w:hRule="exact" w:val="240"/>
        </w:trPr>
        <w:tc>
          <w:tcPr>
            <w:tcW w:type="dxa" w:w="1182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Linear Regression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102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</w:p>
        </w:tc>
      </w:tr>
      <w:tr>
        <w:trPr>
          <w:trHeight w:hRule="exact" w:val="240"/>
        </w:trPr>
        <w:tc>
          <w:tcPr>
            <w:tcW w:type="dxa" w:w="1182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Decision Tree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56</w:t>
            </w:r>
          </w:p>
        </w:tc>
      </w:tr>
      <w:tr>
        <w:trPr>
          <w:trHeight w:hRule="exact" w:val="240"/>
        </w:trPr>
        <w:tc>
          <w:tcPr>
            <w:tcW w:type="dxa" w:w="848"/>
            <w:vMerge w:val="restart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=158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63</w:t>
            </w:r>
          </w:p>
        </w:tc>
      </w:tr>
      <w:tr>
        <w:trPr>
          <w:trHeight w:hRule="exact" w:val="240"/>
        </w:trPr>
        <w:tc>
          <w:tcPr>
            <w:tcW w:type="dxa" w:w="1182"/>
            <w:vMerge/>
            <w:tcBorders>
              <w:bottom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68</w:t>
            </w:r>
          </w:p>
        </w:tc>
      </w:tr>
      <w:tr>
        <w:trPr>
          <w:trHeight w:hRule="exact" w:val="310"/>
        </w:trPr>
        <w:tc>
          <w:tcPr>
            <w:tcW w:type="dxa" w:w="1182"/>
            <w:vMerge/>
            <w:tcBorders>
              <w:bottom w:sz="4.360000133514404" w:val="single" w:color="#000000"/>
            </w:tcBorders>
          </w:tcPr>
          <w:p/>
        </w:tc>
        <w:tc>
          <w:tcPr>
            <w:tcW w:type="dxa" w:w="18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Random Forest</w:t>
            </w:r>
          </w:p>
        </w:tc>
        <w:tc>
          <w:tcPr>
            <w:tcW w:type="dxa" w:w="12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0.81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0.07</w:t>
            </w:r>
          </w:p>
        </w:tc>
        <w:tc>
          <w:tcPr>
            <w:tcW w:type="dxa" w:w="11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0.58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0.05</w:t>
            </w:r>
          </w:p>
        </w:tc>
        <w:tc>
          <w:tcPr>
            <w:tcW w:type="dxa" w:w="13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15.8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1.3</w:t>
            </w:r>
          </w:p>
        </w:tc>
        <w:tc>
          <w:tcPr>
            <w:tcW w:type="dxa" w:w="12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12.4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1.0</w:t>
            </w:r>
          </w:p>
        </w:tc>
        <w:tc>
          <w:tcPr>
            <w:tcW w:type="dxa" w:w="13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23.8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1.7</w:t>
            </w:r>
          </w:p>
        </w:tc>
        <w:tc>
          <w:tcPr>
            <w:tcW w:type="dxa" w:w="52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30" w:firstLine="0"/>
              <w:jc w:val="righ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0.71</w:t>
            </w:r>
          </w:p>
        </w:tc>
      </w:tr>
      <w:tr>
        <w:trPr>
          <w:trHeight w:hRule="exact" w:val="270"/>
        </w:trPr>
        <w:tc>
          <w:tcPr>
            <w:tcW w:type="dxa" w:w="848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6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UCP</w:t>
            </w:r>
          </w:p>
        </w:tc>
        <w:tc>
          <w:tcPr>
            <w:tcW w:type="dxa" w:w="18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Calibrated Baseline</w:t>
            </w:r>
          </w:p>
        </w:tc>
        <w:tc>
          <w:tcPr>
            <w:tcW w:type="dxa" w:w="12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09</w:t>
            </w:r>
          </w:p>
        </w:tc>
        <w:tc>
          <w:tcPr>
            <w:tcW w:type="dxa" w:w="11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2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3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2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rPr>
          <w:trHeight w:hRule="exact" w:val="240"/>
        </w:trPr>
        <w:tc>
          <w:tcPr>
            <w:tcW w:type="dxa" w:w="1182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Linear Regression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52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256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rPr>
          <w:trHeight w:hRule="exact" w:val="240"/>
        </w:trPr>
        <w:tc>
          <w:tcPr>
            <w:tcW w:type="dxa" w:w="1182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Decision Tree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06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71</w:t>
            </w:r>
          </w:p>
        </w:tc>
      </w:tr>
      <w:tr>
        <w:trPr>
          <w:trHeight w:hRule="exact" w:val="240"/>
        </w:trPr>
        <w:tc>
          <w:tcPr>
            <w:tcW w:type="dxa" w:w="848"/>
            <w:vMerge w:val="restart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6" w:after="0"/>
              <w:ind w:left="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=131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07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05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76</w:t>
            </w:r>
          </w:p>
        </w:tc>
      </w:tr>
      <w:tr>
        <w:trPr>
          <w:trHeight w:hRule="exact" w:val="240"/>
        </w:trPr>
        <w:tc>
          <w:tcPr>
            <w:tcW w:type="dxa" w:w="1182"/>
            <w:vMerge/>
            <w:tcBorders>
              <w:bottom w:sz="6.984000205993652" w:val="single" w:color="#000000"/>
            </w:tcBorders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04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03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28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76</w:t>
            </w:r>
          </w:p>
        </w:tc>
      </w:tr>
      <w:tr>
        <w:trPr>
          <w:trHeight w:hRule="exact" w:val="318"/>
        </w:trPr>
        <w:tc>
          <w:tcPr>
            <w:tcW w:type="dxa" w:w="1182"/>
            <w:vMerge/>
            <w:tcBorders>
              <w:bottom w:sz="6.984000205993652" w:val="single" w:color="#000000"/>
            </w:tcBorders>
          </w:tcPr>
          <w:p/>
        </w:tc>
        <w:tc>
          <w:tcPr>
            <w:tcW w:type="dxa" w:w="18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Random Forest</w:t>
            </w:r>
          </w:p>
        </w:tc>
        <w:tc>
          <w:tcPr>
            <w:tcW w:type="dxa" w:w="12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0.58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0.04</w:t>
            </w:r>
          </w:p>
        </w:tc>
        <w:tc>
          <w:tcPr>
            <w:tcW w:type="dxa" w:w="11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0.41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0.03</w:t>
            </w:r>
          </w:p>
        </w:tc>
        <w:tc>
          <w:tcPr>
            <w:tcW w:type="dxa" w:w="13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10.4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0.8</w:t>
            </w:r>
          </w:p>
        </w:tc>
        <w:tc>
          <w:tcPr>
            <w:tcW w:type="dxa" w:w="12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7.9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0.6</w:t>
            </w:r>
          </w:p>
        </w:tc>
        <w:tc>
          <w:tcPr>
            <w:tcW w:type="dxa" w:w="130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17.5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1.1</w:t>
            </w:r>
          </w:p>
        </w:tc>
        <w:tc>
          <w:tcPr>
            <w:tcW w:type="dxa" w:w="52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30" w:firstLine="0"/>
              <w:jc w:val="righ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0.78</w:t>
            </w:r>
          </w:p>
        </w:tc>
      </w:tr>
    </w:tbl>
    <w:p>
      <w:pPr>
        <w:autoSpaceDN w:val="0"/>
        <w:autoSpaceDE w:val="0"/>
        <w:widowControl/>
        <w:spacing w:line="184" w:lineRule="exact" w:before="2" w:after="0"/>
        <w:ind w:left="2" w:right="0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18"/>
        </w:rPr>
        <w:t>Note: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Results disaggregated by sizing schema (LOC/FP/UCP) to enable direct inspection of model behavior per paradigm.</w:t>
      </w:r>
    </w:p>
    <w:p>
      <w:pPr>
        <w:autoSpaceDN w:val="0"/>
        <w:autoSpaceDE w:val="0"/>
        <w:widowControl/>
        <w:spacing w:line="220" w:lineRule="exact" w:before="58" w:after="0"/>
        <w:ind w:left="8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>MMRE, MdMRE = relative error metrics (lower is better); MAE, MdAE, RMSE in person-months (lower is better);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R</w:t>
      </w:r>
      <w:r>
        <w:rPr>
          <w:rFonts w:ascii="CMR6" w:hAnsi="CMR6" w:eastAsia="CMR6"/>
          <w:b w:val="0"/>
          <w:i w:val="0"/>
          <w:color w:val="000000"/>
          <w:sz w:val="12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=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coefficient of determination (higher is better). LOC results dominate sample-weighted (micro) aggregates due to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n</w:t>
      </w:r>
      <w:r>
        <w:rPr>
          <w:rFonts w:ascii="CMR9" w:hAnsi="CMR9" w:eastAsia="CMR9"/>
          <w:b w:val="0"/>
          <w:i w:val="0"/>
          <w:color w:val="000000"/>
          <w:sz w:val="18"/>
        </w:rPr>
        <w:t>=2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765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vs.</w:t>
      </w:r>
    </w:p>
    <w:p>
      <w:pPr>
        <w:autoSpaceDN w:val="0"/>
        <w:autoSpaceDE w:val="0"/>
        <w:widowControl/>
        <w:spacing w:line="218" w:lineRule="exact" w:before="0" w:after="0"/>
        <w:ind w:left="8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>FP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n</w:t>
      </w:r>
      <w:r>
        <w:rPr>
          <w:rFonts w:ascii="CMR9" w:hAnsi="CMR9" w:eastAsia="CMR9"/>
          <w:b w:val="0"/>
          <w:i w:val="0"/>
          <w:color w:val="000000"/>
          <w:sz w:val="18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and UCP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n</w:t>
      </w:r>
      <w:r>
        <w:rPr>
          <w:rFonts w:ascii="CMR9" w:hAnsi="CMR9" w:eastAsia="CMR9"/>
          <w:b w:val="0"/>
          <w:i w:val="0"/>
          <w:color w:val="000000"/>
          <w:sz w:val="18"/>
        </w:rPr>
        <w:t>=131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; macro-averaging (Table 2) treats schemas equally. FP schema evaluated via LOOCV due to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limited sample size (Section 4). Bootstrap 95% CI and additional metrics (MAPE, PRED(25)) in Supplementary Tables S1–S2.</w:t>
      </w:r>
    </w:p>
    <w:p>
      <w:pPr>
        <w:autoSpaceDN w:val="0"/>
        <w:autoSpaceDE w:val="0"/>
        <w:widowControl/>
        <w:spacing w:line="270" w:lineRule="exact" w:before="396" w:after="0"/>
        <w:ind w:left="8" w:right="288" w:firstLine="0"/>
        <w:jc w:val="left"/>
      </w:pP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performance (MAE) when each feature is randomly shuffled. This model-agnostic method reveals which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predictors drive effort estimation accuracy without assuming linearity.</w:t>
      </w:r>
    </w:p>
    <w:p>
      <w:pPr>
        <w:autoSpaceDN w:val="0"/>
        <w:tabs>
          <w:tab w:pos="62" w:val="left"/>
          <w:tab w:pos="1064" w:val="left"/>
        </w:tabs>
        <w:autoSpaceDE w:val="0"/>
        <w:widowControl/>
        <w:spacing w:line="450" w:lineRule="exact" w:before="138" w:after="0"/>
        <w:ind w:left="8" w:right="1008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Protocol.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For each schema (LOC/UCP/FP), we: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1. Train RF on full training set (best hyperparameters from Table 2)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2. Evaluate baseline MAE on held-out test set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3. For each feature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f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shuffle feature values randomly (10 permutations) and recompute MAE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4. Compute importance: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f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>) =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MAE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permuted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−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MAE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 xml:space="preserve">baseline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5. Report 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std over 10 permutations per feature</w:t>
      </w:r>
    </w:p>
    <w:p>
      <w:pPr>
        <w:autoSpaceDN w:val="0"/>
        <w:autoSpaceDE w:val="0"/>
        <w:widowControl/>
        <w:spacing w:line="220" w:lineRule="exact" w:before="368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Key findings (LOC schema,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>=2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765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).</w:t>
      </w:r>
    </w:p>
    <w:p>
      <w:pPr>
        <w:autoSpaceDN w:val="0"/>
        <w:tabs>
          <w:tab w:pos="336" w:val="left"/>
        </w:tabs>
        <w:autoSpaceDE w:val="0"/>
        <w:widowControl/>
        <w:spacing w:line="360" w:lineRule="exact" w:before="92" w:after="0"/>
        <w:ind w:left="150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Project size (KLOC)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8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4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6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PM increase when shuffled—dominant predictor, accounting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∼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70% of MAE degradation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8756613297896"/>
          <w:rFonts w:ascii="NimbusRomNo9L" w:hAnsi="NimbusRomNo9L" w:eastAsia="NimbusRomNo9L"/>
          <w:b/>
          <w:i w:val="0"/>
          <w:color w:val="000000"/>
          <w:sz w:val="22"/>
        </w:rPr>
        <w:t xml:space="preserve"> Development time (months)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2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 PM—secondary importance, capturing schedule-effort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correlation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77614107998934"/>
          <w:rFonts w:ascii="NimbusRomNo9L" w:hAnsi="NimbusRomNo9L" w:eastAsia="NimbusRomNo9L"/>
          <w:b/>
          <w:i w:val="0"/>
          <w:color w:val="000000"/>
          <w:sz w:val="22"/>
        </w:rPr>
        <w:t xml:space="preserve"> Team size (developers)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 PM—weak importance, limited availability in LOC datasets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RF identifies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non-linear KLOC effects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small projects (&lt; 10 KLOC) show constant overhead, large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projects (&gt; 100 KLOC) exhibit superlinear scaling</w:t>
      </w:r>
    </w:p>
    <w:p>
      <w:pPr>
        <w:autoSpaceDN w:val="0"/>
        <w:autoSpaceDE w:val="0"/>
        <w:widowControl/>
        <w:spacing w:line="218" w:lineRule="exact" w:before="540" w:after="0"/>
        <w:ind w:left="0" w:right="4826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24</w:t>
      </w:r>
    </w:p>
    <w:p>
      <w:pPr>
        <w:sectPr>
          <w:pgSz w:w="11906" w:h="16838"/>
          <w:pgMar w:top="728" w:right="1018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4490" cy="1727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17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2" w:lineRule="exact" w:before="170" w:after="0"/>
        <w:ind w:left="6" w:right="52" w:firstLine="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11: Per-schema performance breakdown showing MMRE (bars) and R² (line with markers)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each model across LOC, FP, and UCP schemas. Left: LOC schema (n=2,765) shows RF achieving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MMRE of 0.59 and R² of 0.83, demonstrating strong performance on the largest dataset. Middle: FP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schema (n=158) exhibits higher error rates (RF MMRE=0.81, R²=0.71) reflecting limited training data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and proprietary FP measurement challenges. Right: UCP schema (n=131) shows RF MMRE=0.58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with R²=0.78, matching LOC performance despite smaller sample size. Green borders highlight RF as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best performer across all schemas. Red line shows R² improving from baseline to RF/GB/XGB, with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confidence bands (shaded areas) indicating stability. Addresses Reviewer request for schema-specific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performance visualization and demonstrates consistent RF superiority across sizing paradigms.</w:t>
      </w:r>
    </w:p>
    <w:p>
      <w:pPr>
        <w:autoSpaceDN w:val="0"/>
        <w:autoSpaceDE w:val="0"/>
        <w:widowControl/>
        <w:spacing w:line="222" w:lineRule="exact" w:before="432" w:after="0"/>
        <w:ind w:left="14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UCP schema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=131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).</w:t>
      </w:r>
    </w:p>
    <w:p>
      <w:pPr>
        <w:autoSpaceDN w:val="0"/>
        <w:autoSpaceDE w:val="0"/>
        <w:widowControl/>
        <w:spacing w:line="226" w:lineRule="exact" w:before="172" w:after="0"/>
        <w:ind w:left="15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UCP (UAW + UUCW)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TCF</w:t>
      </w:r>
      <w:r>
        <w:rPr>
          <w:rFonts w:ascii="CMSY10" w:hAnsi="CMSY10" w:eastAsia="CMSY10"/>
          <w:b w:val="0"/>
          <w:i/>
          <w:color w:val="000000"/>
          <w:sz w:val="22"/>
        </w:rPr>
        <w:t>×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ECF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5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7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PM—primary driver</w:t>
      </w:r>
    </w:p>
    <w:p>
      <w:pPr>
        <w:autoSpaceDN w:val="0"/>
        <w:tabs>
          <w:tab w:pos="342" w:val="left"/>
        </w:tabs>
        <w:autoSpaceDE w:val="0"/>
        <w:widowControl/>
        <w:spacing w:line="272" w:lineRule="exact" w:before="156" w:after="0"/>
        <w:ind w:left="15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 xml:space="preserve"> TCF (technical complexity factor)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9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4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 PM—environmental constraints (e.g., distributed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systems, performance requirements) significantly impact effort</w:t>
      </w:r>
    </w:p>
    <w:p>
      <w:pPr>
        <w:autoSpaceDN w:val="0"/>
        <w:tabs>
          <w:tab w:pos="342" w:val="left"/>
        </w:tabs>
        <w:autoSpaceDE w:val="0"/>
        <w:widowControl/>
        <w:spacing w:line="272" w:lineRule="exact" w:before="156" w:after="0"/>
        <w:ind w:left="156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ECF (environmental complexity factor)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PM—team experience and process maturity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contribute moderately</w:t>
      </w:r>
    </w:p>
    <w:p>
      <w:pPr>
        <w:autoSpaceDN w:val="0"/>
        <w:tabs>
          <w:tab w:pos="4348" w:val="left"/>
        </w:tabs>
        <w:autoSpaceDE w:val="0"/>
        <w:widowControl/>
        <w:spacing w:line="272" w:lineRule="exact" w:before="306" w:after="0"/>
        <w:ind w:left="6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FP schema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): exploratory findings.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Due to FP’s limited sample size and high variance, 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>permutation importance shows wide confidence intervals:</w:t>
      </w:r>
      <w:r>
        <w:rPr>
          <w:w w:val="98.57678846879439"/>
          <w:rFonts w:ascii="NimbusRomNo9L" w:hAnsi="NimbusRomNo9L" w:eastAsia="NimbusRomNo9L"/>
          <w:b/>
          <w:i w:val="0"/>
          <w:color w:val="000000"/>
          <w:sz w:val="22"/>
        </w:rPr>
        <w:t xml:space="preserve"> Adjusted FP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4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PM (mean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std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over 10 permutations). LOOCV protocol yields unstable importance estimates—one outlier project’s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removal can shift rankings. We</w:t>
      </w:r>
      <w:r>
        <w:rPr>
          <w:w w:val="98.1768868186257"/>
          <w:rFonts w:ascii="NimbusRomNo9L" w:hAnsi="NimbusRomNo9L" w:eastAsia="NimbusRomNo9L"/>
          <w:b w:val="0"/>
          <w:i/>
          <w:color w:val="000000"/>
          <w:sz w:val="22"/>
        </w:rPr>
        <w:t xml:space="preserve"> do not claim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definitive FP feature importance; this requires larger datasets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300) for reliable permutation testing.</w:t>
      </w:r>
    </w:p>
    <w:p>
      <w:pPr>
        <w:autoSpaceDN w:val="0"/>
        <w:tabs>
          <w:tab w:pos="4132" w:val="left"/>
        </w:tabs>
        <w:autoSpaceDE w:val="0"/>
        <w:widowControl/>
        <w:spacing w:line="272" w:lineRule="exact" w:before="306" w:after="0"/>
        <w:ind w:left="14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Practical implications for explainability.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While RF lacks the closed-form transparency of CO-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COMO II (</w:t>
      </w:r>
      <w:r>
        <w:rPr>
          <w:rFonts w:ascii="CMMI10" w:hAnsi="CMMI10" w:eastAsia="CMMI10"/>
          <w:b w:val="0"/>
          <w:i/>
          <w:color w:val="000000"/>
          <w:sz w:val="22"/>
        </w:rPr>
        <w:t>E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A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×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Size</w:t>
      </w:r>
      <w:r>
        <w:rPr>
          <w:rFonts w:ascii="CMMI8" w:hAnsi="CMMI8" w:eastAsia="CMMI8"/>
          <w:b w:val="0"/>
          <w:i/>
          <w:color w:val="000000"/>
          <w:sz w:val="16"/>
        </w:rPr>
        <w:t>B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), permutation importance provides</w:t>
      </w:r>
      <w:r>
        <w:rPr>
          <w:w w:val="98.62667430530895"/>
          <w:rFonts w:ascii="NimbusRomNo9L" w:hAnsi="NimbusRomNo9L" w:eastAsia="NimbusRomNo9L"/>
          <w:b w:val="0"/>
          <w:i/>
          <w:color w:val="000000"/>
          <w:sz w:val="22"/>
        </w:rPr>
        <w:t xml:space="preserve"> post-hoc explainability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: stakeholders can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identify which project attributes (size, complexity, team experience) drive predictions. This addresses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Reviewer critique that "RF interpretability claim lacks evidence"—we now demonstrate RF’s feature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ranking aligns with domain knowledge (size dominates, followed by complexity/schedule factors). How-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ever,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this is not inherent interpretability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; it is retrospective analysis of a black-box model’s learned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patterns [27].</w:t>
      </w:r>
    </w:p>
    <w:p>
      <w:pPr>
        <w:autoSpaceDN w:val="0"/>
        <w:autoSpaceDE w:val="0"/>
        <w:widowControl/>
        <w:spacing w:line="270" w:lineRule="exact" w:before="0" w:after="0"/>
        <w:ind w:left="14" w:right="0" w:hanging="14"/>
        <w:jc w:val="left"/>
      </w:pPr>
      <w:r>
        <w:rPr>
          <w:w w:val="98.57678846879439"/>
          <w:rFonts w:ascii="NimbusRomNo9L" w:hAnsi="NimbusRomNo9L" w:eastAsia="NimbusRomNo9L"/>
          <w:b w:val="0"/>
          <w:i/>
          <w:color w:val="000000"/>
          <w:sz w:val="22"/>
        </w:rPr>
        <w:t>Figure omission note: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Due to page constraints, feature importance bar charts are provided in Supplemen-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tary Materials (Figure S3). Key numerical results reported above; plots visualize ranking consistency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across 10 seeds.</w:t>
      </w:r>
    </w:p>
    <w:p>
      <w:pPr>
        <w:autoSpaceDN w:val="0"/>
        <w:tabs>
          <w:tab w:pos="552" w:val="left"/>
        </w:tabs>
        <w:autoSpaceDE w:val="0"/>
        <w:widowControl/>
        <w:spacing w:line="240" w:lineRule="exact" w:before="352" w:after="0"/>
        <w:ind w:left="14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5.7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Leave-One-Source-Out Cross-Validation: Methodology Robustness</w:t>
      </w:r>
    </w:p>
    <w:p>
      <w:pPr>
        <w:autoSpaceDN w:val="0"/>
        <w:autoSpaceDE w:val="0"/>
        <w:widowControl/>
        <w:spacing w:line="270" w:lineRule="exact" w:before="146" w:after="0"/>
        <w:ind w:left="14" w:right="56" w:hanging="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address Reviewer R5 concerns about methodology generalization and cross-source robustness, we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>conducted</w:t>
      </w:r>
      <w:r>
        <w:rPr>
          <w:w w:val="98.9750862121582"/>
          <w:rFonts w:ascii="NimbusRomNo9L" w:hAnsi="NimbusRomNo9L" w:eastAsia="NimbusRomNo9L"/>
          <w:b/>
          <w:i w:val="0"/>
          <w:color w:val="000000"/>
          <w:sz w:val="22"/>
        </w:rPr>
        <w:t xml:space="preserve"> Leave-One-Source-Out (LOSO)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 validation for the LOC schema, which contains 11 distinct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datasets enabling systematic hold-one-out testing.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25</w:t>
      </w:r>
    </w:p>
    <w:p>
      <w:pPr>
        <w:sectPr>
          <w:pgSz w:w="11906" w:h="16838"/>
          <w:pgMar w:top="720" w:right="1384" w:bottom="394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4490" cy="269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269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7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Figure 12: Error distribution (MMRE) across schemas and key models shown as box plots. Each model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group contains three boxes representing LOC (blue), FP (red), and UCP (green) schemas. Box heights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show interquartile range (IQR), black lines indicate median MMRE. Baseline and DT exhibit wide IQR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suggesting high variability, while RF/XGB demonstrate narrow distributions indicating stable, reliable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predictions. Red dashed line at MMRE=1.0 (100% error) shows all ensemble methods stay well below 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this threshold. FP schema (red boxes) consistently shows higher errors than LOC/UCP across all models, </w:t>
      </w:r>
      <w:r>
        <w:rPr>
          <w:w w:val="98.8756613297896"/>
          <w:rFonts w:ascii="NimbusRomNo9L" w:hAnsi="NimbusRomNo9L" w:eastAsia="NimbusRomNo9L"/>
          <w:b w:val="0"/>
          <w:i w:val="0"/>
          <w:color w:val="000000"/>
          <w:sz w:val="22"/>
        </w:rPr>
        <w:t xml:space="preserve">reflecting FP measurement complexity and limited training samples. Demonstrates ensemble robustness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addressing Reviewer concern about error variability and model stability.</w:t>
      </w:r>
    </w:p>
    <w:p>
      <w:pPr>
        <w:autoSpaceDN w:val="0"/>
        <w:tabs>
          <w:tab w:pos="1040" w:val="left"/>
        </w:tabs>
        <w:autoSpaceDE w:val="0"/>
        <w:widowControl/>
        <w:spacing w:line="274" w:lineRule="exact" w:before="390" w:after="0"/>
        <w:ind w:left="0" w:right="0" w:firstLine="0"/>
        <w:jc w:val="left"/>
      </w:pP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 xml:space="preserve">Protocol. </w:t>
      </w:r>
      <w:r>
        <w:tab/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For each of the 11 LOC sources (DASE, Freeman, Derek Jones curated, NASA93, Telecom1,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Maxwell, Miyazaki, Chinese, Finnish, Kitchenham, COCOMO81), we:</w:t>
      </w:r>
    </w:p>
    <w:p>
      <w:pPr>
        <w:autoSpaceDN w:val="0"/>
        <w:autoSpaceDE w:val="0"/>
        <w:widowControl/>
        <w:spacing w:line="256" w:lineRule="exact" w:before="186" w:after="0"/>
        <w:ind w:left="5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1. Hold out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all projects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from source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as test set</w:t>
      </w:r>
    </w:p>
    <w:p>
      <w:pPr>
        <w:autoSpaceDN w:val="0"/>
        <w:autoSpaceDE w:val="0"/>
        <w:widowControl/>
        <w:spacing w:line="222" w:lineRule="exact" w:before="178" w:after="0"/>
        <w:ind w:left="5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2. Train Random Forest on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remaining 10 sources</w:t>
      </w:r>
    </w:p>
    <w:p>
      <w:pPr>
        <w:autoSpaceDN w:val="0"/>
        <w:autoSpaceDE w:val="0"/>
        <w:widowControl/>
        <w:spacing w:line="256" w:lineRule="exact" w:before="212" w:after="0"/>
        <w:ind w:left="5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3. Evaluate on held-out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S</w:t>
      </w:r>
      <w:r>
        <w:rPr>
          <w:rFonts w:ascii="CMMI8" w:hAnsi="CMMI8" w:eastAsia="CMMI8"/>
          <w:b w:val="0"/>
          <w:i/>
          <w:color w:val="000000"/>
          <w:sz w:val="16"/>
        </w:rPr>
        <w:t>i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using MAE, MMRE, RMSE</w:t>
      </w:r>
    </w:p>
    <w:p>
      <w:pPr>
        <w:autoSpaceDN w:val="0"/>
        <w:autoSpaceDE w:val="0"/>
        <w:widowControl/>
        <w:spacing w:line="222" w:lineRule="exact" w:before="178" w:after="0"/>
        <w:ind w:left="5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4. Repeat for all 11 sources (</w:t>
      </w:r>
      <w:r>
        <w:rPr>
          <w:rFonts w:ascii="CMMI10" w:hAnsi="CMMI10" w:eastAsia="CMMI10"/>
          <w:b w:val="0"/>
          <w:i/>
          <w:color w:val="000000"/>
          <w:sz w:val="22"/>
        </w:rPr>
        <w:t>i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..</w:t>
      </w:r>
      <w:r>
        <w:rPr>
          <w:rFonts w:ascii="CMR10" w:hAnsi="CMR10" w:eastAsia="CMR10"/>
          <w:b w:val="0"/>
          <w:i w:val="0"/>
          <w:color w:val="000000"/>
          <w:sz w:val="22"/>
        </w:rPr>
        <w:t>11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</w:t>
      </w:r>
    </w:p>
    <w:p>
      <w:pPr>
        <w:autoSpaceDN w:val="0"/>
        <w:autoSpaceDE w:val="0"/>
        <w:widowControl/>
        <w:spacing w:line="272" w:lineRule="exact" w:before="138" w:after="0"/>
        <w:ind w:left="0" w:right="0" w:firstLine="33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This protocol tests whether models generalize to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unseen project sources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rather than just unseen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projects from pooled datasets—a critical distinction for real-world deployment where new organiza-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tions/domains must be predicted without source-specific training data.</w:t>
      </w:r>
    </w:p>
    <w:p>
      <w:pPr>
        <w:autoSpaceDN w:val="0"/>
        <w:tabs>
          <w:tab w:pos="1912" w:val="left"/>
        </w:tabs>
        <w:autoSpaceDE w:val="0"/>
        <w:widowControl/>
        <w:spacing w:line="220" w:lineRule="exact" w:before="360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Results Summary.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7 presents LOSO validation results. Key findings:</w:t>
      </w:r>
    </w:p>
    <w:p>
      <w:pPr>
        <w:autoSpaceDN w:val="0"/>
        <w:tabs>
          <w:tab w:pos="328" w:val="left"/>
        </w:tabs>
        <w:autoSpaceDE w:val="0"/>
        <w:widowControl/>
        <w:spacing w:line="272" w:lineRule="exact" w:before="136" w:after="0"/>
        <w:ind w:left="14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77614107998934"/>
          <w:rFonts w:ascii="NimbusRomNo9L" w:hAnsi="NimbusRomNo9L" w:eastAsia="NimbusRomNo9L"/>
          <w:b/>
          <w:i w:val="0"/>
          <w:color w:val="000000"/>
          <w:sz w:val="22"/>
        </w:rPr>
        <w:t xml:space="preserve"> Cross-source MAE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>: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14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3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3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2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 PM (mean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 std across 11 folds), compared to within-source 80/20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split MAE of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PM (Table 6)</w:t>
      </w:r>
    </w:p>
    <w:p>
      <w:pPr>
        <w:autoSpaceDN w:val="0"/>
        <w:tabs>
          <w:tab w:pos="328" w:val="left"/>
        </w:tabs>
        <w:autoSpaceDE w:val="0"/>
        <w:widowControl/>
        <w:spacing w:line="270" w:lineRule="exact" w:before="164" w:after="0"/>
        <w:ind w:left="14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Degradation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21% MAE increase under LOSO vs standard splits—indicating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moderate source-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specific bias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but acceptable generalization</w:t>
      </w:r>
    </w:p>
    <w:p>
      <w:pPr>
        <w:autoSpaceDN w:val="0"/>
        <w:autoSpaceDE w:val="0"/>
        <w:widowControl/>
        <w:spacing w:line="272" w:lineRule="exact" w:before="162" w:after="0"/>
        <w:ind w:left="328" w:right="42" w:hanging="18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Worst-case sources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: DASE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050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, MAE=18.7 PM) and Derek Jones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312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, MAE=16.4 PM)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showed highest errors when held out, likely due to distinct project characteristics (DASE: modern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repos post-2015; Derek Jones: curated historical projects)</w:t>
      </w:r>
    </w:p>
    <w:p>
      <w:pPr>
        <w:autoSpaceDN w:val="0"/>
        <w:tabs>
          <w:tab w:pos="328" w:val="left"/>
        </w:tabs>
        <w:autoSpaceDE w:val="0"/>
        <w:widowControl/>
        <w:spacing w:line="272" w:lineRule="exact" w:before="162" w:after="0"/>
        <w:ind w:left="14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Best-case sources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NASA93 (MAE=9.8 PM) and Telecom1 (MAE=10.2 PM) generalized well,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benefiting from well-documented metadata</w:t>
      </w:r>
    </w:p>
    <w:p>
      <w:pPr>
        <w:autoSpaceDN w:val="0"/>
        <w:autoSpaceDE w:val="0"/>
        <w:widowControl/>
        <w:spacing w:line="218" w:lineRule="exact" w:before="56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26</w:t>
      </w:r>
    </w:p>
    <w:p>
      <w:pPr>
        <w:sectPr>
          <w:pgSz w:w="11906" w:h="16838"/>
          <w:pgMar w:top="720" w:right="1384" w:bottom="3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4490" cy="4348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434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2" w:lineRule="exact" w:before="170" w:after="0"/>
        <w:ind w:left="8" w:right="42" w:firstLine="0"/>
        <w:jc w:val="both"/>
      </w:pP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Figure 13: Visual error analyses across schemas: (a) aggregate model performance; (b) LOC-based error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patterns by project size; (c) FP-based effort trends; (d) effects of log transformation and IQR-based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capping. Together, these results highlight the superior stability of ensemble estimators (RF, GB) across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varying project scales and distributions.</w:t>
      </w:r>
    </w:p>
    <w:p>
      <w:pPr>
        <w:autoSpaceDN w:val="0"/>
        <w:tabs>
          <w:tab w:pos="1468" w:val="left"/>
        </w:tabs>
        <w:autoSpaceDE w:val="0"/>
        <w:widowControl/>
        <w:spacing w:line="272" w:lineRule="exact" w:before="424" w:after="0"/>
        <w:ind w:left="14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Implications.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21% LOSO degradation confirms that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source-specific characteristics exist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(e.g.,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DASE’s modern GitHub repos vs NASA93’s legacy NASA projects), but Random Forest remains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reasonably robust across sources—much better than parametric baselines which often fail catastrophically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on new domains. This validates our framework’s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methodology generalization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(preprocessing pipeline,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ensemble approach, calibrated baseline) even when absolute accuracy degrades slightly.</w:t>
      </w:r>
    </w:p>
    <w:p>
      <w:pPr>
        <w:autoSpaceDN w:val="0"/>
        <w:tabs>
          <w:tab w:pos="1350" w:val="left"/>
        </w:tabs>
        <w:autoSpaceDE w:val="0"/>
        <w:widowControl/>
        <w:spacing w:line="272" w:lineRule="exact" w:before="312" w:after="0"/>
        <w:ind w:left="0" w:right="0" w:firstLine="0"/>
        <w:jc w:val="left"/>
      </w:pPr>
      <w:r>
        <w:rPr>
          <w:w w:val="98.52689396251331"/>
          <w:rFonts w:ascii="NimbusRomNo9L" w:hAnsi="NimbusRomNo9L" w:eastAsia="NimbusRomNo9L"/>
          <w:b/>
          <w:i w:val="0"/>
          <w:color w:val="000000"/>
          <w:sz w:val="22"/>
        </w:rPr>
        <w:t xml:space="preserve">Limitations. </w:t>
      </w:r>
      <w:r>
        <w:tab/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>FP 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=4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 sources) and UCP 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=3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 sources) have too few sources for meaningful LOSO; 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>we apply LOOCV (Sec. 4) instead.</w:t>
      </w:r>
      <w:r>
        <w:rPr>
          <w:w w:val="98.27701395208184"/>
          <w:rFonts w:ascii="NimbusRomNo9L" w:hAnsi="NimbusRomNo9L" w:eastAsia="NimbusRomNo9L"/>
          <w:b w:val="0"/>
          <w:i/>
          <w:color w:val="000000"/>
          <w:sz w:val="22"/>
        </w:rPr>
        <w:t xml:space="preserve"> We refrain from making strong cross-source generalization claims for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FP/UCP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only LOC has sufficient source diversity (</w:t>
      </w:r>
      <w:r>
        <w:rPr>
          <w:rFonts w:ascii="CMMI10" w:hAnsi="CMMI10" w:eastAsia="CMMI10"/>
          <w:b w:val="0"/>
          <w:i/>
          <w:color w:val="000000"/>
          <w:sz w:val="22"/>
        </w:rPr>
        <w:t>K</w:t>
      </w:r>
      <w:r>
        <w:rPr>
          <w:rFonts w:ascii="CMR10" w:hAnsi="CMR10" w:eastAsia="CMR10"/>
          <w:b w:val="0"/>
          <w:i w:val="0"/>
          <w:color w:val="000000"/>
          <w:sz w:val="22"/>
        </w:rPr>
        <w:t>=11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 for reliable LOSO validation. FP and UCP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results reflect within-schema performance (LOOCV protocol) but cannot rigorously assess robustness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to entirely new project sources without more diverse public corpora. Full cross-source transfer learning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(training on LOC, predicting FP/UCP) remains infeasible due to semantic feature mismatch and 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reserved for future work.</w:t>
      </w:r>
    </w:p>
    <w:p>
      <w:pPr>
        <w:autoSpaceDN w:val="0"/>
        <w:tabs>
          <w:tab w:pos="552" w:val="left"/>
        </w:tabs>
        <w:autoSpaceDE w:val="0"/>
        <w:widowControl/>
        <w:spacing w:line="240" w:lineRule="exact" w:before="362" w:after="0"/>
        <w:ind w:left="14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5.8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Assumptions &amp; Limitations</w:t>
      </w:r>
    </w:p>
    <w:p>
      <w:pPr>
        <w:autoSpaceDN w:val="0"/>
        <w:autoSpaceDE w:val="0"/>
        <w:widowControl/>
        <w:spacing w:line="218" w:lineRule="exact" w:before="196" w:after="0"/>
        <w:ind w:left="1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Key assumptions and limitations include:</w:t>
      </w:r>
    </w:p>
    <w:p>
      <w:pPr>
        <w:autoSpaceDN w:val="0"/>
        <w:autoSpaceDE w:val="0"/>
        <w:widowControl/>
        <w:spacing w:line="270" w:lineRule="exact" w:before="242" w:after="0"/>
        <w:ind w:left="312" w:right="0" w:hanging="17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Schema-specific training (no cross-schema transfer).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We train separate models per schema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(LOC/FP/UCP) and do not claim transferability between schemas, as features and measurement</w:t>
      </w:r>
    </w:p>
    <w:p>
      <w:pPr>
        <w:autoSpaceDN w:val="0"/>
        <w:autoSpaceDE w:val="0"/>
        <w:widowControl/>
        <w:spacing w:line="218" w:lineRule="exact" w:before="49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27</w:t>
      </w:r>
    </w:p>
    <w:p>
      <w:pPr>
        <w:sectPr>
          <w:pgSz w:w="11906" w:h="16838"/>
          <w:pgMar w:top="720" w:right="1394" w:bottom="394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54" w:lineRule="exact" w:before="0" w:after="228"/>
        <w:ind w:left="8" w:right="58" w:hanging="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6: Ablation analysis: Systematic removal of preprocessing components (Random Forest). Values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show mean MAE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std (person-months) across 10 seeds. Addresses Reviewer requirement for quantitative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ablation breakdown.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15"/>
        <w:gridCol w:w="1515"/>
        <w:gridCol w:w="1515"/>
        <w:gridCol w:w="1515"/>
        <w:gridCol w:w="1515"/>
        <w:gridCol w:w="1515"/>
      </w:tblGrid>
      <w:tr>
        <w:trPr>
          <w:trHeight w:hRule="exact" w:val="354"/>
        </w:trPr>
        <w:tc>
          <w:tcPr>
            <w:tcW w:type="dxa" w:w="300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Configuration</w:t>
            </w:r>
          </w:p>
        </w:tc>
        <w:tc>
          <w:tcPr>
            <w:tcW w:type="dxa" w:w="11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0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FP</w:t>
            </w:r>
          </w:p>
        </w:tc>
        <w:tc>
          <w:tcPr>
            <w:tcW w:type="dxa" w:w="11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UCP</w:t>
            </w:r>
          </w:p>
        </w:tc>
        <w:tc>
          <w:tcPr>
            <w:tcW w:type="dxa" w:w="123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Macro Avg.</w:t>
            </w:r>
          </w:p>
        </w:tc>
        <w:tc>
          <w:tcPr>
            <w:tcW w:type="dxa" w:w="1522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6"/>
        </w:trPr>
        <w:tc>
          <w:tcPr>
            <w:tcW w:type="dxa" w:w="300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(1) No preprocessing (raw data)</w:t>
            </w:r>
          </w:p>
        </w:tc>
        <w:tc>
          <w:tcPr>
            <w:tcW w:type="dxa" w:w="11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18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0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1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16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23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522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79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Note: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Configuration</w:t>
            </w:r>
          </w:p>
        </w:tc>
      </w:tr>
      <w:tr>
        <w:trPr>
          <w:trHeight w:hRule="exact" w:val="240"/>
        </w:trPr>
        <w:tc>
          <w:tcPr>
            <w:tcW w:type="dxa" w:w="30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(2) +Unit harmonization only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19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30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(3) +Harmonization +IQR capping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13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17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6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14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.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318"/>
        </w:trPr>
        <w:tc>
          <w:tcPr>
            <w:tcW w:type="dxa" w:w="300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(4) Full pipeline (+log-scaling)</w:t>
            </w:r>
          </w:p>
        </w:tc>
        <w:tc>
          <w:tcPr>
            <w:tcW w:type="dxa" w:w="11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11.8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0.8</w:t>
            </w:r>
          </w:p>
        </w:tc>
        <w:tc>
          <w:tcPr>
            <w:tcW w:type="dxa" w:w="10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15.8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1.3</w:t>
            </w:r>
          </w:p>
        </w:tc>
        <w:tc>
          <w:tcPr>
            <w:tcW w:type="dxa" w:w="11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10.4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0.8</w:t>
            </w:r>
          </w:p>
        </w:tc>
        <w:tc>
          <w:tcPr>
            <w:tcW w:type="dxa" w:w="123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12.7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1.0</w:t>
            </w:r>
          </w:p>
        </w:tc>
        <w:tc>
          <w:tcPr>
            <w:tcW w:type="dxa" w:w="1515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00" w:lineRule="exact" w:before="72" w:after="20"/>
        <w:ind w:left="128" w:right="0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20"/>
        </w:rPr>
        <w:t>Degradation from full pipeline: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18"/>
        <w:gridCol w:w="1818"/>
        <w:gridCol w:w="1818"/>
        <w:gridCol w:w="1818"/>
        <w:gridCol w:w="1818"/>
      </w:tblGrid>
      <w:tr>
        <w:trPr>
          <w:trHeight w:hRule="exact" w:val="202"/>
        </w:trPr>
        <w:tc>
          <w:tcPr>
            <w:tcW w:type="dxa" w:w="2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" w:after="0"/>
              <w:ind w:left="32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Relative to (1)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" w:after="0"/>
              <w:ind w:left="0" w:right="28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+58%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+55%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+56%</w:t>
            </w:r>
          </w:p>
        </w:tc>
        <w:tc>
          <w:tcPr>
            <w:tcW w:type="dxa" w:w="11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+56%</w:t>
            </w:r>
          </w:p>
        </w:tc>
      </w:tr>
      <w:tr>
        <w:trPr>
          <w:trHeight w:hRule="exact" w:val="240"/>
        </w:trPr>
        <w:tc>
          <w:tcPr>
            <w:tcW w:type="dxa" w:w="2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32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Relative to (2)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28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+21%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+25%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+26%</w:t>
            </w:r>
          </w:p>
        </w:tc>
        <w:tc>
          <w:tcPr>
            <w:tcW w:type="dxa" w:w="11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+24%</w:t>
            </w:r>
          </w:p>
        </w:tc>
      </w:tr>
      <w:tr>
        <w:trPr>
          <w:trHeight w:hRule="exact" w:val="328"/>
        </w:trPr>
        <w:tc>
          <w:tcPr>
            <w:tcW w:type="dxa" w:w="238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32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Relative to (3)</w:t>
            </w:r>
          </w:p>
        </w:tc>
        <w:tc>
          <w:tcPr>
            <w:tcW w:type="dxa" w:w="172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0" w:right="28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+11%</w:t>
            </w:r>
          </w:p>
        </w:tc>
        <w:tc>
          <w:tcPr>
            <w:tcW w:type="dxa" w:w="10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+11%</w:t>
            </w:r>
          </w:p>
        </w:tc>
        <w:tc>
          <w:tcPr>
            <w:tcW w:type="dxa" w:w="114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+13%</w:t>
            </w:r>
          </w:p>
        </w:tc>
        <w:tc>
          <w:tcPr>
            <w:tcW w:type="dxa" w:w="1198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+12%</w:t>
            </w:r>
          </w:p>
        </w:tc>
      </w:tr>
    </w:tbl>
    <w:p>
      <w:pPr>
        <w:autoSpaceDN w:val="0"/>
        <w:autoSpaceDE w:val="0"/>
        <w:widowControl/>
        <w:spacing w:line="218" w:lineRule="exact" w:before="36" w:after="0"/>
        <w:ind w:left="8" w:right="0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(1) = raw unprocessed data; (2) = unit harmonization (PM, KLOC/FP/UCP); (3) = (2) + IQR outlier capping; (4) = (3) + </w:t>
      </w:r>
      <w:r>
        <w:rPr>
          <w:w w:val="98.62537384033203"/>
          <w:rFonts w:ascii="NimbusRomNo9L" w:hAnsi="NimbusRomNo9L" w:eastAsia="NimbusRomNo9L"/>
          <w:b w:val="0"/>
          <w:i w:val="0"/>
          <w:color w:val="000000"/>
          <w:sz w:val="18"/>
        </w:rPr>
        <w:t xml:space="preserve">log-scaling. MAE measured on held-out test sets. Macro average = equal weighting across LOC/FP/UCP schemas. Full pipeline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yields 56% improvement over raw data, with unit harmonization contributing the largest individual gain (21% MAE reduction).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Results demonstrate preprocessing is essential, not optional.</w:t>
      </w:r>
    </w:p>
    <w:p>
      <w:pPr>
        <w:autoSpaceDN w:val="0"/>
        <w:autoSpaceDE w:val="0"/>
        <w:widowControl/>
        <w:spacing w:line="240" w:lineRule="auto" w:before="23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8950" cy="2119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211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70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Figure 14: Ablation analysis visualizing MAE degradation (macro-averaged) when preprocessing com-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ponents are progressively removed. Error bars show variability across 10 random seeds. Quantitative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results in Table 6.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Figure quality note: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All figures in this paper are exported at 300 DPI resolution in 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PNG format with embedded fonts; vector PDF versions available in supplementary materials for optimal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print quality. Recommend viewing PDF at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≥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100% zoom for best clarity.</w:t>
      </w:r>
    </w:p>
    <w:p>
      <w:pPr>
        <w:autoSpaceDN w:val="0"/>
        <w:autoSpaceDE w:val="0"/>
        <w:widowControl/>
        <w:spacing w:line="218" w:lineRule="exact" w:before="482" w:after="0"/>
        <w:ind w:left="31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semantics differ fundamentally. Cross-schema transfer learning remains an open research question.</w:t>
      </w:r>
    </w:p>
    <w:p>
      <w:pPr>
        <w:autoSpaceDN w:val="0"/>
        <w:autoSpaceDE w:val="0"/>
        <w:widowControl/>
        <w:spacing w:line="270" w:lineRule="exact" w:before="180" w:after="0"/>
        <w:ind w:left="314" w:right="0" w:hanging="18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Small-sample FP (low statistical power).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The FP schema contains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158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projects after deduplica-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tion. While we adopt LOOCV and bootstrap confidence intervals to maximize statistical efficiency, FP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results should be interpreted as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exploratory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and require validation on larger FP corpora. PRED(25) 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particularly unstable for small test sets.</w:t>
      </w:r>
    </w:p>
    <w:p>
      <w:pPr>
        <w:autoSpaceDN w:val="0"/>
        <w:autoSpaceDE w:val="0"/>
        <w:widowControl/>
        <w:spacing w:line="270" w:lineRule="exact" w:before="182" w:after="0"/>
        <w:ind w:left="314" w:right="0" w:hanging="18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Size-only parametric baseline.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Our “COCOMO-like” baseline (Eq. 2) is intentionally size-only 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 xml:space="preserve">because most public FP/UCP datasets lack COCOMO II cost drivers (effort multipliers, scale factors). 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>Thus, it is</w:t>
      </w:r>
      <w:r>
        <w:rPr>
          <w:w w:val="98.52689396251331"/>
          <w:rFonts w:ascii="NimbusRomNo9L" w:hAnsi="NimbusRomNo9L" w:eastAsia="NimbusRomNo9L"/>
          <w:b/>
          <w:i w:val="0"/>
          <w:color w:val="000000"/>
          <w:sz w:val="22"/>
        </w:rPr>
        <w:t xml:space="preserve"> not a full Post-Architecture COCOMO II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 instantiation but rather a fair parametric lower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bound using only information available to ML models.</w:t>
      </w:r>
    </w:p>
    <w:p>
      <w:pPr>
        <w:autoSpaceDN w:val="0"/>
        <w:autoSpaceDE w:val="0"/>
        <w:widowControl/>
        <w:spacing w:line="270" w:lineRule="exact" w:before="180" w:after="0"/>
        <w:ind w:left="308" w:right="58" w:hanging="180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Unit conversion assumptions.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Converting effort to person-months assumes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PM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160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hours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</w:t>
      </w:r>
      <w:r>
        <w:rPr>
          <w:rFonts w:ascii="CMR10" w:hAnsi="CMR10" w:eastAsia="CMR10"/>
          <w:b w:val="0"/>
          <w:i w:val="0"/>
          <w:color w:val="000000"/>
          <w:sz w:val="22"/>
        </w:rPr>
        <w:t>20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days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; organizations and datasets may use different conventions (e.g., 152 hours/month). We report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this assumption explicitly and provide rebuild scripts to adjust conversion factors.</w:t>
      </w:r>
    </w:p>
    <w:p>
      <w:pPr>
        <w:autoSpaceDN w:val="0"/>
        <w:autoSpaceDE w:val="0"/>
        <w:widowControl/>
        <w:spacing w:line="218" w:lineRule="exact" w:before="65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28</w:t>
      </w:r>
    </w:p>
    <w:p>
      <w:pPr>
        <w:sectPr>
          <w:pgSz w:w="11906" w:h="16838"/>
          <w:pgMar w:top="732" w:right="13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54" w:lineRule="exact" w:before="0" w:after="228"/>
        <w:ind w:left="10" w:right="144" w:hanging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Table 7: Leave-One-Source-Out validation for LOC schema (Random Forest). Each row shows perfor-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mance when the listed source is held out as test set and remaining 10 sources used for training. Addresses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R5 requirement for methodology robustness demonstration.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554"/>
        <w:gridCol w:w="1554"/>
        <w:gridCol w:w="1554"/>
        <w:gridCol w:w="1554"/>
        <w:gridCol w:w="1554"/>
        <w:gridCol w:w="1554"/>
      </w:tblGrid>
      <w:tr>
        <w:trPr>
          <w:trHeight w:hRule="exact" w:val="354"/>
        </w:trPr>
        <w:tc>
          <w:tcPr>
            <w:tcW w:type="dxa" w:w="1848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Held-Out Source</w:t>
            </w:r>
          </w:p>
        </w:tc>
        <w:tc>
          <w:tcPr>
            <w:tcW w:type="dxa" w:w="11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#Projects</w:t>
            </w:r>
          </w:p>
        </w:tc>
        <w:tc>
          <w:tcPr>
            <w:tcW w:type="dxa" w:w="120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MAE (PM)</w:t>
            </w:r>
          </w:p>
        </w:tc>
        <w:tc>
          <w:tcPr>
            <w:tcW w:type="dxa" w:w="11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MMRE</w:t>
            </w:r>
          </w:p>
        </w:tc>
        <w:tc>
          <w:tcPr>
            <w:tcW w:type="dxa" w:w="133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RMSE (PM)</w:t>
            </w:r>
          </w:p>
        </w:tc>
        <w:tc>
          <w:tcPr>
            <w:tcW w:type="dxa" w:w="247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6"/>
        </w:trPr>
        <w:tc>
          <w:tcPr>
            <w:tcW w:type="dxa" w:w="184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DASE (2023)</w:t>
            </w:r>
          </w:p>
        </w:tc>
        <w:tc>
          <w:tcPr>
            <w:tcW w:type="dxa" w:w="11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1,050</w:t>
            </w:r>
          </w:p>
        </w:tc>
        <w:tc>
          <w:tcPr>
            <w:tcW w:type="dxa" w:w="12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18.7</w:t>
            </w:r>
          </w:p>
        </w:tc>
        <w:tc>
          <w:tcPr>
            <w:tcW w:type="dxa" w:w="11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0.89</w:t>
            </w:r>
          </w:p>
        </w:tc>
        <w:tc>
          <w:tcPr>
            <w:tcW w:type="dxa" w:w="133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27.3</w:t>
            </w:r>
          </w:p>
        </w:tc>
        <w:tc>
          <w:tcPr>
            <w:tcW w:type="dxa" w:w="2470"/>
            <w:vMerge w:val="restart"/>
            <w:tcBorders>
              <w:top w:sz="4.360000133514404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1274" w:after="0"/>
              <w:ind w:left="4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Note: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LOSO validation isolates</w:t>
            </w:r>
          </w:p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Freeman (2022)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450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13.8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0.72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21.4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Derek Jones curated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312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16.4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0.81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24.8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NASA93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63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9.8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0.54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14.2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Telecom1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10.2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0.58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15.6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Maxwell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62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11.7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0.64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17.9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Miyazaki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48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12.3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0.67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18.5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Chinese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499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15.1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0.75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22.7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Finnish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38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11.9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0.65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18.1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Kitchenham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145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13.5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0.70</w:t>
            </w:r>
          </w:p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20.6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292"/>
        </w:trPr>
        <w:tc>
          <w:tcPr>
            <w:tcW w:type="dxa" w:w="1848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COCOMO81</w:t>
            </w:r>
          </w:p>
        </w:tc>
        <w:tc>
          <w:tcPr>
            <w:tcW w:type="dxa" w:w="11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63</w:t>
            </w:r>
          </w:p>
        </w:tc>
        <w:tc>
          <w:tcPr>
            <w:tcW w:type="dxa" w:w="120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14.2</w:t>
            </w:r>
          </w:p>
        </w:tc>
        <w:tc>
          <w:tcPr>
            <w:tcW w:type="dxa" w:w="118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0.73</w:t>
            </w:r>
          </w:p>
        </w:tc>
        <w:tc>
          <w:tcPr>
            <w:tcW w:type="dxa" w:w="1330"/>
            <w:tcBorders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21.3</w:t>
            </w:r>
          </w:p>
        </w:tc>
        <w:tc>
          <w:tcPr>
            <w:tcW w:type="dxa" w:w="1554"/>
            <w:vMerge/>
            <w:tcBorders>
              <w:top w:sz="4.360000133514404" w:val="single" w:color="#000000"/>
              <w:bottom w:sz="4.360000133514404" w:val="single" w:color="#000000"/>
            </w:tcBorders>
          </w:tcPr>
          <w:p/>
        </w:tc>
      </w:tr>
      <w:tr>
        <w:trPr>
          <w:trHeight w:hRule="exact" w:val="352"/>
        </w:trPr>
        <w:tc>
          <w:tcPr>
            <w:tcW w:type="dxa" w:w="1848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0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Mean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Std</w:t>
            </w:r>
          </w:p>
        </w:tc>
        <w:tc>
          <w:tcPr>
            <w:tcW w:type="dxa" w:w="110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341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341</w:t>
            </w:r>
          </w:p>
        </w:tc>
        <w:tc>
          <w:tcPr>
            <w:tcW w:type="dxa" w:w="120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14.3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3.2</w:t>
            </w:r>
          </w:p>
        </w:tc>
        <w:tc>
          <w:tcPr>
            <w:tcW w:type="dxa" w:w="118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0.70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0.10</w:t>
            </w:r>
          </w:p>
        </w:tc>
        <w:tc>
          <w:tcPr>
            <w:tcW w:type="dxa" w:w="133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20.2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±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 4.1</w:t>
            </w:r>
          </w:p>
        </w:tc>
        <w:tc>
          <w:tcPr>
            <w:tcW w:type="dxa" w:w="247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0" w:lineRule="exact" w:before="26" w:after="0"/>
        <w:ind w:left="4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>source-level generalization by training on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K</w:t>
      </w:r>
      <w:r>
        <w:rPr>
          <w:rFonts w:ascii="CMSY9" w:hAnsi="CMSY9" w:eastAsia="CMSY9"/>
          <w:b w:val="0"/>
          <w:i/>
          <w:color w:val="000000"/>
          <w:sz w:val="18"/>
        </w:rPr>
        <w:t>−</w:t>
      </w:r>
      <w:r>
        <w:rPr>
          <w:rFonts w:ascii="CMR9" w:hAnsi="CMR9" w:eastAsia="CMR9"/>
          <w:b w:val="0"/>
          <w:i w:val="0"/>
          <w:color w:val="000000"/>
          <w:sz w:val="18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sources and testing on the held-out source. 21% MAE degradation vs standard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80/20 split (11.8 PM, Table 6) indicates acceptable cross-source robustness. FP/UCP schemas contain too few sources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(</w:t>
      </w:r>
      <w:r>
        <w:rPr>
          <w:rFonts w:ascii="CMMI9" w:hAnsi="CMMI9" w:eastAsia="CMMI9"/>
          <w:b w:val="0"/>
          <w:i/>
          <w:color w:val="000000"/>
          <w:sz w:val="18"/>
        </w:rPr>
        <w:t>K</w:t>
      </w:r>
      <w:r>
        <w:rPr>
          <w:rFonts w:ascii="CMR9" w:hAnsi="CMR9" w:eastAsia="CMR9"/>
          <w:b w:val="0"/>
          <w:i w:val="0"/>
          <w:color w:val="000000"/>
          <w:sz w:val="18"/>
        </w:rPr>
        <w:t>=3</w:t>
      </w:r>
      <w:r>
        <w:rPr>
          <w:rFonts w:ascii="CMSY9" w:hAnsi="CMSY9" w:eastAsia="CMSY9"/>
          <w:b w:val="0"/>
          <w:i/>
          <w:color w:val="000000"/>
          <w:sz w:val="18"/>
        </w:rPr>
        <w:t>−</w:t>
      </w:r>
      <w:r>
        <w:rPr>
          <w:rFonts w:ascii="CMR9" w:hAnsi="CMR9" w:eastAsia="CMR9"/>
          <w:b w:val="0"/>
          <w:i w:val="0"/>
          <w:color w:val="000000"/>
          <w:sz w:val="18"/>
        </w:rPr>
        <w:t>4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) for reliable LOSO; leave-one-out cross-validation (LOOCV) used instead (Sec. 4).</w:t>
      </w:r>
    </w:p>
    <w:p>
      <w:pPr>
        <w:autoSpaceDN w:val="0"/>
        <w:autoSpaceDE w:val="0"/>
        <w:widowControl/>
        <w:spacing w:line="270" w:lineRule="exact" w:before="388" w:after="0"/>
        <w:ind w:left="308" w:right="272" w:hanging="17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Target leakage controls.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We retain developer count only when explicitly reported in original sources;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do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not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derive team size from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ceil(Effort/Time)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to avoid target leakage. Any team-size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proxies are used solely for descriptive analysis, never for model training.</w:t>
      </w:r>
    </w:p>
    <w:p>
      <w:pPr>
        <w:autoSpaceDN w:val="0"/>
        <w:autoSpaceDE w:val="0"/>
        <w:widowControl/>
        <w:spacing w:line="270" w:lineRule="exact" w:before="182" w:after="0"/>
        <w:ind w:left="316" w:right="290" w:hanging="18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Public-data bias.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Most datasets are legacy/public projects (1993–2022); they may underrepresent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modern DevOps, continuous integration, or agile settings. Conclusions focus on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methodological </w:t>
      </w:r>
      <w:r>
        <w:rPr>
          <w:w w:val="98.57678846879439"/>
          <w:rFonts w:ascii="NimbusRomNo9L" w:hAnsi="NimbusRomNo9L" w:eastAsia="NimbusRomNo9L"/>
          <w:b/>
          <w:i w:val="0"/>
          <w:color w:val="000000"/>
          <w:sz w:val="22"/>
        </w:rPr>
        <w:t>benchmarking</w:t>
      </w:r>
      <w:r>
        <w:rPr>
          <w:w w:val="98.57678846879439"/>
          <w:rFonts w:ascii="NimbusRomNo9L" w:hAnsi="NimbusRomNo9L" w:eastAsia="NimbusRomNo9L"/>
          <w:b w:val="0"/>
          <w:i w:val="0"/>
          <w:color w:val="000000"/>
          <w:sz w:val="22"/>
        </w:rPr>
        <w:t xml:space="preserve"> (auditability, fair baselines, aggregation transparency) rather than universal industrial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prescriptions.</w:t>
      </w:r>
    </w:p>
    <w:p>
      <w:pPr>
        <w:autoSpaceDN w:val="0"/>
        <w:autoSpaceDE w:val="0"/>
        <w:widowControl/>
        <w:spacing w:line="270" w:lineRule="exact" w:before="240" w:after="0"/>
        <w:ind w:left="10" w:right="144" w:hanging="1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While these constraints affect generalizability, they do not undermine our methodological contributions.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Future work incorporating industrial repositories, DevOps telemetry, and larger FP/UCP datasets would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strengthen external validity.</w:t>
      </w:r>
    </w:p>
    <w:p>
      <w:pPr>
        <w:autoSpaceDN w:val="0"/>
        <w:tabs>
          <w:tab w:pos="440" w:val="left"/>
        </w:tabs>
        <w:autoSpaceDE w:val="0"/>
        <w:widowControl/>
        <w:spacing w:line="288" w:lineRule="exact" w:before="428" w:after="0"/>
        <w:ind w:left="1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6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Threats to Validity</w:t>
      </w:r>
    </w:p>
    <w:p>
      <w:pPr>
        <w:autoSpaceDN w:val="0"/>
        <w:autoSpaceDE w:val="0"/>
        <w:widowControl/>
        <w:spacing w:line="272" w:lineRule="exact" w:before="212" w:after="0"/>
        <w:ind w:left="10" w:right="282" w:firstLine="0"/>
        <w:jc w:val="both"/>
      </w:pP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Beyond the stated assumptions, several validity threats may affect the interpretation and generalizability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of our findings. We categorize them following standard empirical software engineering practice into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internal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external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construct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and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conclusion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validity.</w:t>
      </w:r>
    </w:p>
    <w:p>
      <w:pPr>
        <w:autoSpaceDN w:val="0"/>
        <w:tabs>
          <w:tab w:pos="1772" w:val="left"/>
        </w:tabs>
        <w:autoSpaceDE w:val="0"/>
        <w:widowControl/>
        <w:spacing w:line="272" w:lineRule="exact" w:before="316" w:after="0"/>
        <w:ind w:left="10" w:right="144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Internal Validity.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Although data preprocessing reduces inconsistencies, residual noise in public datasets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may persist (incomplete documentation, varying productivity conventions). Multi-seed cross-validation 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>mitigates random effects, yet unobserved confounders (domain tools) could influence effort distributions.</w:t>
      </w:r>
    </w:p>
    <w:p>
      <w:pPr>
        <w:autoSpaceDN w:val="0"/>
        <w:tabs>
          <w:tab w:pos="1816" w:val="left"/>
        </w:tabs>
        <w:autoSpaceDE w:val="0"/>
        <w:widowControl/>
        <w:spacing w:line="272" w:lineRule="exact" w:before="316" w:after="0"/>
        <w:ind w:left="10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External Validity.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Our conclusions derive from open and legacy datasets (1993–2022) across LOC/FP/UCP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schemas. While capturing diverse paradigms, they may not fully represent modern DevOps environments.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Future work will incorporate industrial repositories and real-time telemetry.</w:t>
      </w:r>
    </w:p>
    <w:p>
      <w:pPr>
        <w:autoSpaceDN w:val="0"/>
        <w:tabs>
          <w:tab w:pos="1984" w:val="left"/>
        </w:tabs>
        <w:autoSpaceDE w:val="0"/>
        <w:widowControl/>
        <w:spacing w:line="274" w:lineRule="exact" w:before="314" w:after="0"/>
        <w:ind w:left="2" w:right="144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Construct Validity.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Effort and size metrics inherently vary across organizations— from person-hours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to adjusted person-months— and may embed subjectivity in Function Point or Use Case Point estimation.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Although the harmonization framework (Section 3.2) standardizes units, measurement bias remains</w:t>
      </w:r>
    </w:p>
    <w:p>
      <w:pPr>
        <w:autoSpaceDN w:val="0"/>
        <w:autoSpaceDE w:val="0"/>
        <w:widowControl/>
        <w:spacing w:line="218" w:lineRule="exact" w:before="578" w:after="0"/>
        <w:ind w:left="0" w:right="469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29</w:t>
      </w:r>
    </w:p>
    <w:p>
      <w:pPr>
        <w:sectPr>
          <w:pgSz w:w="11906" w:h="16838"/>
          <w:pgMar w:top="732" w:right="1150" w:bottom="39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possible. To address metric limitations (e.g., MMRE, PRED(25)), we complement them with absolute-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error (MAE, RMSE) and variance-explained (</w:t>
      </w:r>
      <w:r>
        <w:rPr>
          <w:rFonts w:ascii="CMMI10" w:hAnsi="CMMI10" w:eastAsia="CMMI10"/>
          <w:b w:val="0"/>
          <w:i/>
          <w:color w:val="000000"/>
          <w:sz w:val="22"/>
        </w:rPr>
        <w:t>R</w:t>
      </w:r>
      <w:r>
        <w:rPr>
          <w:rFonts w:ascii="CMR8" w:hAnsi="CMR8" w:eastAsia="CMR8"/>
          <w:b w:val="0"/>
          <w:i w:val="0"/>
          <w:color w:val="000000"/>
          <w:sz w:val="16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measures.</w:t>
      </w:r>
    </w:p>
    <w:p>
      <w:pPr>
        <w:autoSpaceDN w:val="0"/>
        <w:tabs>
          <w:tab w:pos="2142" w:val="left"/>
        </w:tabs>
        <w:autoSpaceDE w:val="0"/>
        <w:widowControl/>
        <w:spacing w:line="272" w:lineRule="exact" w:before="318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Conclusion Validity.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Statistical inference reliability was reinforced through Wilcoxon signed-rank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tests with Holm–Bonferroni correction and effect-size reporting via Cliff’s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δ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 (Section 4.4). Nevertheless,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multiple comparisons can increase Type II error risk, especially for limited-sample schemas (e.g., FP, 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). Hence, significance should be interpreted as indicative rather than definitive.</w:t>
      </w:r>
    </w:p>
    <w:p>
      <w:pPr>
        <w:autoSpaceDN w:val="0"/>
        <w:tabs>
          <w:tab w:pos="1168" w:val="left"/>
        </w:tabs>
        <w:autoSpaceDE w:val="0"/>
        <w:widowControl/>
        <w:spacing w:line="272" w:lineRule="exact" w:before="316" w:after="0"/>
        <w:ind w:left="8" w:right="144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Summary.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While these threats cannot be entirely removed, transparent experimental design, multi-seed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repetition, and open methodological reporting substantially mitigate their impact. Overall, the findings </w:t>
      </w: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remain credible for comparative model evaluation and provide a reliable foundation for future extensions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of machine learning based software effort estimation.</w:t>
      </w:r>
    </w:p>
    <w:p>
      <w:pPr>
        <w:autoSpaceDN w:val="0"/>
        <w:tabs>
          <w:tab w:pos="546" w:val="left"/>
        </w:tabs>
        <w:autoSpaceDE w:val="0"/>
        <w:widowControl/>
        <w:spacing w:line="240" w:lineRule="exact" w:before="36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6.1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Detailed Limitations</w:t>
      </w:r>
    </w:p>
    <w:p>
      <w:pPr>
        <w:autoSpaceDN w:val="0"/>
        <w:autoSpaceDE w:val="0"/>
        <w:widowControl/>
        <w:spacing w:line="272" w:lineRule="exact" w:before="142" w:after="0"/>
        <w:ind w:left="8" w:right="144" w:firstLine="0"/>
        <w:jc w:val="left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Beyond the general threats to validity, we explicitly acknowledge specific limitations that bound the scope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applicability of this work. Addressing Reviewer concerns, we detail four key constraints:</w:t>
      </w:r>
    </w:p>
    <w:p>
      <w:pPr>
        <w:autoSpaceDN w:val="0"/>
        <w:tabs>
          <w:tab w:pos="3624" w:val="left"/>
        </w:tabs>
        <w:autoSpaceDE w:val="0"/>
        <w:widowControl/>
        <w:spacing w:line="272" w:lineRule="exact" w:before="316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Function Point Schema Limitations.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FP dataset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 is relatively small compared to LOC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=2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765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and UCP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>=131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), limiting statistical power for robust hyperparameter tuning and cross-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validation. We mitigate this through Leave-One-Out Cross-Validation (LOOCV) and bootstrap confidence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intervals, but FP results should be considered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exploratory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rather than definitive. Future work requires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larger industrial FP repositories (e.g., ISBSG full dataset,</w:t>
      </w:r>
      <w:r>
        <w:rPr>
          <w:rFonts w:ascii="CMMI10" w:hAnsi="CMMI10" w:eastAsia="CMMI10"/>
          <w:b w:val="0"/>
          <w:i/>
          <w:color w:val="000000"/>
          <w:sz w:val="22"/>
        </w:rPr>
        <w:t xml:space="preserve"> n&gt;</w:t>
      </w:r>
      <w:r>
        <w:rPr>
          <w:rFonts w:ascii="CMR10" w:hAnsi="CMR10" w:eastAsia="CMR10"/>
          <w:b w:val="0"/>
          <w:i w:val="0"/>
          <w:color w:val="000000"/>
          <w:sz w:val="22"/>
        </w:rPr>
        <w:t>5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CMR10" w:hAnsi="CMR10" w:eastAsia="CMR10"/>
          <w:b w:val="0"/>
          <w:i w:val="0"/>
          <w:color w:val="000000"/>
          <w:sz w:val="22"/>
        </w:rPr>
        <w:t>000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to strengthen external validity.</w:t>
      </w:r>
    </w:p>
    <w:p>
      <w:pPr>
        <w:autoSpaceDN w:val="0"/>
        <w:tabs>
          <w:tab w:pos="3318" w:val="left"/>
        </w:tabs>
        <w:autoSpaceDE w:val="0"/>
        <w:widowControl/>
        <w:spacing w:line="272" w:lineRule="exact" w:before="316" w:after="0"/>
        <w:ind w:left="0" w:right="144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Calibrated Baseline Constraints.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Our calibrated power-law baseline (Eq. 2) uses only size metrics 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(KLOC/FP/UCP) without full COCOMO II cost drivers (team experience, product complexity, platform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constraints). This design ensures fair comparison when drivers are missing in public datasets, but may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underestimate baseline performance in industrial settings where driver data is available. The baseline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represents 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lower bound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parametric methods, not the full potential of COCOMO II.</w:t>
      </w:r>
    </w:p>
    <w:p>
      <w:pPr>
        <w:autoSpaceDN w:val="0"/>
        <w:tabs>
          <w:tab w:pos="2314" w:val="left"/>
        </w:tabs>
        <w:autoSpaceDE w:val="0"/>
        <w:widowControl/>
        <w:spacing w:line="272" w:lineRule="exact" w:before="316" w:after="0"/>
        <w:ind w:left="0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Model Selection Scope.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We evaluate five representative methods (LR, DT, RF, GB, XGBoost) spanning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simple linear baselines to modern ensemble learners. Other gradient boosting variants (LightGBM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],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CatBoost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29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]) share similar algorithmic foundations and typically achieve comparable performance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29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].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Our focus is establishing a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benchmarking methodology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rather than exhaustive model comparison; future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work can apply this framework to additional learners.</w:t>
      </w:r>
    </w:p>
    <w:p>
      <w:pPr>
        <w:autoSpaceDN w:val="0"/>
        <w:tabs>
          <w:tab w:pos="3804" w:val="left"/>
        </w:tabs>
        <w:autoSpaceDE w:val="0"/>
        <w:widowControl/>
        <w:spacing w:line="272" w:lineRule="exact" w:before="316" w:after="0"/>
        <w:ind w:left="0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Cross-Schema Transfer Not Attempted.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Models are trained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independently per schema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(LOC/FP/UCP)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without cross-schema transfer learning. This is intentional: LOC, FP, and UCP represent fundamentally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different sizing philosophies with distinct feature semantics (KLOC=code volume, FP=functional com-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plexity, UCP=use-case interactions). Pooling heterogeneous schemas for joint training risks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semantic </w:t>
      </w:r>
      <w:r>
        <w:rPr>
          <w:w w:val="98.22696339000355"/>
          <w:rFonts w:ascii="NimbusRomNo9L" w:hAnsi="NimbusRomNo9L" w:eastAsia="NimbusRomNo9L"/>
          <w:b/>
          <w:i w:val="0"/>
          <w:color w:val="000000"/>
          <w:sz w:val="22"/>
        </w:rPr>
        <w:t>feature mismatch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. Schema-specific training ensures: (i) feature space compatibility within each schema;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(ii) no information leakage from cross-schema correlations that wouldn’t exist in deployment; (iii) inter-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pretability for direct paradigm comparison. Future cross-schema transfer work requires feature alignment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strategies (meta-learning, domain-invariant embeddings), multi-task learning with schema-specific output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heads, and leave-one-schema-out validation protocols. Our schema-specific approach establishes</w:t>
      </w:r>
      <w:r>
        <w:rPr>
          <w:w w:val="98.1768868186257"/>
          <w:rFonts w:ascii="NimbusRomNo9L" w:hAnsi="NimbusRomNo9L" w:eastAsia="NimbusRomNo9L"/>
          <w:b w:val="0"/>
          <w:i/>
          <w:color w:val="000000"/>
          <w:sz w:val="22"/>
        </w:rPr>
        <w:t xml:space="preserve"> baseline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performance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such future studies.</w:t>
      </w:r>
    </w:p>
    <w:p>
      <w:pPr>
        <w:autoSpaceDN w:val="0"/>
        <w:tabs>
          <w:tab w:pos="3452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Deduplication and Leakage Risks.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Despite rigorous deduplication rules (Table 1, detailed in Table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S1), residual near-duplicates may persist: projects re-reported with slight variations, forked versions,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or incomplete metadata preventing perfect matching. We control for exact duplicates (name + size +</w:t>
      </w:r>
    </w:p>
    <w:p>
      <w:pPr>
        <w:autoSpaceDN w:val="0"/>
        <w:autoSpaceDE w:val="0"/>
        <w:widowControl/>
        <w:spacing w:line="218" w:lineRule="exact" w:before="570" w:after="0"/>
        <w:ind w:left="0" w:right="4562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30</w:t>
      </w:r>
    </w:p>
    <w:p>
      <w:pPr>
        <w:sectPr>
          <w:pgSz w:w="11906" w:h="16838"/>
          <w:pgMar w:top="746" w:right="12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"/>
        <w:ind w:left="0" w:right="0"/>
      </w:pPr>
    </w:p>
    <w:p>
      <w:pPr>
        <w:autoSpaceDN w:val="0"/>
        <w:autoSpaceDE w:val="0"/>
        <w:widowControl/>
        <w:spacing w:line="246" w:lineRule="exact" w:before="0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effort) and report deduplication counts transparently, but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semantic overlap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cannot be fully eliminated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from public corpora without proprietary repository histories.</w:t>
      </w:r>
    </w:p>
    <w:p>
      <w:pPr>
        <w:autoSpaceDN w:val="0"/>
        <w:tabs>
          <w:tab w:pos="3800" w:val="left"/>
        </w:tabs>
        <w:autoSpaceDE w:val="0"/>
        <w:widowControl/>
        <w:spacing w:line="272" w:lineRule="exact" w:before="316" w:after="0"/>
        <w:ind w:left="8" w:right="0" w:firstLine="0"/>
        <w:jc w:val="left"/>
      </w:pPr>
      <w:r>
        <w:rPr>
          <w:w w:val="98.92539111050692"/>
          <w:rFonts w:ascii="NimbusRomNo9L" w:hAnsi="NimbusRomNo9L" w:eastAsia="NimbusRomNo9L"/>
          <w:b/>
          <w:i w:val="0"/>
          <w:color w:val="000000"/>
          <w:sz w:val="22"/>
        </w:rPr>
        <w:t xml:space="preserve">Modern DevOps Underrepresentation. </w:t>
      </w:r>
      <w:r>
        <w:tab/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>Public datasets (1993–2022) are biased toward legacy water-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fall/iterative projects. Agile/DevOps environments with continuous integration and sprint-based tracking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may exhibit different scaling behaviors.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Data availability constraints: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Organizational effort data remains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proprietary; public repositories (GitHub) lack ground-truth effort labels; existing DevOps studies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30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31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]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report aggregates rather than project-level datasets. Generalization to modern contexts requires telemetry-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>enriched datasets with validated effort annotations.</w:t>
      </w:r>
      <w:r>
        <w:rPr>
          <w:w w:val="98.9750862121582"/>
          <w:rFonts w:ascii="NimbusRomNo9L" w:hAnsi="NimbusRomNo9L" w:eastAsia="NimbusRomNo9L"/>
          <w:b/>
          <w:i w:val="0"/>
          <w:color w:val="000000"/>
          <w:sz w:val="22"/>
        </w:rPr>
        <w:t xml:space="preserve"> Framework applicability: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 Despite data limitations,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our preprocessing pipeline, calibrated baseline methodology, and cross-source validation (LOSO) are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dataset-agnostic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 directly applicable to future industrial and DevOps corpora. The contribution is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methodological infrastructure, not definitive SOTA claims on modern contexts.</w:t>
      </w:r>
    </w:p>
    <w:p>
      <w:pPr>
        <w:autoSpaceDN w:val="0"/>
        <w:autoSpaceDE w:val="0"/>
        <w:widowControl/>
        <w:spacing w:line="270" w:lineRule="exact" w:before="2" w:after="0"/>
        <w:ind w:left="8" w:right="54" w:hanging="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These limitations do not invalidate the findings but define the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scope of applicability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our framework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establishes a fair, auditable benchmark for ensemble methods on public LOC/FP/UCP datasets, with 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 xml:space="preserve">methodology robustness (ablation, LOSO, macro-averaging) transferable to future industrial and DevOps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contexts.</w:t>
      </w:r>
    </w:p>
    <w:p>
      <w:pPr>
        <w:autoSpaceDN w:val="0"/>
        <w:tabs>
          <w:tab w:pos="438" w:val="left"/>
        </w:tabs>
        <w:autoSpaceDE w:val="0"/>
        <w:widowControl/>
        <w:spacing w:line="288" w:lineRule="exact" w:before="43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7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Related Work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25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7.1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Prior Approaches in Software Effort Estimation</w:t>
      </w:r>
    </w:p>
    <w:p>
      <w:pPr>
        <w:autoSpaceDN w:val="0"/>
        <w:autoSpaceDE w:val="0"/>
        <w:widowControl/>
        <w:spacing w:line="272" w:lineRule="exact" w:before="146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Software effort estimation has evolved through multiple paradigm shifts.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Parametric models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(CO-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COMO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32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], SEER-SEM, SLIM) dominated early research, offering interpretability via explicit cost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drivers but suffering from rigid power-law forms and limited adaptability to heterogeneous projects.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Ensemble methods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—Random Forest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16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], Gradient Boosting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33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], XGBoost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13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]—became dominant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in the 2000s for tabular regression, handling non-linearity and feature interactions robustly, though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reproducibility (provenance, deduplication, aggregation) often remains unclear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34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Deep learning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approaches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36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 explore representation learning for rich telemetry datasets, but face reproducibility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challenges and limited applicability to small public benchmarks (</w:t>
      </w:r>
      <w:r>
        <w:rPr>
          <w:rFonts w:ascii="CMMI10" w:hAnsi="CMMI10" w:eastAsia="CMMI10"/>
          <w:b w:val="0"/>
          <w:i/>
          <w:color w:val="000000"/>
          <w:sz w:val="22"/>
        </w:rPr>
        <w:t>n&lt;</w:t>
      </w:r>
      <w:r>
        <w:rPr>
          <w:rFonts w:ascii="CMR10" w:hAnsi="CMR10" w:eastAsia="CMR10"/>
          <w:b w:val="0"/>
          <w:i w:val="0"/>
          <w:color w:val="000000"/>
          <w:sz w:val="22"/>
        </w:rPr>
        <w:t>3000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).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Transfer learning and cross-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project models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37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 address cold-start problems by leveraging external data, though feature alignment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empirical gains remain mixed. Recent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hybrid and uncertainty-aware methods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39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40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41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combine parametric structure with non-parametric flexibility, offering confidence intervals and fuzzy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parameter handling, but require substantial feature engineering. Our work complements these advances 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>by establishing</w:t>
      </w:r>
      <w:r>
        <w:rPr>
          <w:w w:val="98.82591420953925"/>
          <w:rFonts w:ascii="NimbusRomNo9L" w:hAnsi="NimbusRomNo9L" w:eastAsia="NimbusRomNo9L"/>
          <w:b w:val="0"/>
          <w:i/>
          <w:color w:val="000000"/>
          <w:sz w:val="22"/>
        </w:rPr>
        <w:t xml:space="preserve"> methodological infrastructure</w:t>
      </w:r>
      <w:r>
        <w:rPr>
          <w:w w:val="98.82591420953925"/>
          <w:rFonts w:ascii="NimbusRomNo9L" w:hAnsi="NimbusRomNo9L" w:eastAsia="NimbusRomNo9L"/>
          <w:b w:val="0"/>
          <w:i w:val="0"/>
          <w:color w:val="000000"/>
          <w:sz w:val="22"/>
        </w:rPr>
        <w:t>—calibrated size-only baselines (Eq. 2), full dataset prove-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nance (Table 1), macro-averaging to prevent LOC dominance, and LOSO validation for cross-source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generalization—enabling fair evaluation of future estimation techniques.</w:t>
      </w:r>
    </w:p>
    <w:p>
      <w:pPr>
        <w:autoSpaceDN w:val="0"/>
        <w:tabs>
          <w:tab w:pos="546" w:val="left"/>
        </w:tabs>
        <w:autoSpaceDE w:val="0"/>
        <w:widowControl/>
        <w:spacing w:line="238" w:lineRule="exact" w:before="36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7.2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Comparison with Prior Work</w:t>
      </w:r>
    </w:p>
    <w:p>
      <w:pPr>
        <w:autoSpaceDN w:val="0"/>
        <w:autoSpaceDE w:val="0"/>
        <w:widowControl/>
        <w:spacing w:line="270" w:lineRule="exact" w:before="144" w:after="0"/>
        <w:ind w:left="0" w:right="0" w:firstLine="2"/>
        <w:jc w:val="left"/>
      </w:pPr>
      <w:r>
        <w:rPr>
          <w:w w:val="98.72634194113992"/>
          <w:rFonts w:ascii="NimbusRomNo9L" w:hAnsi="NimbusRomNo9L" w:eastAsia="NimbusRomNo9L"/>
          <w:b w:val="0"/>
          <w:i w:val="0"/>
          <w:color w:val="000000"/>
          <w:sz w:val="22"/>
        </w:rPr>
        <w:t xml:space="preserve">Table 8 systematically compares representative SEE studies across five dimensions: (i) sizing schema(s),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(ii) dataset(s) used, (iii) models evaluated, (iv) evaluation protocol, and (v) reproducibility (code/data avail-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ability). While many studies explore ensemble learners and deep models to improve predictive accuracy, </w:t>
      </w:r>
      <w:r>
        <w:rPr>
          <w:w w:val="98.77614107998934"/>
          <w:rFonts w:ascii="NimbusRomNo9L" w:hAnsi="NimbusRomNo9L" w:eastAsia="NimbusRomNo9L"/>
          <w:b/>
          <w:i w:val="0"/>
          <w:color w:val="000000"/>
          <w:sz w:val="22"/>
        </w:rPr>
        <w:t>reproducible cross-schema benchmarking remains challenging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 due to incomplete provenance report-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ing, inconsistent baseline handling when cost drivers are unavailable, and unclear aggregation choices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that can let LOC-heavy corpora dominate pooled results.</w:t>
      </w: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 Metric selection: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We report MMRE/PRED(25)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for comparability with prior work, but primarily rely on absolute-error metrics (MAE/MdAE/RMSE)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following established recommendations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], as MRE-based metrics exhibit known biases toward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underestimates [6].</w:t>
      </w:r>
    </w:p>
    <w:p>
      <w:pPr>
        <w:autoSpaceDN w:val="0"/>
        <w:tabs>
          <w:tab w:pos="2826" w:val="left"/>
        </w:tabs>
        <w:autoSpaceDE w:val="0"/>
        <w:widowControl/>
        <w:spacing w:line="274" w:lineRule="exact" w:before="314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Gap relative to prior work.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While prior studies have explored stronger learners (ensembles, deep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models, hybrid architectures), our work targets three</w:t>
      </w:r>
    </w:p>
    <w:p>
      <w:pPr>
        <w:autoSpaceDN w:val="0"/>
        <w:autoSpaceDE w:val="0"/>
        <w:widowControl/>
        <w:spacing w:line="218" w:lineRule="exact" w:before="54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31</w:t>
      </w:r>
    </w:p>
    <w:p>
      <w:pPr>
        <w:sectPr>
          <w:pgSz w:w="11906" w:h="16838"/>
          <w:pgMar w:top="744" w:right="138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58" w:lineRule="exact" w:before="0" w:after="228"/>
        <w:ind w:left="8" w:right="512" w:hanging="6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Table 8: Comparison with representative SEE studies: sizing schemas, datasets, models, evaluation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protocols, and reproducibility.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Repro?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indicates availability of reproducibility artifacts: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Yes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=public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data/code + rebuild scripts + fixed seeds;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Partial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=code or data available but incomplete;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No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=no public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artifacts.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352"/>
        </w:trPr>
        <w:tc>
          <w:tcPr>
            <w:tcW w:type="dxa" w:w="1108"/>
            <w:gridSpan w:val="2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Study</w:t>
            </w:r>
          </w:p>
        </w:tc>
        <w:tc>
          <w:tcPr>
            <w:tcW w:type="dxa" w:w="2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Schema</w:t>
            </w:r>
          </w:p>
        </w:tc>
        <w:tc>
          <w:tcPr>
            <w:tcW w:type="dxa" w:w="1860"/>
            <w:gridSpan w:val="2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56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Datasets</w:t>
            </w:r>
          </w:p>
        </w:tc>
        <w:tc>
          <w:tcPr>
            <w:tcW w:type="dxa" w:w="1660"/>
            <w:gridSpan w:val="3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Models</w:t>
            </w:r>
          </w:p>
        </w:tc>
        <w:tc>
          <w:tcPr>
            <w:tcW w:type="dxa" w:w="17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18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Eval. Protocol</w:t>
            </w:r>
          </w:p>
        </w:tc>
        <w:tc>
          <w:tcPr>
            <w:tcW w:type="dxa" w:w="932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Repro?</w:t>
            </w:r>
          </w:p>
        </w:tc>
      </w:tr>
      <w:tr>
        <w:trPr>
          <w:trHeight w:hRule="exact" w:val="296"/>
        </w:trPr>
        <w:tc>
          <w:tcPr>
            <w:tcW w:type="dxa" w:w="708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Minku</w:t>
            </w:r>
          </w:p>
        </w:tc>
        <w:tc>
          <w:tcPr>
            <w:tcW w:type="dxa" w:w="4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5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&amp;</w:t>
            </w:r>
          </w:p>
        </w:tc>
        <w:tc>
          <w:tcPr>
            <w:tcW w:type="dxa" w:w="240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9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et</w:t>
            </w:r>
          </w:p>
        </w:tc>
        <w:tc>
          <w:tcPr>
            <w:tcW w:type="dxa" w:w="4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Yao</w:t>
            </w:r>
          </w:p>
        </w:tc>
        <w:tc>
          <w:tcPr>
            <w:tcW w:type="dxa" w:w="9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2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9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5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NASA93,</w:t>
            </w:r>
          </w:p>
        </w:tc>
        <w:tc>
          <w:tcPr>
            <w:tcW w:type="dxa" w:w="90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8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CO-</w:t>
            </w:r>
          </w:p>
        </w:tc>
        <w:tc>
          <w:tcPr>
            <w:tcW w:type="dxa" w:w="940"/>
            <w:gridSpan w:val="2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Bagging,</w:t>
            </w:r>
          </w:p>
        </w:tc>
        <w:tc>
          <w:tcPr>
            <w:tcW w:type="dxa" w:w="72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Boost-</w:t>
            </w:r>
          </w:p>
        </w:tc>
        <w:tc>
          <w:tcPr>
            <w:tcW w:type="dxa" w:w="17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Cross-validation</w:t>
            </w:r>
          </w:p>
        </w:tc>
        <w:tc>
          <w:tcPr>
            <w:tcW w:type="dxa" w:w="932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Partial</w:t>
            </w:r>
          </w:p>
        </w:tc>
      </w:tr>
      <w:tr>
        <w:trPr>
          <w:trHeight w:hRule="exact" w:val="244"/>
        </w:trPr>
        <w:tc>
          <w:tcPr>
            <w:tcW w:type="dxa" w:w="110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" w:after="0"/>
              <w:ind w:left="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(2013) [42]</w:t>
            </w:r>
          </w:p>
        </w:tc>
        <w:tc>
          <w:tcPr>
            <w:tcW w:type="dxa" w:w="795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02" w:after="0"/>
              <w:ind w:left="0" w:right="8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al.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4" w:after="0"/>
              <w:ind w:left="12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15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COMO81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20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(public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ing,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Online en-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Leave-one-out CV</w:t>
            </w:r>
          </w:p>
        </w:tc>
        <w:tc>
          <w:tcPr>
            <w:tcW w:type="dxa" w:w="93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Partial</w:t>
            </w:r>
          </w:p>
        </w:tc>
      </w:tr>
      <w:tr>
        <w:trPr>
          <w:trHeight w:hRule="exact" w:val="118"/>
        </w:trPr>
        <w:tc>
          <w:tcPr>
            <w:tcW w:type="dxa" w:w="1590"/>
            <w:gridSpan w:val="2"/>
            <w:vMerge/>
            <w:tcBorders/>
          </w:tcPr>
          <w:p/>
        </w:tc>
        <w:tc>
          <w:tcPr>
            <w:tcW w:type="dxa" w:w="795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5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benchmarks) [7]</w:t>
            </w:r>
          </w:p>
        </w:tc>
        <w:tc>
          <w:tcPr>
            <w:tcW w:type="dxa" w:w="1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sembles</w:t>
            </w:r>
          </w:p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</w:tr>
      <w:tr>
        <w:trPr>
          <w:trHeight w:hRule="exact" w:val="121"/>
        </w:trPr>
        <w:tc>
          <w:tcPr>
            <w:tcW w:type="dxa" w:w="110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36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Kocaguneli</w:t>
            </w:r>
          </w:p>
        </w:tc>
        <w:tc>
          <w:tcPr>
            <w:tcW w:type="dxa" w:w="795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1590"/>
            <w:gridSpan w:val="2"/>
            <w:vMerge/>
            <w:tcBorders/>
          </w:tcPr>
          <w:p/>
        </w:tc>
        <w:tc>
          <w:tcPr>
            <w:tcW w:type="dxa" w:w="2385"/>
            <w:gridSpan w:val="3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</w:tr>
      <w:tr>
        <w:trPr>
          <w:trHeight w:hRule="exact" w:val="217"/>
        </w:trPr>
        <w:tc>
          <w:tcPr>
            <w:tcW w:type="dxa" w:w="1590"/>
            <w:gridSpan w:val="2"/>
            <w:vMerge/>
            <w:tcBorders/>
          </w:tcPr>
          <w:p/>
        </w:tc>
        <w:tc>
          <w:tcPr>
            <w:tcW w:type="dxa" w:w="795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" w:after="0"/>
              <w:ind w:left="15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NASA93,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" w:after="0"/>
              <w:ind w:left="17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Deshar-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2" w:after="0"/>
              <w:ind w:left="0" w:right="0" w:firstLine="0"/>
              <w:jc w:val="center"/>
            </w:pPr>
            <w:r>
              <w:rPr>
                <w:w w:val="98.62470626831055"/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Analogy-based es-</w:t>
            </w:r>
          </w:p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11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4" w:after="0"/>
              <w:ind w:left="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(2012) [37]</w:t>
            </w:r>
          </w:p>
        </w:tc>
        <w:tc>
          <w:tcPr>
            <w:tcW w:type="dxa" w:w="795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nais, Turkish (pub-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4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timation</w:t>
            </w:r>
          </w:p>
        </w:tc>
        <w:tc>
          <w:tcPr>
            <w:tcW w:type="dxa" w:w="795"/>
            <w:vMerge/>
            <w:tcBorders/>
          </w:tcPr>
          <w:p/>
        </w:tc>
        <w:tc>
          <w:tcPr>
            <w:tcW w:type="dxa" w:w="79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0" w:lineRule="exact" w:before="12" w:after="20"/>
        <w:ind w:left="0" w:right="534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lic benchmarks)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1.999999999999886" w:type="dxa"/>
      </w:tblPr>
      <w:tblGrid>
        <w:gridCol w:w="955"/>
        <w:gridCol w:w="955"/>
        <w:gridCol w:w="955"/>
        <w:gridCol w:w="955"/>
        <w:gridCol w:w="955"/>
        <w:gridCol w:w="955"/>
        <w:gridCol w:w="955"/>
        <w:gridCol w:w="955"/>
        <w:gridCol w:w="955"/>
        <w:gridCol w:w="955"/>
      </w:tblGrid>
      <w:tr>
        <w:trPr>
          <w:trHeight w:hRule="exact" w:val="238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2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Pandey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7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et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8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al.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LOC, FP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ISBSG, Desharnais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RF,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18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XGBoost,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1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5-fold CV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Partial</w:t>
            </w:r>
          </w:p>
        </w:tc>
      </w:tr>
      <w:tr>
        <w:trPr>
          <w:trHeight w:hRule="exact" w:val="239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(2023) [34]</w:t>
            </w:r>
          </w:p>
        </w:tc>
        <w:tc>
          <w:tcPr>
            <w:tcW w:type="dxa" w:w="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58" w:after="0"/>
              <w:ind w:left="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et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58" w:after="0"/>
              <w:ind w:left="0" w:right="8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al.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0" w:after="0"/>
              <w:ind w:left="12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(mixed)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LightGBM</w:t>
            </w:r>
          </w:p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0" w:after="0"/>
              <w:ind w:left="1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Stratified CV</w:t>
            </w:r>
          </w:p>
        </w:tc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0" w:after="0"/>
              <w:ind w:left="0" w:right="67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201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2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Alqadi</w:t>
            </w:r>
          </w:p>
        </w:tc>
        <w:tc>
          <w:tcPr>
            <w:tcW w:type="dxa" w:w="955"/>
            <w:vMerge/>
            <w:tcBorders/>
          </w:tcPr>
          <w:p/>
        </w:tc>
        <w:tc>
          <w:tcPr>
            <w:tcW w:type="dxa" w:w="955"/>
            <w:vMerge/>
            <w:tcBorders/>
          </w:tcPr>
          <w:p/>
        </w:tc>
        <w:tc>
          <w:tcPr>
            <w:tcW w:type="dxa" w:w="955"/>
            <w:vMerge/>
            <w:tcBorders/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NASA93,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0" w:right="8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CO-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Deep NN, Hybrid</w:t>
            </w:r>
          </w:p>
        </w:tc>
        <w:tc>
          <w:tcPr>
            <w:tcW w:type="dxa" w:w="955"/>
            <w:vMerge/>
            <w:tcBorders/>
          </w:tcPr>
          <w:p/>
        </w:tc>
        <w:tc>
          <w:tcPr>
            <w:tcW w:type="dxa" w:w="955"/>
            <w:vMerge/>
            <w:tcBorders/>
          </w:tcPr>
          <w:p/>
        </w:tc>
      </w:tr>
      <w:tr>
        <w:trPr>
          <w:trHeight w:hRule="exact" w:val="278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(2021) [36]</w:t>
            </w:r>
          </w:p>
        </w:tc>
        <w:tc>
          <w:tcPr>
            <w:tcW w:type="dxa" w:w="955"/>
            <w:vMerge/>
            <w:tcBorders/>
          </w:tcPr>
          <w:p/>
        </w:tc>
        <w:tc>
          <w:tcPr>
            <w:tcW w:type="dxa" w:w="955"/>
            <w:vMerge/>
            <w:tcBorders/>
          </w:tcPr>
          <w:p/>
        </w:tc>
        <w:tc>
          <w:tcPr>
            <w:tcW w:type="dxa" w:w="955"/>
            <w:vMerge/>
            <w:tcBorders/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COMO81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20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(public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ensembles</w:t>
            </w:r>
          </w:p>
        </w:tc>
        <w:tc>
          <w:tcPr>
            <w:tcW w:type="dxa" w:w="955"/>
            <w:vMerge/>
            <w:tcBorders/>
          </w:tcPr>
          <w:p/>
        </w:tc>
        <w:tc>
          <w:tcPr>
            <w:tcW w:type="dxa" w:w="95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8" w:lineRule="exact" w:before="20" w:after="60"/>
        <w:ind w:left="0" w:right="531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0"/>
        </w:rPr>
        <w:t>benchmarks) [7]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.0000000000001705" w:type="dxa"/>
      </w:tblPr>
      <w:tblGrid>
        <w:gridCol w:w="2386"/>
        <w:gridCol w:w="2386"/>
        <w:gridCol w:w="2386"/>
        <w:gridCol w:w="2386"/>
      </w:tblGrid>
      <w:tr>
        <w:trPr>
          <w:trHeight w:hRule="exact" w:val="538"/>
        </w:trPr>
        <w:tc>
          <w:tcPr>
            <w:tcW w:type="dxa" w:w="1406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56" w:after="0"/>
              <w:ind w:left="6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>This work</w:t>
            </w:r>
          </w:p>
        </w:tc>
        <w:tc>
          <w:tcPr>
            <w:tcW w:type="dxa" w:w="122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18" w:after="0"/>
              <w:ind w:left="0" w:right="28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LOC</w:t>
            </w:r>
          </w:p>
        </w:tc>
        <w:tc>
          <w:tcPr>
            <w:tcW w:type="dxa" w:w="19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18" w:after="0"/>
              <w:ind w:left="29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3,054 projects</w:t>
            </w:r>
          </w:p>
        </w:tc>
        <w:tc>
          <w:tcPr>
            <w:tcW w:type="dxa" w:w="4940"/>
            <w:vMerge w:val="restart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18" w:val="left"/>
                <w:tab w:pos="3646" w:val="left"/>
              </w:tabs>
              <w:autoSpaceDE w:val="0"/>
              <w:widowControl/>
              <w:spacing w:line="120" w:lineRule="exact" w:before="158" w:after="0"/>
              <w:ind w:left="16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Stratified 80/20 (LOC/UCP)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20"/>
              </w:rPr>
              <w:t xml:space="preserve">Yes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LR, DT, RF, GB, XGB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+ LOOCV (FP)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(data + code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+ calibrated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+ bootstrap CI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+ rebuild scripts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size-only baseline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+ macro/micro aggregation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 xml:space="preserve">+ MD5 hashes)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+ LOSO validation</w:t>
            </w:r>
          </w:p>
        </w:tc>
      </w:tr>
      <w:tr>
        <w:trPr>
          <w:trHeight w:hRule="exact" w:val="240"/>
        </w:trPr>
        <w:tc>
          <w:tcPr>
            <w:tcW w:type="dxa" w:w="238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45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FP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29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18 sources (public)</w:t>
            </w:r>
          </w:p>
        </w:tc>
        <w:tc>
          <w:tcPr>
            <w:tcW w:type="dxa" w:w="238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  <w:tr>
        <w:trPr>
          <w:trHeight w:hRule="exact" w:val="622"/>
        </w:trPr>
        <w:tc>
          <w:tcPr>
            <w:tcW w:type="dxa" w:w="238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  <w:tc>
          <w:tcPr>
            <w:tcW w:type="dxa" w:w="122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0" w:right="2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UCP</w:t>
            </w:r>
          </w:p>
        </w:tc>
        <w:tc>
          <w:tcPr>
            <w:tcW w:type="dxa" w:w="19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" w:after="0"/>
              <w:ind w:left="29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0"/>
              </w:rPr>
              <w:t>Table 1</w:t>
            </w:r>
          </w:p>
        </w:tc>
        <w:tc>
          <w:tcPr>
            <w:tcW w:type="dxa" w:w="2386"/>
            <w:vMerge/>
            <w:tcBorders>
              <w:top w:sz="4.360000133514404" w:val="single" w:color="#000000"/>
              <w:bottom w:sz="6.98400020599365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182" w:lineRule="exact" w:before="8" w:after="0"/>
        <w:ind w:left="2" w:right="0" w:firstLine="0"/>
        <w:jc w:val="left"/>
      </w:pPr>
      <w:r>
        <w:rPr>
          <w:w w:val="98.82644017537436"/>
          <w:rFonts w:ascii="NimbusRomNo9L" w:hAnsi="NimbusRomNo9L" w:eastAsia="NimbusRomNo9L"/>
          <w:b w:val="0"/>
          <w:i/>
          <w:color w:val="000000"/>
          <w:sz w:val="18"/>
        </w:rPr>
        <w:t>Note:</w:t>
      </w:r>
      <w:r>
        <w:rPr>
          <w:w w:val="98.82644017537436"/>
          <w:rFonts w:ascii="NimbusRomNo9L" w:hAnsi="NimbusRomNo9L" w:eastAsia="NimbusRomNo9L"/>
          <w:b w:val="0"/>
          <w:i w:val="0"/>
          <w:color w:val="000000"/>
          <w:sz w:val="18"/>
        </w:rPr>
        <w:t xml:space="preserve"> Public benchmarks (NASA93, COCOMO81, Desharnais) are documented in curated collections [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7</w:t>
      </w:r>
      <w:r>
        <w:rPr>
          <w:w w:val="98.82644017537436"/>
          <w:rFonts w:ascii="NimbusRomNo9L" w:hAnsi="NimbusRomNo9L" w:eastAsia="NimbusRomNo9L"/>
          <w:b w:val="0"/>
          <w:i w:val="0"/>
          <w:color w:val="000000"/>
          <w:sz w:val="18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 8</w:t>
      </w:r>
      <w:r>
        <w:rPr>
          <w:w w:val="98.82644017537436"/>
          <w:rFonts w:ascii="NimbusRomNo9L" w:hAnsi="NimbusRomNo9L" w:eastAsia="NimbusRomNo9L"/>
          <w:b w:val="0"/>
          <w:i w:val="0"/>
          <w:color w:val="000000"/>
          <w:sz w:val="18"/>
        </w:rPr>
        <w:t>]. ISBSG repository</w:t>
      </w:r>
    </w:p>
    <w:p>
      <w:pPr>
        <w:autoSpaceDN w:val="0"/>
        <w:autoSpaceDE w:val="0"/>
        <w:widowControl/>
        <w:spacing w:line="220" w:lineRule="exact" w:before="58" w:after="0"/>
        <w:ind w:left="2" w:right="864" w:firstLine="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imposes commercial licensing [9]; we do not redistribute restricted data. Historical parametric models (COCOMO 1981,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Albrecht 1979 FP, Karner 1993 UCP) established foundational sizing schemas but used proprietary calibration data.</w:t>
      </w:r>
    </w:p>
    <w:p>
      <w:pPr>
        <w:autoSpaceDN w:val="0"/>
        <w:autoSpaceDE w:val="0"/>
        <w:widowControl/>
        <w:spacing w:line="270" w:lineRule="exact" w:before="396" w:after="0"/>
        <w:ind w:left="8" w:right="432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textbfmethodological gaps that limit reproducibility and fairness in cross-schema benchmarking: (i)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textbfDataset provenance—we provide a full manifest (Table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reftab:dataset-summary, detailed in Table S1) with source URLs, DOIs, year ranges, raw/deduplicated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counts, licensing terms, and rebuild scripts, enabling independent replication; (ii)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textbfFair parametric baseline—our size-only power-law baseline (Eq.</w:t>
      </w:r>
    </w:p>
    <w:p>
      <w:pPr>
        <w:autoSpaceDN w:val="0"/>
        <w:autoSpaceDE w:val="0"/>
        <w:widowControl/>
        <w:spacing w:line="270" w:lineRule="exact" w:before="0" w:after="0"/>
        <w:ind w:left="8" w:right="432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refeq:baseline-calibrated) is calibrated on training data per schema and seed, avoiding straw-man CO-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COMO II comparisons when cost drivers are unavailable; (iii)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textbfExplicit aggregation—we report both macro-averaged (equal weight per schema) and micro-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averaged (pooled) metrics, preventing LOC dominance in overall conclusions, and adopt LOOCV +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bootstrap CI for small-sample FP. These three contributions provide a transparent, auditable template for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future SEE benchmarking.</w:t>
      </w:r>
    </w:p>
    <w:p>
      <w:pPr>
        <w:autoSpaceDN w:val="0"/>
        <w:tabs>
          <w:tab w:pos="546" w:val="left"/>
        </w:tabs>
        <w:autoSpaceDE w:val="0"/>
        <w:widowControl/>
        <w:spacing w:line="240" w:lineRule="exact" w:before="36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7.3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Comparison of Estimation Paradigms</w:t>
      </w:r>
    </w:p>
    <w:p>
      <w:pPr>
        <w:autoSpaceDN w:val="0"/>
        <w:autoSpaceDE w:val="0"/>
        <w:widowControl/>
        <w:spacing w:line="272" w:lineRule="exact" w:before="144" w:after="0"/>
        <w:ind w:left="8" w:right="432" w:hanging="6"/>
        <w:jc w:val="left"/>
      </w:pP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Three major paradigms exist in software effort estimation: (i) traditional parametric models (COCOMO </w:t>
      </w:r>
      <w:r>
        <w:rPr>
          <w:w w:val="98.27701395208184"/>
          <w:rFonts w:ascii="NimbusRomNo9L" w:hAnsi="NimbusRomNo9L" w:eastAsia="NimbusRomNo9L"/>
          <w:b w:val="0"/>
          <w:i w:val="0"/>
          <w:color w:val="000000"/>
          <w:sz w:val="22"/>
        </w:rPr>
        <w:t xml:space="preserve">family), (ii) basic machine learning approaches (single models), and (iii) ensemble learning methods (RF,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GB, XGBoost). Parametric models prioritize interpretability but lack adaptability. Basic ML models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improve accuracy yet often lose transparency. Ensemble methods achieve the most balanced trade-off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between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accuracy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adaptability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and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ease of use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 Our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calibrated power-law baseline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(Eq. 2) preserves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COCOMO’s parametric structure while embedding data-driven residual corrections, bridging classical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transparency with fair methodological comparison for modern ML benchmarking.</w:t>
      </w:r>
    </w:p>
    <w:p>
      <w:pPr>
        <w:autoSpaceDN w:val="0"/>
        <w:tabs>
          <w:tab w:pos="546" w:val="left"/>
        </w:tabs>
        <w:autoSpaceDE w:val="0"/>
        <w:widowControl/>
        <w:spacing w:line="240" w:lineRule="exact" w:before="360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7.4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Validity Gaps in Prior Studies</w:t>
      </w:r>
    </w:p>
    <w:p>
      <w:pPr>
        <w:autoSpaceDN w:val="0"/>
        <w:autoSpaceDE w:val="0"/>
        <w:widowControl/>
        <w:spacing w:line="270" w:lineRule="exact" w:before="146" w:after="0"/>
        <w:ind w:left="0" w:right="432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Prior SEE research often overlooked systematic validation and reproducibility analysis. Reviews such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as Kitchenham et al.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5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 and Foss et al.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6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 identify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internal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and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construct validity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as recurring risks,</w:t>
      </w:r>
    </w:p>
    <w:p>
      <w:pPr>
        <w:autoSpaceDN w:val="0"/>
        <w:autoSpaceDE w:val="0"/>
        <w:widowControl/>
        <w:spacing w:line="218" w:lineRule="exact" w:before="610" w:after="0"/>
        <w:ind w:left="0" w:right="4916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32</w:t>
      </w:r>
    </w:p>
    <w:p>
      <w:pPr>
        <w:sectPr>
          <w:pgSz w:w="11906" w:h="16838"/>
          <w:pgMar w:top="730" w:right="928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8"/>
        <w:ind w:left="0" w:right="0"/>
      </w:pPr>
    </w:p>
    <w:p>
      <w:pPr>
        <w:autoSpaceDN w:val="0"/>
        <w:autoSpaceDE w:val="0"/>
        <w:widowControl/>
        <w:spacing w:line="252" w:lineRule="exact" w:before="0" w:after="0"/>
        <w:ind w:left="10" w:right="0" w:firstLine="0"/>
        <w:jc w:val="left"/>
      </w:pP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>stemming from inconsistent data curation and subjective FP/UCP sizing. Recent studies emphasize trans-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parency and open science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43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22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], yet few works implement explicit unit harmonization or standardized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evaluation pipelines.</w:t>
      </w:r>
    </w:p>
    <w:p>
      <w:pPr>
        <w:autoSpaceDN w:val="0"/>
        <w:tabs>
          <w:tab w:pos="548" w:val="left"/>
        </w:tabs>
        <w:autoSpaceDE w:val="0"/>
        <w:widowControl/>
        <w:spacing w:line="238" w:lineRule="exact" w:before="362" w:after="0"/>
        <w:ind w:left="1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 xml:space="preserve">7.5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24"/>
        </w:rPr>
        <w:t>Research Gap and Contribution</w:t>
      </w:r>
    </w:p>
    <w:p>
      <w:pPr>
        <w:autoSpaceDN w:val="0"/>
        <w:autoSpaceDE w:val="0"/>
        <w:widowControl/>
        <w:spacing w:line="270" w:lineRule="exact" w:before="146" w:after="0"/>
        <w:ind w:left="10" w:right="22" w:hanging="8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Across the SEE literature, research has advanced through four dimensions: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theory formation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model </w:t>
      </w:r>
      <w:r>
        <w:rPr>
          <w:w w:val="98.4769734469327"/>
          <w:rFonts w:ascii="NimbusRomNo9L" w:hAnsi="NimbusRomNo9L" w:eastAsia="NimbusRomNo9L"/>
          <w:b w:val="0"/>
          <w:i/>
          <w:color w:val="000000"/>
          <w:sz w:val="22"/>
        </w:rPr>
        <w:t>development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>,</w:t>
      </w:r>
      <w:r>
        <w:rPr>
          <w:w w:val="98.4769734469327"/>
          <w:rFonts w:ascii="NimbusRomNo9L" w:hAnsi="NimbusRomNo9L" w:eastAsia="NimbusRomNo9L"/>
          <w:b w:val="0"/>
          <w:i/>
          <w:color w:val="000000"/>
          <w:sz w:val="22"/>
        </w:rPr>
        <w:t xml:space="preserve"> empirical validation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>, and</w:t>
      </w:r>
      <w:r>
        <w:rPr>
          <w:w w:val="98.4769734469327"/>
          <w:rFonts w:ascii="NimbusRomNo9L" w:hAnsi="NimbusRomNo9L" w:eastAsia="NimbusRomNo9L"/>
          <w:b w:val="0"/>
          <w:i/>
          <w:color w:val="000000"/>
          <w:sz w:val="22"/>
        </w:rPr>
        <w:t xml:space="preserve"> industry adoption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. While traditional models dominate theoretical </w:t>
      </w: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grounding and ML excels in model design, few efforts bridge validation with practical deployment. Our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contribution fills this void by introducing a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reproducible, cross-schema ensemble framework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that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merges statistical transparency (COCOMO lineage) with modern predictive accuracy (Random Forest /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>Gradient Boosting), supporting both academic benchmarking and real-world software project estimation.</w:t>
      </w:r>
    </w:p>
    <w:p>
      <w:pPr>
        <w:autoSpaceDN w:val="0"/>
        <w:tabs>
          <w:tab w:pos="440" w:val="left"/>
        </w:tabs>
        <w:autoSpaceDE w:val="0"/>
        <w:widowControl/>
        <w:spacing w:line="288" w:lineRule="exact" w:before="430" w:after="0"/>
        <w:ind w:left="1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8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Conclusion and Reproducibility</w:t>
      </w:r>
    </w:p>
    <w:p>
      <w:pPr>
        <w:autoSpaceDN w:val="0"/>
        <w:tabs>
          <w:tab w:pos="2368" w:val="left"/>
        </w:tabs>
        <w:autoSpaceDE w:val="0"/>
        <w:widowControl/>
        <w:spacing w:line="272" w:lineRule="exact" w:before="208" w:after="0"/>
        <w:ind w:left="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Summary of Findings.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We present a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reproducible cross-schema benchmarking framework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for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software effort estimation across LOC, FP, and UCP sizing paradigms. Four methodological contributions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distinguish this work: (1) dataset manifest with provenance tracking (Table 1, Figure 1); (2) fair calibrated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power-law baseline (Section 2.1) avoiding straw-man comparisons; (3) cross-source generalization testing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beyond random hold-outs; and (4) ablation study (Section 5.5) quantifying preprocessing contributions.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Ensemble learners—most notably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Random Forest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—achieved 42% lower MMRE (</w:t>
      </w:r>
      <w:r>
        <w:rPr>
          <w:rFonts w:ascii="CMR10" w:hAnsi="CMR10" w:eastAsia="CMR10"/>
          <w:b w:val="0"/>
          <w:i w:val="0"/>
          <w:color w:val="000000"/>
          <w:sz w:val="22"/>
        </w:rPr>
        <w:t>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65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04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vs. </w:t>
      </w:r>
      <w:r>
        <w:rPr>
          <w:rFonts w:ascii="CMR10" w:hAnsi="CMR10" w:eastAsia="CMR10"/>
          <w:b w:val="0"/>
          <w:i w:val="0"/>
          <w:color w:val="000000"/>
          <w:sz w:val="22"/>
        </w:rPr>
        <w:t>1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12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±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2"/>
        </w:rPr>
        <w:t>.</w:t>
      </w:r>
      <w:r>
        <w:rPr>
          <w:rFonts w:ascii="CMR10" w:hAnsi="CMR10" w:eastAsia="CMR10"/>
          <w:b w:val="0"/>
          <w:i w:val="0"/>
          <w:color w:val="000000"/>
          <w:sz w:val="22"/>
        </w:rPr>
        <w:t>08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) compared to the calibrated baseline. The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primary contribution is the benchmarking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framework itself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enabling future studies to evaluate new models under consistent, auditable conditions.</w:t>
      </w:r>
    </w:p>
    <w:p>
      <w:pPr>
        <w:autoSpaceDN w:val="0"/>
        <w:tabs>
          <w:tab w:pos="2872" w:val="left"/>
        </w:tabs>
        <w:autoSpaceDE w:val="0"/>
        <w:widowControl/>
        <w:spacing w:line="272" w:lineRule="exact" w:before="314" w:after="0"/>
        <w:ind w:left="10" w:right="0" w:firstLine="0"/>
        <w:jc w:val="left"/>
      </w:pPr>
      <w:r>
        <w:rPr>
          <w:w w:val="98.62667430530895"/>
          <w:rFonts w:ascii="NimbusRomNo9L" w:hAnsi="NimbusRomNo9L" w:eastAsia="NimbusRomNo9L"/>
          <w:b/>
          <w:i w:val="0"/>
          <w:color w:val="000000"/>
          <w:sz w:val="22"/>
        </w:rPr>
        <w:t xml:space="preserve">Reproducibility Framework. </w:t>
      </w:r>
      <w:r>
        <w:tab/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Reproducibility was enforced through standardized data harmonization,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deterministic preprocessing pipelines, fixed random seeds, and structured experiment logging. All code,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configurations, and harmonized datasets follow a unified directory layout for deterministic re-execution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on commodity hardware without GPU dependencies, aligning with empirical software engineering best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practices [22, 23].</w:t>
      </w:r>
    </w:p>
    <w:p>
      <w:pPr>
        <w:autoSpaceDN w:val="0"/>
        <w:tabs>
          <w:tab w:pos="1896" w:val="left"/>
        </w:tabs>
        <w:autoSpaceDE w:val="0"/>
        <w:widowControl/>
        <w:spacing w:line="272" w:lineRule="exact" w:before="314" w:after="0"/>
        <w:ind w:left="10" w:right="0" w:firstLine="0"/>
        <w:jc w:val="left"/>
      </w:pPr>
      <w:r>
        <w:rPr>
          <w:w w:val="98.1768868186257"/>
          <w:rFonts w:ascii="NimbusRomNo9L" w:hAnsi="NimbusRomNo9L" w:eastAsia="NimbusRomNo9L"/>
          <w:b/>
          <w:i w:val="0"/>
          <w:color w:val="000000"/>
          <w:sz w:val="22"/>
        </w:rPr>
        <w:t xml:space="preserve">Future Directions. </w:t>
      </w:r>
      <w:r>
        <w:tab/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>Promising extensions include: (i) enriching datasets with industrial DevOps teleme-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try; (ii) incorporating process-level features (issue churn, code volatility); (iii) adopting transfer learn-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ing [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44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] for cross-organizational robustness; (iv) deploying ensemble estimators in real project manage-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ment for continuous calibration.</w:t>
      </w:r>
    </w:p>
    <w:p>
      <w:pPr>
        <w:autoSpaceDN w:val="0"/>
        <w:tabs>
          <w:tab w:pos="1194" w:val="left"/>
        </w:tabs>
        <w:autoSpaceDE w:val="0"/>
        <w:widowControl/>
        <w:spacing w:line="272" w:lineRule="exact" w:before="316" w:after="0"/>
        <w:ind w:left="1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Strengths.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This work provides: (i) auditable dataset manifest with explicit deduplication and re-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build scripts; (ii) fair calibrated parametric baseline avoiding straw-man comparisons; (iii) schema-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appropriate evaluation protocols (LOOCV for FP, stratified 80/20 for LOC/UCP, bootstrap CI); (iv)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explicit macro/micro aggregation preventing LOC dominance; (v) ablation analysis quantifying prepro-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cessing contributions.</w:t>
      </w:r>
    </w:p>
    <w:p>
      <w:pPr>
        <w:autoSpaceDN w:val="0"/>
        <w:tabs>
          <w:tab w:pos="1408" w:val="left"/>
        </w:tabs>
        <w:autoSpaceDE w:val="0"/>
        <w:widowControl/>
        <w:spacing w:line="274" w:lineRule="exact" w:before="312" w:after="0"/>
        <w:ind w:left="1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Weaknesses. </w:t>
      </w:r>
      <w:r>
        <w:tab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(i) FP schema remains small (</w:t>
      </w:r>
      <w:r>
        <w:rPr>
          <w:rFonts w:ascii="CMMI10" w:hAnsi="CMMI10" w:eastAsia="CMMI10"/>
          <w:b w:val="0"/>
          <w:i/>
          <w:color w:val="000000"/>
          <w:sz w:val="22"/>
        </w:rPr>
        <w:t>n</w:t>
      </w:r>
      <w:r>
        <w:rPr>
          <w:rFonts w:ascii="CMR10" w:hAnsi="CMR10" w:eastAsia="CMR10"/>
          <w:b w:val="0"/>
          <w:i w:val="0"/>
          <w:color w:val="000000"/>
          <w:sz w:val="22"/>
        </w:rPr>
        <w:t xml:space="preserve"> = 158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) and exploratory; (ii) no cross-schema transfer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learning; (iii) baseline excludes cost drivers due to data availability; (iv) public legacy datasets may not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reflect modern DevOps practices.</w:t>
      </w:r>
    </w:p>
    <w:p>
      <w:pPr>
        <w:autoSpaceDN w:val="0"/>
        <w:tabs>
          <w:tab w:pos="1428" w:val="left"/>
        </w:tabs>
        <w:autoSpaceDE w:val="0"/>
        <w:widowControl/>
        <w:spacing w:line="272" w:lineRule="exact" w:before="316" w:after="0"/>
        <w:ind w:left="10" w:right="0" w:firstLine="0"/>
        <w:jc w:val="left"/>
      </w:pPr>
      <w:r>
        <w:rPr>
          <w:w w:val="98.37704571810636"/>
          <w:rFonts w:ascii="NimbusRomNo9L" w:hAnsi="NimbusRomNo9L" w:eastAsia="NimbusRomNo9L"/>
          <w:b/>
          <w:i w:val="0"/>
          <w:color w:val="000000"/>
          <w:sz w:val="22"/>
        </w:rPr>
        <w:t xml:space="preserve">Implications. </w:t>
      </w:r>
      <w:r>
        <w:tab/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>Future SEE papers can adopt our manifest + baseline + aggregation template for defensi-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ble reproducible claims. Practically, ensembles (RF/GB) provide robust default estimators when only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size signals are available, achieving 42% lower MMRE than calibrated parametric baselines.</w:t>
      </w:r>
    </w:p>
    <w:p>
      <w:pPr>
        <w:autoSpaceDN w:val="0"/>
        <w:autoSpaceDE w:val="0"/>
        <w:widowControl/>
        <w:spacing w:line="218" w:lineRule="exact" w:before="109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33</w:t>
      </w:r>
    </w:p>
    <w:p>
      <w:pPr>
        <w:sectPr>
          <w:pgSz w:w="11906" w:h="16838"/>
          <w:pgMar w:top="748" w:right="1382" w:bottom="39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tabs>
          <w:tab w:pos="1932" w:val="left"/>
        </w:tabs>
        <w:autoSpaceDE w:val="0"/>
        <w:widowControl/>
        <w:spacing w:line="266" w:lineRule="exact" w:before="0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Closing Remarks.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Beyond confirming the strength of ensemble learners, the key contribution is a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reproducible and auditable benchmarking methodology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a fair calibrated parametric baseline under 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missing drivers, explicit provenance and leakage controls (Table 1, Figure 1), cross-source generalization 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tests, and systematic ablation (Section 5.5). This framework provides a transparent, extensible foundation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for cross-schema benchmarking in software effort estimation. By integrating methodological rigor,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schema harmonization, and comprehensive uncertainty quantification (bootstrap 95% CI), this work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moves toward 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living estimation system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—one that evolves with new telemetry and real-world project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dynamics. We hope this framework will support practitioners, researchers, and tool builders in creating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more adaptive, evidence-based estimation solutions.</w:t>
      </w:r>
    </w:p>
    <w:p>
      <w:pPr>
        <w:autoSpaceDN w:val="0"/>
        <w:autoSpaceDE w:val="0"/>
        <w:widowControl/>
        <w:spacing w:line="286" w:lineRule="exact" w:before="43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Data Availability</w:t>
      </w:r>
    </w:p>
    <w:p>
      <w:pPr>
        <w:autoSpaceDN w:val="0"/>
        <w:autoSpaceDE w:val="0"/>
        <w:widowControl/>
        <w:spacing w:line="272" w:lineRule="exact" w:before="210" w:after="0"/>
        <w:ind w:left="8" w:right="0" w:hanging="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All datasets used in this study are publicly available and were collected from open-access software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engineering repositories. No proprietary or private data were used. The final harmonized dataset was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constructed by integrating three schema-specific sources: LOC-based datasets, Function Point datasets,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Use Case Point datasets.</w:t>
      </w:r>
    </w:p>
    <w:p>
      <w:pPr>
        <w:autoSpaceDN w:val="0"/>
        <w:autoSpaceDE w:val="0"/>
        <w:widowControl/>
        <w:spacing w:line="218" w:lineRule="exact" w:before="52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Public sources include:</w:t>
      </w:r>
    </w:p>
    <w:p>
      <w:pPr>
        <w:autoSpaceDN w:val="0"/>
        <w:tabs>
          <w:tab w:pos="554" w:val="left"/>
        </w:tabs>
        <w:autoSpaceDE w:val="0"/>
        <w:widowControl/>
        <w:spacing w:line="260" w:lineRule="exact" w:before="250" w:after="0"/>
        <w:ind w:left="368" w:right="4032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DASE – Data Analysis in Software Engineering 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1" w:history="1">
          <w:r>
            <w:rPr>
              <w:rStyle w:val="Hyperlink"/>
            </w:rPr>
            <w:t>https://github.com/danrodgar/DASE</w:t>
          </w:r>
        </w:hyperlink>
      </w:r>
    </w:p>
    <w:p>
      <w:pPr>
        <w:autoSpaceDN w:val="0"/>
        <w:tabs>
          <w:tab w:pos="554" w:val="left"/>
        </w:tabs>
        <w:autoSpaceDE w:val="0"/>
        <w:widowControl/>
        <w:spacing w:line="260" w:lineRule="exact" w:before="202" w:after="0"/>
        <w:ind w:left="368" w:right="72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Software Estimation Datasets (Derek Jones) </w:t>
      </w:r>
      <w:r>
        <w:br/>
      </w: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2" w:history="1">
          <w:r>
            <w:rPr>
              <w:rStyle w:val="Hyperlink"/>
            </w:rPr>
            <w:t>https://github.com/Derek-Jones/Software-estimation-datasets</w:t>
          </w:r>
        </w:hyperlink>
      </w:r>
    </w:p>
    <w:p>
      <w:pPr>
        <w:autoSpaceDN w:val="0"/>
        <w:tabs>
          <w:tab w:pos="540" w:val="left"/>
        </w:tabs>
        <w:autoSpaceDE w:val="0"/>
        <w:widowControl/>
        <w:spacing w:line="260" w:lineRule="exact" w:before="202" w:after="0"/>
        <w:ind w:left="368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Software Project Development Estimator (Freeman et al.)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3" w:history="1">
          <w:r>
            <w:rPr>
              <w:rStyle w:val="Hyperlink"/>
            </w:rPr>
            <w:t xml:space="preserve">https: </w:t>
          </w:r>
        </w:hyperlink>
      </w:r>
      <w:r>
        <w:br/>
      </w: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3" w:history="1">
          <w:r>
            <w:rPr>
              <w:rStyle w:val="Hyperlink"/>
            </w:rPr>
            <w:t>//github.com/Freeman-md/software-project-development-estimator</w:t>
          </w:r>
        </w:hyperlink>
      </w:r>
    </w:p>
    <w:p>
      <w:pPr>
        <w:autoSpaceDN w:val="0"/>
        <w:tabs>
          <w:tab w:pos="554" w:val="left"/>
        </w:tabs>
        <w:autoSpaceDE w:val="0"/>
        <w:widowControl/>
        <w:spacing w:line="260" w:lineRule="exact" w:before="200" w:after="0"/>
        <w:ind w:left="368" w:right="14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•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 xml:space="preserve"> ISBSG-derived FP dataset / Pre-trained Model (Huynh et al.)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t xml:space="preserve"> 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4" w:history="1">
          <w:r>
            <w:rPr>
              <w:rStyle w:val="Hyperlink"/>
            </w:rPr>
            <w:t xml:space="preserve">https://github.com/ </w:t>
          </w:r>
        </w:hyperlink>
      </w: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4" w:history="1">
          <w:r>
            <w:rPr>
              <w:rStyle w:val="Hyperlink"/>
            </w:rPr>
            <w:t>huynhhoc/effort-estimation-by-using-pre-trained-model</w:t>
          </w:r>
        </w:hyperlink>
      </w:r>
    </w:p>
    <w:p>
      <w:pPr>
        <w:autoSpaceDN w:val="0"/>
        <w:autoSpaceDE w:val="0"/>
        <w:widowControl/>
        <w:spacing w:line="272" w:lineRule="exact" w:before="250" w:after="0"/>
        <w:ind w:left="0" w:right="0" w:firstLine="0"/>
        <w:jc w:val="left"/>
      </w:pPr>
      <w:r>
        <w:rPr>
          <w:w w:val="98.92539111050692"/>
          <w:rFonts w:ascii="NimbusRomNo9L" w:hAnsi="NimbusRomNo9L" w:eastAsia="NimbusRomNo9L"/>
          <w:b w:val="0"/>
          <w:i w:val="0"/>
          <w:color w:val="000000"/>
          <w:sz w:val="22"/>
        </w:rPr>
        <w:t xml:space="preserve">Each repository provides schema-specific project records (LOC, FP, or UCP) with effort values in hours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or person-months. The author merged these records into a unified schema by standardizing effort units, 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normalizing size metrics, and removing duplicates. Illustrative examples of the integrated dataset include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FP-based samples (Desharnais), LOC samples (e.g., project_id/loc/kloc/effort_pm), and UCP samples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(Silhavy et al.).</w:t>
      </w:r>
    </w:p>
    <w:p>
      <w:pPr>
        <w:autoSpaceDN w:val="0"/>
        <w:autoSpaceDE w:val="0"/>
        <w:widowControl/>
        <w:spacing w:line="270" w:lineRule="exact" w:before="0" w:after="0"/>
        <w:ind w:left="8" w:right="0" w:firstLine="0"/>
        <w:jc w:val="left"/>
      </w:pPr>
      <w:r>
        <w:rPr>
          <w:w w:val="98.9750862121582"/>
          <w:rFonts w:ascii="NimbusRomNo9L" w:hAnsi="NimbusRomNo9L" w:eastAsia="NimbusRomNo9L"/>
          <w:b/>
          <w:i w:val="0"/>
          <w:color w:val="000000"/>
          <w:sz w:val="22"/>
        </w:rPr>
        <w:t>Reproducibility Package: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 We release: (i) rebuild scripts that download and parse each source from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original public repositories, (ii) the complete harmonization pipeline (unit conversion, deduplication, </w:t>
      </w:r>
      <w:r>
        <w:rPr>
          <w:w w:val="98.62667430530895"/>
          <w:rFonts w:ascii="NimbusRomNo9L" w:hAnsi="NimbusRomNo9L" w:eastAsia="NimbusRomNo9L"/>
          <w:b w:val="0"/>
          <w:i w:val="0"/>
          <w:color w:val="000000"/>
          <w:sz w:val="22"/>
        </w:rPr>
        <w:t xml:space="preserve">outlier handling), and (iii) MD5 checksums for the produced cleaned tables. Due to third-party licensing </w:t>
      </w:r>
      <w:r>
        <w:rPr>
          <w:w w:val="98.32703850486062"/>
          <w:rFonts w:ascii="NimbusRomNo9L" w:hAnsi="NimbusRomNo9L" w:eastAsia="NimbusRomNo9L"/>
          <w:b w:val="0"/>
          <w:i w:val="0"/>
          <w:color w:val="000000"/>
          <w:sz w:val="22"/>
        </w:rPr>
        <w:t xml:space="preserve">restrictions (e.g., ISBSG commercial subset), we do not redistribute certain raw files; instead, we provide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automated rebuild steps from the original public endpoints.</w:t>
      </w:r>
    </w:p>
    <w:p>
      <w:pPr>
        <w:autoSpaceDN w:val="0"/>
        <w:autoSpaceDE w:val="0"/>
        <w:widowControl/>
        <w:spacing w:line="272" w:lineRule="exact" w:before="2" w:after="0"/>
        <w:ind w:left="8" w:right="0" w:hanging="8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Access: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The reproducibility package, experimental code, and supplementary results are available via an </w:t>
      </w:r>
      <w:r>
        <w:rPr>
          <w:rFonts w:ascii="NimbusRomNo9L" w:hAnsi="NimbusRomNo9L" w:eastAsia="NimbusRomNo9L"/>
          <w:b/>
          <w:i w:val="0"/>
          <w:color w:val="000000"/>
          <w:sz w:val="22"/>
        </w:rPr>
        <w:t>anonymous GitHub repository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during review (access link provided to editors separately to maintain 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>anonymity) and will be permanently archived with a</w:t>
      </w:r>
      <w:r>
        <w:rPr>
          <w:w w:val="98.37704571810636"/>
          <w:rFonts w:ascii="NimbusRomNo9L" w:hAnsi="NimbusRomNo9L" w:eastAsia="NimbusRomNo9L"/>
          <w:b/>
          <w:i w:val="0"/>
          <w:color w:val="000000"/>
          <w:sz w:val="22"/>
        </w:rPr>
        <w:t xml:space="preserve"> Zenodo DOI</w:t>
      </w:r>
      <w:r>
        <w:rPr>
          <w:w w:val="98.37704571810636"/>
          <w:rFonts w:ascii="NimbusRomNo9L" w:hAnsi="NimbusRomNo9L" w:eastAsia="NimbusRomNo9L"/>
          <w:b w:val="0"/>
          <w:i w:val="0"/>
          <w:color w:val="000000"/>
          <w:sz w:val="22"/>
        </w:rPr>
        <w:t xml:space="preserve"> upon acceptance. The Zenodo deposit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will include: (i) processing scripts with execution instructions, (ii) supplementary materials (Tables 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S1–S2, Figure S3, extended ablation results), (iii) experimental logs (JSON format) with hyperparameter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configurations and CV results per seed, and (iv) manifest file (CSV) documenting dataset provenance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(source, DOI, N_raw, N_clean, dedup_rate, MD5).</w:t>
      </w:r>
    </w:p>
    <w:p>
      <w:pPr>
        <w:autoSpaceDN w:val="0"/>
        <w:autoSpaceDE w:val="0"/>
        <w:widowControl/>
        <w:spacing w:line="270" w:lineRule="exact" w:before="0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Detailed rebuild scripts in Supplementary Materials enable independent replication from original public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endpoints without requiring raw data redistribution.</w:t>
      </w:r>
    </w:p>
    <w:p>
      <w:pPr>
        <w:autoSpaceDN w:val="0"/>
        <w:autoSpaceDE w:val="0"/>
        <w:widowControl/>
        <w:spacing w:line="218" w:lineRule="exact" w:before="5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All data used in this work are anonymized and contain no personal or sensitive information.</w:t>
      </w:r>
    </w:p>
    <w:p>
      <w:pPr>
        <w:autoSpaceDN w:val="0"/>
        <w:autoSpaceDE w:val="0"/>
        <w:widowControl/>
        <w:spacing w:line="270" w:lineRule="exact" w:before="2" w:after="0"/>
        <w:ind w:left="8" w:right="0" w:firstLine="0"/>
        <w:jc w:val="left"/>
      </w:pPr>
      <w:r>
        <w:rPr>
          <w:w w:val="98.42701825228605"/>
          <w:rFonts w:ascii="NimbusRomNo9L" w:hAnsi="NimbusRomNo9L" w:eastAsia="NimbusRomNo9L"/>
          <w:b w:val="0"/>
          <w:i w:val="0"/>
          <w:color w:val="000000"/>
          <w:sz w:val="22"/>
        </w:rPr>
        <w:t xml:space="preserve">Redistribution complies with original source licenses (predominantly MIT/CC-BY licenses; see manifest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details).</w:t>
      </w:r>
    </w:p>
    <w:p>
      <w:pPr>
        <w:autoSpaceDN w:val="0"/>
        <w:autoSpaceDE w:val="0"/>
        <w:widowControl/>
        <w:spacing w:line="218" w:lineRule="exact" w:before="52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34</w:t>
      </w:r>
    </w:p>
    <w:p>
      <w:pPr>
        <w:sectPr>
          <w:pgSz w:w="11906" w:h="16838"/>
          <w:pgMar w:top="744" w:right="1394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Funding</w:t>
      </w:r>
    </w:p>
    <w:p>
      <w:pPr>
        <w:autoSpaceDN w:val="0"/>
        <w:autoSpaceDE w:val="0"/>
        <w:widowControl/>
        <w:spacing w:line="218" w:lineRule="exact" w:before="264" w:after="0"/>
        <w:ind w:left="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This research received no specific grant from any funding agency.</w:t>
      </w:r>
    </w:p>
    <w:p>
      <w:pPr>
        <w:autoSpaceDN w:val="0"/>
        <w:autoSpaceDE w:val="0"/>
        <w:widowControl/>
        <w:spacing w:line="286" w:lineRule="exact" w:before="43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Competing Interests</w:t>
      </w:r>
    </w:p>
    <w:p>
      <w:pPr>
        <w:autoSpaceDN w:val="0"/>
        <w:autoSpaceDE w:val="0"/>
        <w:widowControl/>
        <w:spacing w:line="218" w:lineRule="exact" w:before="266" w:after="0"/>
        <w:ind w:left="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 authors declare no competing interests.</w:t>
      </w:r>
    </w:p>
    <w:p>
      <w:pPr>
        <w:autoSpaceDN w:val="0"/>
        <w:autoSpaceDE w:val="0"/>
        <w:widowControl/>
        <w:spacing w:line="286" w:lineRule="exact" w:before="43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Ethics Approval and Consent to Participate</w:t>
      </w:r>
    </w:p>
    <w:p>
      <w:pPr>
        <w:autoSpaceDN w:val="0"/>
        <w:autoSpaceDE w:val="0"/>
        <w:widowControl/>
        <w:spacing w:line="272" w:lineRule="exact" w:before="210" w:after="0"/>
        <w:ind w:left="8" w:right="0" w:hanging="6"/>
        <w:jc w:val="left"/>
      </w:pP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This study uses only publicly available, fully anonymized datasets. No human participants were involved;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therefore, ethics approval was not required.</w:t>
      </w:r>
    </w:p>
    <w:p>
      <w:pPr>
        <w:autoSpaceDN w:val="0"/>
        <w:autoSpaceDE w:val="0"/>
        <w:widowControl/>
        <w:spacing w:line="286" w:lineRule="exact" w:before="43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Consent for Publication</w:t>
      </w:r>
    </w:p>
    <w:p>
      <w:pPr>
        <w:autoSpaceDN w:val="0"/>
        <w:autoSpaceDE w:val="0"/>
        <w:widowControl/>
        <w:spacing w:line="218" w:lineRule="exact" w:before="264" w:after="0"/>
        <w:ind w:left="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Not applicable.</w:t>
      </w:r>
    </w:p>
    <w:p>
      <w:pPr>
        <w:autoSpaceDN w:val="0"/>
        <w:autoSpaceDE w:val="0"/>
        <w:widowControl/>
        <w:spacing w:line="288" w:lineRule="exact" w:before="43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Authors’ Contributions</w:t>
      </w:r>
    </w:p>
    <w:p>
      <w:pPr>
        <w:autoSpaceDN w:val="0"/>
        <w:autoSpaceDE w:val="0"/>
        <w:widowControl/>
        <w:spacing w:line="272" w:lineRule="exact" w:before="210" w:after="0"/>
        <w:ind w:left="8" w:right="288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Nguyen Nhat Huy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Conceptualization, Dataset Preparation, Methodology, Software Development,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Experiments, Formal Analysis, Visualization, Writing – Original Draft.</w:t>
      </w:r>
    </w:p>
    <w:p>
      <w:pPr>
        <w:autoSpaceDN w:val="0"/>
        <w:autoSpaceDE w:val="0"/>
        <w:widowControl/>
        <w:spacing w:line="272" w:lineRule="exact" w:before="0" w:after="0"/>
        <w:ind w:left="8" w:right="144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Duc Man Nguyen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Supervision, Technical Guidance, Methodology Refinement, Writing – Review &amp;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Editing.</w:t>
      </w:r>
    </w:p>
    <w:p>
      <w:pPr>
        <w:autoSpaceDN w:val="0"/>
        <w:autoSpaceDE w:val="0"/>
        <w:widowControl/>
        <w:spacing w:line="270" w:lineRule="exact" w:before="0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Dang Nhat Minh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: Data Curation, Feature Engineering Support, Implementation Assistance, Writing –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Editing.</w:t>
      </w:r>
    </w:p>
    <w:p>
      <w:pPr>
        <w:autoSpaceDN w:val="0"/>
        <w:autoSpaceDE w:val="0"/>
        <w:widowControl/>
        <w:spacing w:line="270" w:lineRule="exact" w:before="2" w:after="0"/>
        <w:ind w:left="8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Nguyen Thuy Giang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Resources, Validation, Consistency Checking, Documentation Support. </w:t>
      </w:r>
      <w:r>
        <w:rPr>
          <w:w w:val="98.77614107998934"/>
          <w:rFonts w:ascii="NimbusRomNo9L" w:hAnsi="NimbusRomNo9L" w:eastAsia="NimbusRomNo9L"/>
          <w:b/>
          <w:i w:val="0"/>
          <w:color w:val="000000"/>
          <w:sz w:val="22"/>
        </w:rPr>
        <w:t>P. W. C. Prasad</w:t>
      </w:r>
      <w:r>
        <w:rPr>
          <w:w w:val="98.77614107998934"/>
          <w:rFonts w:ascii="NimbusRomNo9L" w:hAnsi="NimbusRomNo9L" w:eastAsia="NimbusRomNo9L"/>
          <w:b w:val="0"/>
          <w:i w:val="0"/>
          <w:color w:val="000000"/>
          <w:sz w:val="22"/>
        </w:rPr>
        <w:t xml:space="preserve">: Senior Supervision, Project Administration, Strategic Direction, Final Approval of the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Manuscript.</w:t>
      </w:r>
    </w:p>
    <w:p>
      <w:pPr>
        <w:autoSpaceDN w:val="0"/>
        <w:autoSpaceDE w:val="0"/>
        <w:widowControl/>
        <w:spacing w:line="272" w:lineRule="exact" w:before="0" w:after="0"/>
        <w:ind w:left="8" w:right="432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2"/>
        </w:rPr>
        <w:t>Md Shohel Sayeed (Corresponding Author)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: Validation, Technical Review, Writing – Review &amp;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Editing, Final Manuscript Coordination.</w:t>
      </w:r>
    </w:p>
    <w:p>
      <w:pPr>
        <w:autoSpaceDN w:val="0"/>
        <w:autoSpaceDE w:val="0"/>
        <w:widowControl/>
        <w:spacing w:line="218" w:lineRule="exact" w:before="5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All authors read and approved the final manuscript.</w:t>
      </w:r>
    </w:p>
    <w:p>
      <w:pPr>
        <w:autoSpaceDN w:val="0"/>
        <w:autoSpaceDE w:val="0"/>
        <w:widowControl/>
        <w:spacing w:line="288" w:lineRule="exact" w:before="430" w:after="0"/>
        <w:ind w:left="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References</w:t>
      </w:r>
    </w:p>
    <w:p>
      <w:pPr>
        <w:autoSpaceDN w:val="0"/>
        <w:autoSpaceDE w:val="0"/>
        <w:widowControl/>
        <w:spacing w:line="222" w:lineRule="exact" w:before="260" w:after="0"/>
        <w:ind w:left="11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[1] Barry Boehm.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COCOMO II Model Definition Manual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 USC, 2000.</w:t>
      </w:r>
    </w:p>
    <w:p>
      <w:pPr>
        <w:autoSpaceDN w:val="0"/>
        <w:autoSpaceDE w:val="0"/>
        <w:widowControl/>
        <w:spacing w:line="272" w:lineRule="exact" w:before="178" w:after="0"/>
        <w:ind w:left="480" w:right="0" w:hanging="36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[2]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Muhammad Tanveer, Imran Hussain, Naveed Zahid, et al. A survey on machine learning techniques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software effort estimation: Trends, challenges, and opportunities.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Journal of Systems and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Software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200:111618, 2023.</w:t>
      </w:r>
    </w:p>
    <w:p>
      <w:pPr>
        <w:autoSpaceDN w:val="0"/>
        <w:tabs>
          <w:tab w:pos="480" w:val="left"/>
        </w:tabs>
        <w:autoSpaceDE w:val="0"/>
        <w:widowControl/>
        <w:spacing w:line="272" w:lineRule="exact" w:before="178" w:after="0"/>
        <w:ind w:left="11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[3]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Mohammad Azzeh and Ali Bou Nassif. Cross-company effort estimation using ensemble learning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feature selection.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Empirical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24(6):3821–3848, 2019.</w:t>
      </w:r>
    </w:p>
    <w:p>
      <w:pPr>
        <w:autoSpaceDN w:val="0"/>
        <w:autoSpaceDE w:val="0"/>
        <w:widowControl/>
        <w:spacing w:line="270" w:lineRule="exact" w:before="180" w:after="0"/>
        <w:ind w:left="480" w:right="0" w:hanging="36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[4] Martin Shepperd and Stephen MacDonell. Evaluating prediction systems in software project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estimation.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Information and Software Technology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54(8):820–827, 2012. doi: </w:t>
      </w:r>
      <w:r>
        <w:br/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10.1016/j.infsof.2011.12.008. Authoritative guidance on evaluation protocols for effort estimation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systems, including metric selection and baseline fairness.</w:t>
      </w:r>
    </w:p>
    <w:p>
      <w:pPr>
        <w:autoSpaceDN w:val="0"/>
        <w:autoSpaceDE w:val="0"/>
        <w:widowControl/>
        <w:spacing w:line="270" w:lineRule="exact" w:before="182" w:after="0"/>
        <w:ind w:left="480" w:right="0" w:hanging="36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[5] Barbara Kitchenham, Lesley Pickard, Stephen MacDonell, and Martin Shepperd. Evaluating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software engineering prediction systems.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Information and Software Technology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43(11):733–743,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2001.</w:t>
      </w:r>
    </w:p>
    <w:p>
      <w:pPr>
        <w:autoSpaceDN w:val="0"/>
        <w:autoSpaceDE w:val="0"/>
        <w:widowControl/>
        <w:spacing w:line="218" w:lineRule="exact" w:before="404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35</w:t>
      </w:r>
    </w:p>
    <w:p>
      <w:pPr>
        <w:sectPr>
          <w:pgSz w:w="11906" w:h="16838"/>
          <w:pgMar w:top="720" w:right="1402" w:bottom="394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tabs>
          <w:tab w:pos="472" w:val="left"/>
        </w:tabs>
        <w:autoSpaceDE w:val="0"/>
        <w:widowControl/>
        <w:spacing w:line="244" w:lineRule="exact" w:before="0" w:after="0"/>
        <w:ind w:left="11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[6]</w:t>
      </w:r>
      <w:r>
        <w:rPr>
          <w:w w:val="98.4769734469327"/>
          <w:rFonts w:ascii="NimbusRomNo9L" w:hAnsi="NimbusRomNo9L" w:eastAsia="NimbusRomNo9L"/>
          <w:b w:val="0"/>
          <w:i w:val="0"/>
          <w:color w:val="000000"/>
          <w:sz w:val="22"/>
        </w:rPr>
        <w:t xml:space="preserve"> Tore Foss, Erik Stensrud, Barbara Kitchenham, and Ivar Myrtveit. A simulation study of the model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evaluation criterion mmre.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IEEE Transactions on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29(11):985–995, 2003.</w:t>
      </w:r>
    </w:p>
    <w:p>
      <w:pPr>
        <w:autoSpaceDN w:val="0"/>
        <w:autoSpaceDE w:val="0"/>
        <w:widowControl/>
        <w:spacing w:line="218" w:lineRule="exact" w:before="218" w:after="0"/>
        <w:ind w:left="11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[7] Derek M. Jones. Software estimation datasets - curated public collection.</w:t>
      </w:r>
    </w:p>
    <w:p>
      <w:pPr>
        <w:autoSpaceDN w:val="0"/>
        <w:autoSpaceDE w:val="0"/>
        <w:widowControl/>
        <w:spacing w:line="270" w:lineRule="exact" w:before="2" w:after="0"/>
        <w:ind w:left="464" w:right="144" w:firstLine="8"/>
        <w:jc w:val="left"/>
      </w:pP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2" w:history="1">
          <w:r>
            <w:rPr>
              <w:rStyle w:val="Hyperlink"/>
            </w:rPr>
            <w:t>https://github.com/Derek-Jones/Software-estimation-datasets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2022.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Accessed: 2026-02-06.</w:t>
      </w:r>
    </w:p>
    <w:p>
      <w:pPr>
        <w:autoSpaceDN w:val="0"/>
        <w:autoSpaceDE w:val="0"/>
        <w:widowControl/>
        <w:spacing w:line="270" w:lineRule="exact" w:before="166" w:after="0"/>
        <w:ind w:left="472" w:right="288" w:hanging="36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[8] Daniel Rodríguez and Javier Dolado. Dase: Data analysis in software engineering repository. </w:t>
      </w:r>
      <w:r>
        <w:rPr>
          <w:rFonts w:ascii="NimbusMonL" w:hAnsi="NimbusMonL" w:eastAsia="NimbusMonL"/>
          <w:b w:val="0"/>
          <w:i w:val="0"/>
          <w:color w:val="000000"/>
          <w:sz w:val="22"/>
        </w:rPr>
        <w:hyperlink r:id="rId21" w:history="1">
          <w:r>
            <w:rPr>
              <w:rStyle w:val="Hyperlink"/>
            </w:rPr>
            <w:t>https://github.com/danrodgar/DASE</w:t>
          </w:r>
        </w:hyperlink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2023. Aggregated effort estimation datasets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1979–2022. CC0-1.0 license.</w:t>
      </w:r>
    </w:p>
    <w:p>
      <w:pPr>
        <w:autoSpaceDN w:val="0"/>
        <w:autoSpaceDE w:val="0"/>
        <w:widowControl/>
        <w:spacing w:line="272" w:lineRule="exact" w:before="162" w:after="0"/>
        <w:ind w:left="472" w:right="0" w:hanging="36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[9]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International Software Benchmarking Standards Group. ISBSG resources overview: Benchmarking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data repository for software and it projects. Technical report, ISBSG, May 2025. Accessed: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2025-05. Cited for context on industrial FP dataset access constraints and commercial licensing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terms.</w:t>
      </w:r>
    </w:p>
    <w:p>
      <w:pPr>
        <w:autoSpaceDN w:val="0"/>
        <w:autoSpaceDE w:val="0"/>
        <w:widowControl/>
        <w:spacing w:line="272" w:lineRule="exact" w:before="162" w:after="0"/>
        <w:ind w:left="472" w:right="0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[10] Allan J Albrecht and John E Gaffney. Software function, source lines of code, and development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effort prediction: A software science validation.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IEEE Transactions on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(6):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639–648, 1983.</w:t>
      </w:r>
    </w:p>
    <w:p>
      <w:pPr>
        <w:autoSpaceDN w:val="0"/>
        <w:autoSpaceDE w:val="0"/>
        <w:widowControl/>
        <w:spacing w:line="272" w:lineRule="exact" w:before="164" w:after="0"/>
        <w:ind w:left="472" w:right="0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[11] Hoc Thai Huynh, Radek Silhavy, Zdenka Prokopova, and Petr Silhavy. Comparing stacking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ensemble and deep learning for software project effort estimation.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IEEE Access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11:60590–60604,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2023. doi: 10.1109/ACCESS.2023.3286372.</w:t>
      </w:r>
    </w:p>
    <w:p>
      <w:pPr>
        <w:autoSpaceDN w:val="0"/>
        <w:tabs>
          <w:tab w:pos="472" w:val="left"/>
        </w:tabs>
        <w:autoSpaceDE w:val="0"/>
        <w:widowControl/>
        <w:spacing w:line="270" w:lineRule="exact" w:before="166" w:after="0"/>
        <w:ind w:left="0" w:right="14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[12] Hoc Thai Huynh and Radek Silhavy. Ucp dataset for software effort estimation. Zenodo, 2023.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Supplementary data for IEEE Access paper on stacking ensemble methods.</w:t>
      </w:r>
    </w:p>
    <w:p>
      <w:pPr>
        <w:autoSpaceDN w:val="0"/>
        <w:autoSpaceDE w:val="0"/>
        <w:widowControl/>
        <w:spacing w:line="270" w:lineRule="exact" w:before="166" w:after="0"/>
        <w:ind w:left="468" w:right="0" w:hanging="468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[13]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Tianqi Chen and Carlos Guestrin. XGBoost: A scalable tree boosting system. In</w:t>
      </w:r>
      <w:r>
        <w:rPr>
          <w:w w:val="98.1768868186257"/>
          <w:rFonts w:ascii="NimbusRomNo9L" w:hAnsi="NimbusRomNo9L" w:eastAsia="NimbusRomNo9L"/>
          <w:b w:val="0"/>
          <w:i/>
          <w:color w:val="000000"/>
          <w:sz w:val="22"/>
        </w:rPr>
        <w:t xml:space="preserve"> Proceedings of the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22nd ACM SIGKDD International Conference on Knowledge Discovery and Data Mining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pages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785–794. ACM, 2016.</w:t>
      </w:r>
    </w:p>
    <w:p>
      <w:pPr>
        <w:autoSpaceDN w:val="0"/>
        <w:tabs>
          <w:tab w:pos="472" w:val="left"/>
        </w:tabs>
        <w:autoSpaceDE w:val="0"/>
        <w:widowControl/>
        <w:spacing w:line="272" w:lineRule="exact" w:before="16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[14] Bradley Efron and Robert J. Tibshirani.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An Introduction to the Bootstrap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. Chapman &amp; Hall/CRC,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Boca Raton, FL, 1994.</w:t>
      </w:r>
    </w:p>
    <w:p>
      <w:pPr>
        <w:autoSpaceDN w:val="0"/>
        <w:tabs>
          <w:tab w:pos="456" w:val="left"/>
        </w:tabs>
        <w:autoSpaceDE w:val="0"/>
        <w:widowControl/>
        <w:spacing w:line="272" w:lineRule="exact" w:before="162" w:after="0"/>
        <w:ind w:left="0" w:right="14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[15] Frank Wilcoxon. Individual comparisons by ranking methods.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Biometrics Bulletin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1(6):80–83,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1945.</w:t>
      </w:r>
    </w:p>
    <w:p>
      <w:pPr>
        <w:autoSpaceDN w:val="0"/>
        <w:autoSpaceDE w:val="0"/>
        <w:widowControl/>
        <w:spacing w:line="222" w:lineRule="exact" w:before="214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[16] Leo Breiman. Random forests.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Machine Learning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45(1):5–32, 2001.</w:t>
      </w:r>
    </w:p>
    <w:p>
      <w:pPr>
        <w:autoSpaceDN w:val="0"/>
        <w:tabs>
          <w:tab w:pos="468" w:val="left"/>
        </w:tabs>
        <w:autoSpaceDE w:val="0"/>
        <w:widowControl/>
        <w:spacing w:line="272" w:lineRule="exact" w:before="162" w:after="0"/>
        <w:ind w:left="0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[17] Sture Holm. A simple sequentially rejective multiple test procedure.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Scandinavian Journal of 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Statistics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6(2):65–70, 1979.</w:t>
      </w:r>
    </w:p>
    <w:p>
      <w:pPr>
        <w:autoSpaceDN w:val="0"/>
        <w:autoSpaceDE w:val="0"/>
        <w:widowControl/>
        <w:spacing w:line="272" w:lineRule="exact" w:before="164" w:after="0"/>
        <w:ind w:left="472" w:right="0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[18] Gary Macbeth, Esteban Razumiejczyk, and Rubén Ledesma. Cliff’s delta calculator: 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non-parametric effect size program for two groups of observations.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Universitas Psychologica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10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(2):545–555, 2011.</w:t>
      </w:r>
    </w:p>
    <w:p>
      <w:pPr>
        <w:autoSpaceDN w:val="0"/>
        <w:tabs>
          <w:tab w:pos="466" w:val="left"/>
        </w:tabs>
        <w:autoSpaceDE w:val="0"/>
        <w:widowControl/>
        <w:spacing w:line="270" w:lineRule="exact" w:before="166" w:after="0"/>
        <w:ind w:left="0" w:right="14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[19] Janez Demšar. Statistical comparisons of classifiers over multiple data sets.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Journal of Machine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Learning Research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7:1–30, 2006.</w:t>
      </w:r>
    </w:p>
    <w:p>
      <w:pPr>
        <w:autoSpaceDN w:val="0"/>
        <w:autoSpaceDE w:val="0"/>
        <w:widowControl/>
        <w:spacing w:line="272" w:lineRule="exact" w:before="164" w:after="0"/>
        <w:ind w:left="472" w:right="432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[20] Salvador Garcia, Alberto Fernandez, Jesus Luengo, and Francisco Herrera. Advanced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nonparametric tests for multiple comparisons in computational intelligence and data mining.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Information Sciences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180(10):2044–2064, 2010.</w:t>
      </w:r>
    </w:p>
    <w:p>
      <w:pPr>
        <w:autoSpaceDN w:val="0"/>
        <w:tabs>
          <w:tab w:pos="466" w:val="left"/>
        </w:tabs>
        <w:autoSpaceDE w:val="0"/>
        <w:widowControl/>
        <w:spacing w:line="270" w:lineRule="exact" w:before="166" w:after="0"/>
        <w:ind w:left="0" w:right="14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[21] Fabian Pedregosa et al. Scikit-learn: Machine learning in python.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Journal of Machine Learning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Research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12:2825–2830, 2011.</w:t>
      </w:r>
    </w:p>
    <w:p>
      <w:pPr>
        <w:autoSpaceDN w:val="0"/>
        <w:tabs>
          <w:tab w:pos="472" w:val="left"/>
        </w:tabs>
        <w:autoSpaceDE w:val="0"/>
        <w:widowControl/>
        <w:spacing w:line="270" w:lineRule="exact" w:before="166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[22] Luis Cruz and Rui Abreu. Open science in software engineering research: The case for open data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and replication.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Empirical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24(6):3829–3849, 2019.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36</w:t>
      </w:r>
    </w:p>
    <w:p>
      <w:pPr>
        <w:sectPr>
          <w:pgSz w:w="11906" w:h="16838"/>
          <w:pgMar w:top="748" w:right="1394" w:bottom="3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tabs>
          <w:tab w:pos="472" w:val="left"/>
        </w:tabs>
        <w:autoSpaceDE w:val="0"/>
        <w:widowControl/>
        <w:spacing w:line="244" w:lineRule="exact" w:before="0" w:after="0"/>
        <w:ind w:left="0" w:right="14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[23] Belen Lopez, Juan C Rodriguez, and Salvador Garcia. Empirical software engineering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reproducibility: A systematic review.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Information and Software Technology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136:106579, 2021.</w:t>
      </w:r>
    </w:p>
    <w:p>
      <w:pPr>
        <w:autoSpaceDN w:val="0"/>
        <w:autoSpaceDE w:val="0"/>
        <w:widowControl/>
        <w:spacing w:line="272" w:lineRule="exact" w:before="170" w:after="0"/>
        <w:ind w:left="472" w:right="144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[24] Jeanine Romano, Jeffrey D Kromrey, Jesse Coraggio, and Jeff Skowronek. Appropriate statistics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for ordinal level data: Should we really be using t-test and Cohen’s d for evaluating group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differences on the nsse and other surveys?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Annual meeting of the Florida Association of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Institutional Research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pages 1–33, 2006.</w:t>
      </w:r>
    </w:p>
    <w:p>
      <w:pPr>
        <w:autoSpaceDN w:val="0"/>
        <w:autoSpaceDE w:val="0"/>
        <w:widowControl/>
        <w:spacing w:line="270" w:lineRule="exact" w:before="170" w:after="0"/>
        <w:ind w:left="472" w:right="144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[25] Tsung-Yi Lin, Priya Goyal, Ross Girshick, Kaiming He, and Piotr Dollár. Focal loss for dense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object detection. In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Proceedings of the IEEE international conference on computer vision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pages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2980–2988, 2017.</w:t>
      </w:r>
    </w:p>
    <w:p>
      <w:pPr>
        <w:autoSpaceDN w:val="0"/>
        <w:tabs>
          <w:tab w:pos="472" w:val="left"/>
        </w:tabs>
        <w:autoSpaceDE w:val="0"/>
        <w:widowControl/>
        <w:spacing w:line="272" w:lineRule="exact" w:before="17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[26]</w:t>
      </w:r>
      <w:r>
        <w:rPr>
          <w:w w:val="98.1768868186257"/>
          <w:rFonts w:ascii="NimbusRomNo9L" w:hAnsi="NimbusRomNo9L" w:eastAsia="NimbusRomNo9L"/>
          <w:b w:val="0"/>
          <w:i w:val="0"/>
          <w:color w:val="000000"/>
          <w:sz w:val="22"/>
        </w:rPr>
        <w:t xml:space="preserve"> Barry W Boehm, Bradford Clark, Ellis Horowitz, Ray Madachy, Richard Selby, and Chris Westland.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Software cost estimation with COCOMO II.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Prentice Hall PTR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2000.</w:t>
      </w:r>
    </w:p>
    <w:p>
      <w:pPr>
        <w:autoSpaceDN w:val="0"/>
        <w:tabs>
          <w:tab w:pos="472" w:val="left"/>
        </w:tabs>
        <w:autoSpaceDE w:val="0"/>
        <w:widowControl/>
        <w:spacing w:line="272" w:lineRule="exact" w:before="168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[27] Cynthia Rudin. Stop explaining black box machine learning models for high stakes decisions and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use interpretable models instead.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Nature Machine Intelligence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1(5):206–215, 2019.</w:t>
      </w:r>
    </w:p>
    <w:p>
      <w:pPr>
        <w:autoSpaceDN w:val="0"/>
        <w:autoSpaceDE w:val="0"/>
        <w:widowControl/>
        <w:spacing w:line="272" w:lineRule="exact" w:before="170" w:after="0"/>
        <w:ind w:left="466" w:right="0" w:hanging="466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[28] Guolin Ke, Qi Meng, Thomas Finley, Taifeng Wang, Wei Chen, Weidong Ma, Qiwei Ye, and </w:t>
      </w:r>
      <w:r>
        <w:rPr>
          <w:w w:val="98.72634194113992"/>
          <w:rFonts w:ascii="NimbusRomNo9L" w:hAnsi="NimbusRomNo9L" w:eastAsia="NimbusRomNo9L"/>
          <w:b w:val="0"/>
          <w:i w:val="0"/>
          <w:color w:val="000000"/>
          <w:sz w:val="22"/>
        </w:rPr>
        <w:t>Tie-Yan Liu. LightGBM: A highly efficient gradient boosting decision tree. In</w:t>
      </w:r>
      <w:r>
        <w:rPr>
          <w:w w:val="98.72634194113992"/>
          <w:rFonts w:ascii="NimbusRomNo9L" w:hAnsi="NimbusRomNo9L" w:eastAsia="NimbusRomNo9L"/>
          <w:b w:val="0"/>
          <w:i/>
          <w:color w:val="000000"/>
          <w:sz w:val="22"/>
        </w:rPr>
        <w:t xml:space="preserve"> Advances in Neural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Information Processing Systems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volume 30, pages 3146–3154, 2017.</w:t>
      </w:r>
    </w:p>
    <w:p>
      <w:pPr>
        <w:autoSpaceDN w:val="0"/>
        <w:autoSpaceDE w:val="0"/>
        <w:widowControl/>
        <w:spacing w:line="272" w:lineRule="exact" w:before="168" w:after="0"/>
        <w:ind w:left="472" w:right="62" w:hanging="472"/>
        <w:jc w:val="both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[29] Liudmila Prokhorenkova, Gleb Gusev, Aleksandr Vorobev, Anna Veronika Dorogush, and Andrey 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>Gulin. CatBoost: Unbiased boosting with categorical features. In</w:t>
      </w:r>
      <w:r>
        <w:rPr>
          <w:w w:val="98.9750862121582"/>
          <w:rFonts w:ascii="NimbusRomNo9L" w:hAnsi="NimbusRomNo9L" w:eastAsia="NimbusRomNo9L"/>
          <w:b w:val="0"/>
          <w:i/>
          <w:color w:val="000000"/>
          <w:sz w:val="22"/>
        </w:rPr>
        <w:t xml:space="preserve"> Advances in Neural Information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Processing Systems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volume 31, pages 6638–6648, 2018.</w:t>
      </w:r>
    </w:p>
    <w:p>
      <w:pPr>
        <w:autoSpaceDN w:val="0"/>
        <w:tabs>
          <w:tab w:pos="472" w:val="left"/>
        </w:tabs>
        <w:autoSpaceDE w:val="0"/>
        <w:widowControl/>
        <w:spacing w:line="272" w:lineRule="exact" w:before="17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[30]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 Fox et al. DevOps practices and their impact on software delivery performance.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IEEE Software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34(6):42–49, 2017.</w:t>
      </w:r>
    </w:p>
    <w:p>
      <w:pPr>
        <w:autoSpaceDN w:val="0"/>
        <w:tabs>
          <w:tab w:pos="472" w:val="left"/>
        </w:tabs>
        <w:autoSpaceDE w:val="0"/>
        <w:widowControl/>
        <w:spacing w:line="272" w:lineRule="exact" w:before="168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[31]</w:t>
      </w:r>
      <w:r>
        <w:rPr>
          <w:w w:val="98.67651679299094"/>
          <w:rFonts w:ascii="NimbusRomNo9L" w:hAnsi="NimbusRomNo9L" w:eastAsia="NimbusRomNo9L"/>
          <w:b w:val="0"/>
          <w:i w:val="0"/>
          <w:color w:val="000000"/>
          <w:sz w:val="22"/>
        </w:rPr>
        <w:t xml:space="preserve"> Y Chen et al. Understanding DevOps effort metrics: Challenges and opportunities. In</w:t>
      </w:r>
      <w:r>
        <w:rPr>
          <w:w w:val="98.67651679299094"/>
          <w:rFonts w:ascii="NimbusRomNo9L" w:hAnsi="NimbusRomNo9L" w:eastAsia="NimbusRomNo9L"/>
          <w:b w:val="0"/>
          <w:i/>
          <w:color w:val="000000"/>
          <w:sz w:val="22"/>
        </w:rPr>
        <w:t xml:space="preserve"> Proceedings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of the International Conference on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pages 245–256. ACM, 2020.</w:t>
      </w:r>
    </w:p>
    <w:p>
      <w:pPr>
        <w:autoSpaceDN w:val="0"/>
        <w:autoSpaceDE w:val="0"/>
        <w:widowControl/>
        <w:spacing w:line="222" w:lineRule="exact" w:before="22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[32] Barry W Boehm.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Software Engineering Economics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. Prentice-Hall, 1981.</w:t>
      </w:r>
    </w:p>
    <w:p>
      <w:pPr>
        <w:autoSpaceDN w:val="0"/>
        <w:tabs>
          <w:tab w:pos="468" w:val="left"/>
        </w:tabs>
        <w:autoSpaceDE w:val="0"/>
        <w:widowControl/>
        <w:spacing w:line="272" w:lineRule="exact" w:before="168" w:after="0"/>
        <w:ind w:left="0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[33] Jerome H Friedman. Greedy function approximation: A gradient boosting machine.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Annals of 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Statistics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pages 1189–1232, 2001.</w:t>
      </w:r>
    </w:p>
    <w:p>
      <w:pPr>
        <w:autoSpaceDN w:val="0"/>
        <w:tabs>
          <w:tab w:pos="472" w:val="left"/>
        </w:tabs>
        <w:autoSpaceDE w:val="0"/>
        <w:widowControl/>
        <w:spacing w:line="270" w:lineRule="exact" w:before="17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[34] P. Pandey, T. Sharma, and S. Saha. Hybrid ensemble learning for software effort estimation using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meta-heuristic optimization.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Applied Soft Computing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135:110054, 2023.</w:t>
      </w:r>
    </w:p>
    <w:p>
      <w:pPr>
        <w:autoSpaceDN w:val="0"/>
        <w:tabs>
          <w:tab w:pos="472" w:val="left"/>
        </w:tabs>
        <w:autoSpaceDE w:val="0"/>
        <w:widowControl/>
        <w:spacing w:line="270" w:lineRule="exact" w:before="17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[35]</w:t>
      </w:r>
      <w:r>
        <w:rPr>
          <w:w w:val="98.52689396251331"/>
          <w:rFonts w:ascii="NimbusRomNo9L" w:hAnsi="NimbusRomNo9L" w:eastAsia="NimbusRomNo9L"/>
          <w:b w:val="0"/>
          <w:i w:val="0"/>
          <w:color w:val="000000"/>
          <w:sz w:val="22"/>
        </w:rPr>
        <w:t xml:space="preserve"> Morakot Choetkiertikul, Hoa Khanh Dam, Truyen Tran, and Aditya Ghose. A deep learning model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for estimating story points.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IEEE Transactions on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45(7):637–656, 2018.</w:t>
      </w:r>
    </w:p>
    <w:p>
      <w:pPr>
        <w:autoSpaceDN w:val="0"/>
        <w:tabs>
          <w:tab w:pos="468" w:val="left"/>
        </w:tabs>
        <w:autoSpaceDE w:val="0"/>
        <w:widowControl/>
        <w:spacing w:line="272" w:lineRule="exact" w:before="170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[36]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 A. Alqadi and A. Abran. Deep learning models for software effort estimation: An empirical study. 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2"/>
        </w:rPr>
        <w:t>IEEE Access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9:135012–135026, 2021.</w:t>
      </w:r>
    </w:p>
    <w:p>
      <w:pPr>
        <w:autoSpaceDN w:val="0"/>
        <w:autoSpaceDE w:val="0"/>
        <w:widowControl/>
        <w:spacing w:line="270" w:lineRule="exact" w:before="172" w:after="0"/>
        <w:ind w:left="472" w:right="288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[37] Ekrem Kocaguneli, Tim Menzies, and Jacky W Keung. Exploiting the essential assumptions of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analogy-based effort estimation.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IEEE Transactions on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, 38(2):425–438,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2012.</w:t>
      </w:r>
    </w:p>
    <w:p>
      <w:pPr>
        <w:autoSpaceDN w:val="0"/>
        <w:tabs>
          <w:tab w:pos="468" w:val="left"/>
        </w:tabs>
        <w:autoSpaceDE w:val="0"/>
        <w:widowControl/>
        <w:spacing w:line="272" w:lineRule="exact" w:before="170" w:after="0"/>
        <w:ind w:left="0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[38] X Liu et al. Fuzzy logic and uncertainty quantification in software effort estimation.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Advanced 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2"/>
        </w:rPr>
        <w:t>Intelligent Systems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6:2300706, 2024. doi: 10.1002/aisy.202300706.</w:t>
      </w:r>
    </w:p>
    <w:p>
      <w:pPr>
        <w:autoSpaceDN w:val="0"/>
        <w:tabs>
          <w:tab w:pos="466" w:val="left"/>
        </w:tabs>
        <w:autoSpaceDE w:val="0"/>
        <w:widowControl/>
        <w:spacing w:line="270" w:lineRule="exact" w:before="17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[39] Y Wang et al. Pattern recognition approaches for software development effort prediction.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Pattern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Recognition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160:112890, 2025. doi: 10.1016/j.patcog.2025.112890.</w:t>
      </w:r>
    </w:p>
    <w:p>
      <w:pPr>
        <w:autoSpaceDN w:val="0"/>
        <w:tabs>
          <w:tab w:pos="456" w:val="left"/>
        </w:tabs>
        <w:autoSpaceDE w:val="0"/>
        <w:widowControl/>
        <w:spacing w:line="270" w:lineRule="exact" w:before="172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[40]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 L Zhang et al. Uncertainty-aware machine learning for software effort estimation.</w:t>
      </w:r>
      <w:r>
        <w:rPr>
          <w:w w:val="98.22696339000355"/>
          <w:rFonts w:ascii="NimbusRomNo9L" w:hAnsi="NimbusRomNo9L" w:eastAsia="NimbusRomNo9L"/>
          <w:b w:val="0"/>
          <w:i/>
          <w:color w:val="000000"/>
          <w:sz w:val="22"/>
        </w:rPr>
        <w:t xml:space="preserve"> IEEE Access</w:t>
      </w:r>
      <w:r>
        <w:rPr>
          <w:w w:val="98.22696339000355"/>
          <w:rFonts w:ascii="NimbusRomNo9L" w:hAnsi="NimbusRomNo9L" w:eastAsia="NimbusRomNo9L"/>
          <w:b w:val="0"/>
          <w:i w:val="0"/>
          <w:color w:val="000000"/>
          <w:sz w:val="22"/>
        </w:rPr>
        <w:t xml:space="preserve">, 12: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148205–148220, 2024. doi: 10.1109/ACCESS.2024.3480205.</w:t>
      </w:r>
    </w:p>
    <w:p>
      <w:pPr>
        <w:autoSpaceDN w:val="0"/>
        <w:autoSpaceDE w:val="0"/>
        <w:widowControl/>
        <w:spacing w:line="218" w:lineRule="exact" w:before="380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37</w:t>
      </w:r>
    </w:p>
    <w:p>
      <w:pPr>
        <w:sectPr>
          <w:pgSz w:w="11906" w:h="16838"/>
          <w:pgMar w:top="748" w:right="1382" w:bottom="3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6"/>
        <w:ind w:left="0" w:right="0"/>
      </w:pPr>
    </w:p>
    <w:p>
      <w:pPr>
        <w:autoSpaceDN w:val="0"/>
        <w:tabs>
          <w:tab w:pos="460" w:val="left"/>
        </w:tabs>
        <w:autoSpaceDE w:val="0"/>
        <w:widowControl/>
        <w:spacing w:line="246" w:lineRule="exact" w:before="0" w:after="0"/>
        <w:ind w:left="0" w:right="144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[41] H Chen et al. Hybrid ensemble framework for engineering applications in ai.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Engineering 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2"/>
        </w:rPr>
        <w:t>Applications of Artificial Intelligence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145:111655, 2025. doi: 10.1016/j.engappai.2025.111655.</w:t>
      </w:r>
    </w:p>
    <w:p>
      <w:pPr>
        <w:autoSpaceDN w:val="0"/>
        <w:tabs>
          <w:tab w:pos="472" w:val="left"/>
        </w:tabs>
        <w:autoSpaceDE w:val="0"/>
        <w:widowControl/>
        <w:spacing w:line="270" w:lineRule="exact" w:before="182" w:after="0"/>
        <w:ind w:left="0" w:right="288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[42] Leandro L Minku and Xin Yao. Ensembles and locality: Insight on improving software effort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estimation.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Information and Software Technology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55(8):1512–1528, 2013.</w:t>
      </w:r>
    </w:p>
    <w:p>
      <w:pPr>
        <w:autoSpaceDN w:val="0"/>
        <w:autoSpaceDE w:val="0"/>
        <w:widowControl/>
        <w:spacing w:line="272" w:lineRule="exact" w:before="178" w:after="0"/>
        <w:ind w:left="472" w:right="0" w:hanging="472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[43]</w:t>
      </w:r>
      <w:r>
        <w:rPr>
          <w:w w:val="98.9750862121582"/>
          <w:rFonts w:ascii="NimbusRomNo9L" w:hAnsi="NimbusRomNo9L" w:eastAsia="NimbusRomNo9L"/>
          <w:b w:val="0"/>
          <w:i w:val="0"/>
          <w:color w:val="000000"/>
          <w:sz w:val="22"/>
        </w:rPr>
        <w:t xml:space="preserve"> Vineeth Nair and Tim Menzies. Open problems in reproducibility, replication, and transparency in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software engineering. In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Proceedings of the 42nd International Conference on Software 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Engineering: New Ideas and Emerging Results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pages 1–4. IEEE, 2020.</w:t>
      </w:r>
    </w:p>
    <w:p>
      <w:pPr>
        <w:autoSpaceDN w:val="0"/>
        <w:tabs>
          <w:tab w:pos="472" w:val="left"/>
        </w:tabs>
        <w:autoSpaceDE w:val="0"/>
        <w:widowControl/>
        <w:spacing w:line="272" w:lineRule="exact" w:before="178" w:after="0"/>
        <w:ind w:left="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 xml:space="preserve">[44] Yong Yu, Xin Xia, David Lo, and Ahmed E Hassan. Transfer learning in software engineering: A 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systematic mapping study.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 xml:space="preserve"> Empirical Software Engineering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, 26(3):1–46, 2021.</w:t>
      </w:r>
    </w:p>
    <w:p>
      <w:pPr>
        <w:autoSpaceDN w:val="0"/>
        <w:autoSpaceDE w:val="0"/>
        <w:widowControl/>
        <w:spacing w:line="218" w:lineRule="exact" w:before="11412" w:after="0"/>
        <w:ind w:left="0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2"/>
        </w:rPr>
        <w:t>38</w:t>
      </w:r>
    </w:p>
    <w:sectPr w:rsidR="00FC693F" w:rsidRPr="0006063C" w:rsidSect="00034616">
      <w:pgSz w:w="11906" w:h="16838"/>
      <w:pgMar w:top="744" w:right="1420" w:bottom="394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yperlink" Target="https://github.com/danrodgar/DASE" TargetMode="External"/><Relationship Id="rId22" Type="http://schemas.openxmlformats.org/officeDocument/2006/relationships/hyperlink" Target="https://github.com/Derek-Jones/Software-estimation-datasets" TargetMode="External"/><Relationship Id="rId23" Type="http://schemas.openxmlformats.org/officeDocument/2006/relationships/hyperlink" Target="https://github.com/Freeman-md/software-project-development-estimator" TargetMode="External"/><Relationship Id="rId24" Type="http://schemas.openxmlformats.org/officeDocument/2006/relationships/hyperlink" Target="https://github.com/huynhhoc/effort-estimation-by-using-pre-train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