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63.png" ContentType="image/png"/>
  <Override PartName="/word/media/rId116.png" ContentType="image/png"/>
  <Override PartName="/word/media/rId58.png" ContentType="image/png"/>
  <Override PartName="/word/media/rId43.png" ContentType="image/png"/>
  <Override PartName="/word/media/rId88.png" ContentType="image/png"/>
  <Override PartName="/word/media/rId46.png" ContentType="image/png"/>
  <Override PartName="/word/media/rId108.png" ContentType="image/png"/>
  <Override PartName="/word/media/rId55.png" ContentType="image/png"/>
  <Override PartName="/word/media/rId3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Insightimate:</w:t>
      </w:r>
      <w:r>
        <w:rPr>
          <w:bCs/>
          <w:b/>
        </w:rPr>
        <w:t xml:space="preserve"> </w:t>
      </w:r>
      <w:r>
        <w:rPr>
          <w:bCs/>
          <w:b/>
        </w:rPr>
        <w:t xml:space="preserve">Enhancing</w:t>
      </w:r>
      <w:r>
        <w:rPr>
          <w:bCs/>
          <w:b/>
        </w:rPr>
        <w:t xml:space="preserve"> </w:t>
      </w:r>
      <w:r>
        <w:rPr>
          <w:bCs/>
          <w:b/>
        </w:rPr>
        <w:t xml:space="preserve">Software</w:t>
      </w:r>
      <w:r>
        <w:rPr>
          <w:bCs/>
          <w:b/>
        </w:rPr>
        <w:t xml:space="preserve"> </w:t>
      </w:r>
      <w:r>
        <w:rPr>
          <w:bCs/>
          <w:b/>
        </w:rPr>
        <w:t xml:space="preserve">Effort</w:t>
      </w:r>
      <w:r>
        <w:rPr>
          <w:bCs/>
          <w:b/>
        </w:rPr>
        <w:t xml:space="preserve"> </w:t>
      </w:r>
      <w:r>
        <w:rPr>
          <w:bCs/>
          <w:b/>
        </w:rPr>
        <w:t xml:space="preserve">Estimation</w:t>
      </w:r>
      <w:r>
        <w:rPr>
          <w:bCs/>
          <w:b/>
        </w:rPr>
        <w:t xml:space="preserve"> </w:t>
      </w:r>
      <w:r>
        <w:rPr>
          <w:bCs/>
          <w:b/>
        </w:rPr>
        <w:t xml:space="preserve">Accuracy</w:t>
      </w:r>
      <w:r>
        <w:rPr>
          <w:bCs/>
          <w:b/>
        </w:rPr>
        <w:t xml:space="preserve"> </w:t>
      </w:r>
      <w:r>
        <w:rPr>
          <w:bCs/>
          <w:b/>
        </w:rPr>
        <w:t xml:space="preserve">Using</w:t>
      </w:r>
      <w:r>
        <w:rPr>
          <w:bCs/>
          <w:b/>
        </w:rPr>
        <w:t xml:space="preserve"> </w:t>
      </w:r>
      <w:r>
        <w:rPr>
          <w:bCs/>
          <w:b/>
        </w:rPr>
        <w:t xml:space="preserve">Machine</w:t>
      </w:r>
      <w:r>
        <w:rPr>
          <w:bCs/>
          <w:b/>
        </w:rPr>
        <w:t xml:space="preserve"> </w:t>
      </w:r>
      <w:r>
        <w:rPr>
          <w:bCs/>
          <w:b/>
        </w:rPr>
        <w:t xml:space="preserve">Learning</w:t>
      </w:r>
      <w:r>
        <w:rPr>
          <w:bCs/>
          <w:b/>
        </w:rPr>
        <w:t xml:space="preserve"> </w:t>
      </w:r>
      <w:r>
        <w:rPr>
          <w:bCs/>
          <w:b/>
        </w:rPr>
        <w:t xml:space="preserve">Across</w:t>
      </w:r>
      <w:r>
        <w:rPr>
          <w:bCs/>
          <w:b/>
        </w:rPr>
        <w:t xml:space="preserve"> </w:t>
      </w:r>
      <w:r>
        <w:rPr>
          <w:bCs/>
          <w:b/>
        </w:rPr>
        <w:t xml:space="preserve">Three</w:t>
      </w:r>
      <w:r>
        <w:rPr>
          <w:bCs/>
          <w:b/>
        </w:rPr>
        <w:t xml:space="preserve"> </w:t>
      </w:r>
      <w:r>
        <w:rPr>
          <w:bCs/>
          <w:b/>
        </w:rPr>
        <w:t xml:space="preserve">Schemas</w:t>
      </w:r>
      <w:r>
        <w:rPr>
          <w:bCs/>
          <w:b/>
        </w:rPr>
        <w:t xml:space="preserve"> </w:t>
      </w:r>
      <w:r>
        <w:rPr>
          <w:bCs/>
          <w:b/>
        </w:rPr>
        <w:t xml:space="preserve">(LOC/FP/UCP)</w:t>
      </w:r>
    </w:p>
    <w:p>
      <w:pPr>
        <w:pStyle w:val="Author"/>
      </w:pPr>
      <w:r>
        <w:t xml:space="preserve">Nguyen</w:t>
      </w:r>
      <w:r>
        <w:t xml:space="preserve"> </w:t>
      </w:r>
      <w:r>
        <w:t xml:space="preserve">Nhat</w:t>
      </w:r>
      <w:r>
        <w:t xml:space="preserve"> </w:t>
      </w:r>
      <w:r>
        <w:t xml:space="preserve">Huy</w:t>
      </w:r>
      <w:r>
        <w:rPr>
          <w:vertAlign w:val="superscript"/>
        </w:rPr>
        <w:t xml:space="preserve">1</w:t>
      </w:r>
      <w:r>
        <w:t xml:space="preserve">,</w:t>
      </w:r>
      <w:r>
        <w:t xml:space="preserve"> </w:t>
      </w:r>
      <w:r>
        <w:t xml:space="preserve">Duc</w:t>
      </w:r>
      <w:r>
        <w:t xml:space="preserve"> </w:t>
      </w:r>
      <w:r>
        <w:t xml:space="preserve">Man</w:t>
      </w:r>
      <w:r>
        <w:t xml:space="preserve"> </w:t>
      </w:r>
      <w:r>
        <w:t xml:space="preserve">Nguyen</w:t>
      </w:r>
      <w:r>
        <w:rPr>
          <w:vertAlign w:val="superscript"/>
        </w:rPr>
        <w:t xml:space="preserve">1</w:t>
      </w:r>
      <w:r>
        <w:t xml:space="preserve">,</w:t>
      </w:r>
      <w:r>
        <w:t xml:space="preserve"> </w:t>
      </w:r>
      <w:r>
        <w:t xml:space="preserve">Dang</w:t>
      </w:r>
      <w:r>
        <w:t xml:space="preserve"> </w:t>
      </w:r>
      <w:r>
        <w:t xml:space="preserve">Nhat</w:t>
      </w:r>
      <w:r>
        <w:t xml:space="preserve"> </w:t>
      </w:r>
      <w:r>
        <w:t xml:space="preserve">Minh</w:t>
      </w:r>
      <w:r>
        <w:rPr>
          <w:vertAlign w:val="superscript"/>
        </w:rPr>
        <w:t xml:space="preserve">1</w:t>
      </w:r>
      <w:r>
        <w:t xml:space="preserve">,</w:t>
      </w:r>
      <w:r>
        <w:t xml:space="preserve"> </w:t>
      </w:r>
      <w:r>
        <w:t xml:space="preserve">Nguyen</w:t>
      </w:r>
      <w:r>
        <w:t xml:space="preserve"> </w:t>
      </w:r>
      <w:r>
        <w:t xml:space="preserve">Thuy</w:t>
      </w:r>
      <w:r>
        <w:t xml:space="preserve"> </w:t>
      </w:r>
      <w:r>
        <w:t xml:space="preserve">Giang</w:t>
      </w:r>
      <w:r>
        <w:rPr>
          <w:vertAlign w:val="superscript"/>
        </w:rPr>
        <w:t xml:space="preserve">1</w:t>
      </w:r>
      <w:r>
        <w:t xml:space="preserve">,</w:t>
      </w:r>
      <w:r>
        <w:t xml:space="preserve"> </w:t>
      </w:r>
      <w:r>
        <w:t xml:space="preserve">P. W. C. Prasad</w:t>
      </w:r>
      <w:r>
        <w:rPr>
          <w:vertAlign w:val="superscript"/>
        </w:rPr>
        <w:t xml:space="preserve">1</w:t>
      </w:r>
      <w:r>
        <w:t xml:space="preserve">,</w:t>
      </w:r>
      <w:r>
        <w:t xml:space="preserve"> </w:t>
      </w:r>
      <w:r>
        <w:t xml:space="preserve">Md</w:t>
      </w:r>
      <w:r>
        <w:t xml:space="preserve"> </w:t>
      </w:r>
      <w:r>
        <w:t xml:space="preserve">Shohel</w:t>
      </w:r>
      <w:r>
        <w:t xml:space="preserve"> </w:t>
      </w:r>
      <w:r>
        <w:t xml:space="preserve">Sayeed</w:t>
      </w:r>
      <w:r>
        <w:rPr>
          <w:vertAlign w:val="superscript"/>
        </w:rPr>
        <w:t xml:space="preserve">2,*</w:t>
      </w:r>
    </w:p>
    <w:p>
      <w:pPr>
        <w:pStyle w:val="AbstractTitle"/>
      </w:pPr>
      <w:r>
        <w:t xml:space="preserve">Abstract</w:t>
      </w:r>
    </w:p>
    <w:p>
      <w:pPr>
        <w:pStyle w:val="Abstract"/>
      </w:pPr>
      <w:r>
        <w:t xml:space="preserve">Accurate</w:t>
      </w:r>
      <w:r>
        <w:t xml:space="preserve"> </w:t>
      </w:r>
      <w:r>
        <w:t xml:space="preserve">estimation</w:t>
      </w:r>
      <w:r>
        <w:t xml:space="preserve"> </w:t>
      </w:r>
      <w:r>
        <w:t xml:space="preserve">of</w:t>
      </w:r>
      <w:r>
        <w:t xml:space="preserve"> </w:t>
      </w:r>
      <w:r>
        <w:t xml:space="preserve">software</w:t>
      </w:r>
      <w:r>
        <w:t xml:space="preserve"> </w:t>
      </w:r>
      <w:r>
        <w:t xml:space="preserve">development</w:t>
      </w:r>
      <w:r>
        <w:t xml:space="preserve"> </w:t>
      </w:r>
      <w:r>
        <w:t xml:space="preserve">effort</w:t>
      </w:r>
      <w:r>
        <w:t xml:space="preserve"> </w:t>
      </w:r>
      <w:r>
        <w:t xml:space="preserve">remains</w:t>
      </w:r>
      <w:r>
        <w:t xml:space="preserve"> </w:t>
      </w:r>
      <w:r>
        <w:t xml:space="preserve">a</w:t>
      </w:r>
      <w:r>
        <w:t xml:space="preserve"> </w:t>
      </w:r>
      <w:r>
        <w:t xml:space="preserve">longstanding</w:t>
      </w:r>
      <w:r>
        <w:t xml:space="preserve"> </w:t>
      </w:r>
      <w:r>
        <w:t xml:space="preserve">challenge</w:t>
      </w:r>
      <w:r>
        <w:t xml:space="preserve"> </w:t>
      </w:r>
      <w:r>
        <w:t xml:space="preserve">in</w:t>
      </w:r>
      <w:r>
        <w:t xml:space="preserve"> </w:t>
      </w:r>
      <w:r>
        <w:t xml:space="preserve">project</w:t>
      </w:r>
      <w:r>
        <w:t xml:space="preserve"> </w:t>
      </w:r>
      <w:r>
        <w:t xml:space="preserve">management,</w:t>
      </w:r>
      <w:r>
        <w:t xml:space="preserve"> </w:t>
      </w:r>
      <w:r>
        <w:t xml:space="preserve">particularly</w:t>
      </w:r>
      <w:r>
        <w:t xml:space="preserve"> </w:t>
      </w:r>
      <w:r>
        <w:t xml:space="preserve">as</w:t>
      </w:r>
      <w:r>
        <w:t xml:space="preserve"> </w:t>
      </w:r>
      <w:r>
        <w:t xml:space="preserve">contemporary</w:t>
      </w:r>
      <w:r>
        <w:t xml:space="preserve"> </w:t>
      </w:r>
      <w:r>
        <w:t xml:space="preserve">projects</w:t>
      </w:r>
      <w:r>
        <w:t xml:space="preserve"> </w:t>
      </w:r>
      <w:r>
        <w:t xml:space="preserve">exhibit</w:t>
      </w:r>
      <w:r>
        <w:t xml:space="preserve"> </w:t>
      </w:r>
      <w:r>
        <w:t xml:space="preserve">greater</w:t>
      </w:r>
      <w:r>
        <w:t xml:space="preserve"> </w:t>
      </w:r>
      <w:r>
        <w:t xml:space="preserve">heterogeneity</w:t>
      </w:r>
      <w:r>
        <w:t xml:space="preserve"> </w:t>
      </w:r>
      <w:r>
        <w:t xml:space="preserve">in</w:t>
      </w:r>
      <w:r>
        <w:t xml:space="preserve"> </w:t>
      </w:r>
      <w:r>
        <w:t xml:space="preserve">scale,</w:t>
      </w:r>
      <w:r>
        <w:t xml:space="preserve"> </w:t>
      </w:r>
      <w:r>
        <w:t xml:space="preserve">methodology,</w:t>
      </w:r>
      <w:r>
        <w:t xml:space="preserve"> </w:t>
      </w:r>
      <w:r>
        <w:t xml:space="preserve">and</w:t>
      </w:r>
      <w:r>
        <w:t xml:space="preserve"> </w:t>
      </w:r>
      <w:r>
        <w:t xml:space="preserve">complexity.</w:t>
      </w:r>
      <w:r>
        <w:t xml:space="preserve"> </w:t>
      </w:r>
      <w:r>
        <w:t xml:space="preserve">While</w:t>
      </w:r>
      <w:r>
        <w:t xml:space="preserve"> </w:t>
      </w:r>
      <w:r>
        <w:t xml:space="preserve">traditional</w:t>
      </w:r>
      <w:r>
        <w:t xml:space="preserve"> </w:t>
      </w:r>
      <w:r>
        <w:t xml:space="preserve">parametric</w:t>
      </w:r>
      <w:r>
        <w:t xml:space="preserve"> </w:t>
      </w:r>
      <w:r>
        <w:t xml:space="preserve">models</w:t>
      </w:r>
      <w:r>
        <w:t xml:space="preserve"> </w:t>
      </w:r>
      <w:r>
        <w:t xml:space="preserve">such</w:t>
      </w:r>
      <w:r>
        <w:t xml:space="preserve"> </w:t>
      </w:r>
      <w:r>
        <w:t xml:space="preserve">as</w:t>
      </w:r>
      <w:r>
        <w:t xml:space="preserve"> </w:t>
      </w:r>
      <w:r>
        <w:t xml:space="preserve">COCOMO II</w:t>
      </w:r>
      <w:r>
        <w:t xml:space="preserve"> </w:t>
      </w:r>
      <w:r>
        <w:t xml:space="preserve">offer</w:t>
      </w:r>
      <w:r>
        <w:t xml:space="preserve"> </w:t>
      </w:r>
      <w:r>
        <w:t xml:space="preserve">interpretability,</w:t>
      </w:r>
      <w:r>
        <w:t xml:space="preserve"> </w:t>
      </w:r>
      <w:r>
        <w:t xml:space="preserve">their</w:t>
      </w:r>
      <w:r>
        <w:t xml:space="preserve"> </w:t>
      </w:r>
      <w:r>
        <w:t xml:space="preserve">fixed</w:t>
      </w:r>
      <w:r>
        <w:t xml:space="preserve"> </w:t>
      </w:r>
      <w:r>
        <w:t xml:space="preserve">functional</w:t>
      </w:r>
      <w:r>
        <w:t xml:space="preserve"> </w:t>
      </w:r>
      <w:r>
        <w:t xml:space="preserve">forms</w:t>
      </w:r>
      <w:r>
        <w:t xml:space="preserve"> </w:t>
      </w:r>
      <w:r>
        <w:t xml:space="preserve">often</w:t>
      </w:r>
      <w:r>
        <w:t xml:space="preserve"> </w:t>
      </w:r>
      <w:r>
        <w:t xml:space="preserve">underfit</w:t>
      </w:r>
      <w:r>
        <w:t xml:space="preserve"> </w:t>
      </w:r>
      <w:r>
        <w:t xml:space="preserve">diverse</w:t>
      </w:r>
      <w:r>
        <w:t xml:space="preserve"> </w:t>
      </w:r>
      <w:r>
        <w:t xml:space="preserve">modern</w:t>
      </w:r>
      <w:r>
        <w:t xml:space="preserve"> </w:t>
      </w:r>
      <w:r>
        <w:t xml:space="preserve">datasets.</w:t>
      </w:r>
      <w:r>
        <w:t xml:space="preserve"> </w:t>
      </w:r>
      <w:r>
        <w:t xml:space="preserve">This</w:t>
      </w:r>
      <w:r>
        <w:t xml:space="preserve"> </w:t>
      </w:r>
      <w:r>
        <w:t xml:space="preserve">paper</w:t>
      </w:r>
      <w:r>
        <w:t xml:space="preserve"> </w:t>
      </w:r>
      <w:r>
        <w:t xml:space="preserve">proposes</w:t>
      </w:r>
      <w:r>
        <w:t xml:space="preserve"> </w:t>
      </w:r>
      <w:r>
        <w:t xml:space="preserve">a</w:t>
      </w:r>
      <w:r>
        <w:t xml:space="preserve"> </w:t>
      </w:r>
      <w:r>
        <w:t xml:space="preserve">unified</w:t>
      </w:r>
      <w:r>
        <w:t xml:space="preserve"> </w:t>
      </w:r>
      <w:r>
        <w:t xml:space="preserve">machine-learning–based</w:t>
      </w:r>
      <w:r>
        <w:t xml:space="preserve"> </w:t>
      </w:r>
      <w:r>
        <w:t xml:space="preserve">framework</w:t>
      </w:r>
      <w:r>
        <w:t xml:space="preserve"> </w:t>
      </w:r>
      <w:r>
        <w:t xml:space="preserve">designed</w:t>
      </w:r>
      <w:r>
        <w:t xml:space="preserve"> </w:t>
      </w:r>
      <w:r>
        <w:t xml:space="preserve">to</w:t>
      </w:r>
      <w:r>
        <w:t xml:space="preserve"> </w:t>
      </w:r>
      <w:r>
        <w:t xml:space="preserve">improve</w:t>
      </w:r>
      <w:r>
        <w:t xml:space="preserve"> </w:t>
      </w:r>
      <w:r>
        <w:t xml:space="preserve">estimation</w:t>
      </w:r>
      <w:r>
        <w:t xml:space="preserve"> </w:t>
      </w:r>
      <w:r>
        <w:t xml:space="preserve">accuracy</w:t>
      </w:r>
      <w:r>
        <w:t xml:space="preserve"> </w:t>
      </w:r>
      <w:r>
        <w:t xml:space="preserve">across</w:t>
      </w:r>
      <w:r>
        <w:t xml:space="preserve"> </w:t>
      </w:r>
      <w:r>
        <w:t xml:space="preserve">three</w:t>
      </w:r>
      <w:r>
        <w:t xml:space="preserve"> </w:t>
      </w:r>
      <w:r>
        <w:t xml:space="preserve">widely</w:t>
      </w:r>
      <w:r>
        <w:t xml:space="preserve"> </w:t>
      </w:r>
      <w:r>
        <w:t xml:space="preserve">used</w:t>
      </w:r>
      <w:r>
        <w:t xml:space="preserve"> </w:t>
      </w:r>
      <w:r>
        <w:t xml:space="preserve">sizing</w:t>
      </w:r>
      <w:r>
        <w:t xml:space="preserve"> </w:t>
      </w:r>
      <w:r>
        <w:t xml:space="preserve">schemas:</w:t>
      </w:r>
      <w:r>
        <w:t xml:space="preserve"> </w:t>
      </w:r>
      <w:r>
        <w:t xml:space="preserve">Lines</w:t>
      </w:r>
      <w:r>
        <w:t xml:space="preserve"> </w:t>
      </w:r>
      <w:r>
        <w:t xml:space="preserve">of</w:t>
      </w:r>
      <w:r>
        <w:t xml:space="preserve"> </w:t>
      </w:r>
      <w:r>
        <w:t xml:space="preserve">Code</w:t>
      </w:r>
      <w:r>
        <w:t xml:space="preserve"> </w:t>
      </w:r>
      <w:r>
        <w:t xml:space="preserve">(LOC),</w:t>
      </w:r>
      <w:r>
        <w:t xml:space="preserve"> </w:t>
      </w:r>
      <w:r>
        <w:t xml:space="preserve">Function</w:t>
      </w:r>
      <w:r>
        <w:t xml:space="preserve"> </w:t>
      </w:r>
      <w:r>
        <w:t xml:space="preserve">Points</w:t>
      </w:r>
      <w:r>
        <w:t xml:space="preserve"> </w:t>
      </w:r>
      <w:r>
        <w:t xml:space="preserve">(FP),</w:t>
      </w:r>
      <w:r>
        <w:t xml:space="preserve"> </w:t>
      </w:r>
      <w:r>
        <w:t xml:space="preserve">and</w:t>
      </w:r>
      <w:r>
        <w:t xml:space="preserve"> </w:t>
      </w:r>
      <w:r>
        <w:t xml:space="preserve">Use</w:t>
      </w:r>
      <w:r>
        <w:t xml:space="preserve"> </w:t>
      </w:r>
      <w:r>
        <w:t xml:space="preserve">Case</w:t>
      </w:r>
      <w:r>
        <w:t xml:space="preserve"> </w:t>
      </w:r>
      <w:r>
        <w:t xml:space="preserve">Points</w:t>
      </w:r>
      <w:r>
        <w:t xml:space="preserve"> </w:t>
      </w:r>
      <w:r>
        <w:t xml:space="preserve">(UCP).</w:t>
      </w:r>
      <w:r>
        <w:t xml:space="preserve"> </w:t>
      </w:r>
      <w:r>
        <w:t xml:space="preserve">The</w:t>
      </w:r>
      <w:r>
        <w:t xml:space="preserve"> </w:t>
      </w:r>
      <w:r>
        <w:t xml:space="preserve">framework</w:t>
      </w:r>
      <w:r>
        <w:t xml:space="preserve"> </w:t>
      </w:r>
      <w:r>
        <w:t xml:space="preserve">integrates</w:t>
      </w:r>
      <w:r>
        <w:t xml:space="preserve"> </w:t>
      </w:r>
      <w:r>
        <w:t xml:space="preserve">standardized</w:t>
      </w:r>
      <w:r>
        <w:t xml:space="preserve"> </w:t>
      </w:r>
      <w:r>
        <w:t xml:space="preserve">preprocessing,</w:t>
      </w:r>
      <w:r>
        <w:t xml:space="preserve"> </w:t>
      </w:r>
      <w:r>
        <w:t xml:space="preserve">schema-specific</w:t>
      </w:r>
      <w:r>
        <w:t xml:space="preserve"> </w:t>
      </w:r>
      <w:r>
        <w:t xml:space="preserve">feature</w:t>
      </w:r>
      <w:r>
        <w:t xml:space="preserve"> </w:t>
      </w:r>
      <w:r>
        <w:t xml:space="preserve">engineering,</w:t>
      </w:r>
      <w:r>
        <w:t xml:space="preserve"> </w:t>
      </w:r>
      <w:r>
        <w:t xml:space="preserve">and</w:t>
      </w:r>
      <w:r>
        <w:t xml:space="preserve"> </w:t>
      </w:r>
      <w:r>
        <w:t xml:space="preserve">a</w:t>
      </w:r>
      <w:r>
        <w:t xml:space="preserve"> </w:t>
      </w:r>
      <w:r>
        <w:t xml:space="preserve">set</w:t>
      </w:r>
      <w:r>
        <w:t xml:space="preserve"> </w:t>
      </w:r>
      <w:r>
        <w:t xml:space="preserve">of</w:t>
      </w:r>
      <w:r>
        <w:t xml:space="preserve"> </w:t>
      </w:r>
      <w:r>
        <w:t xml:space="preserve">representative</w:t>
      </w:r>
      <w:r>
        <w:t xml:space="preserve"> </w:t>
      </w:r>
      <w:r>
        <w:t xml:space="preserve">regression</w:t>
      </w:r>
      <w:r>
        <w:t xml:space="preserve"> </w:t>
      </w:r>
      <w:r>
        <w:t xml:space="preserve">models,</w:t>
      </w:r>
      <w:r>
        <w:t xml:space="preserve"> </w:t>
      </w:r>
      <w:r>
        <w:t xml:space="preserve">including</w:t>
      </w:r>
      <w:r>
        <w:t xml:space="preserve"> </w:t>
      </w:r>
      <w:r>
        <w:t xml:space="preserve">Linear</w:t>
      </w:r>
      <w:r>
        <w:t xml:space="preserve"> </w:t>
      </w:r>
      <w:r>
        <w:t xml:space="preserve">Regression,</w:t>
      </w:r>
      <w:r>
        <w:t xml:space="preserve"> </w:t>
      </w:r>
      <w:r>
        <w:t xml:space="preserve">Decision</w:t>
      </w:r>
      <w:r>
        <w:t xml:space="preserve"> </w:t>
      </w:r>
      <w:r>
        <w:t xml:space="preserve">Tree,</w:t>
      </w:r>
      <w:r>
        <w:t xml:space="preserve"> </w:t>
      </w:r>
      <w:r>
        <w:t xml:space="preserve">Random</w:t>
      </w:r>
      <w:r>
        <w:t xml:space="preserve"> </w:t>
      </w:r>
      <w:r>
        <w:t xml:space="preserve">Forest,</w:t>
      </w:r>
      <w:r>
        <w:t xml:space="preserve"> </w:t>
      </w:r>
      <w:r>
        <w:t xml:space="preserve">and</w:t>
      </w:r>
      <w:r>
        <w:t xml:space="preserve"> </w:t>
      </w:r>
      <w:r>
        <w:t xml:space="preserve">Gradient</w:t>
      </w:r>
      <w:r>
        <w:t xml:space="preserve"> </w:t>
      </w:r>
      <w:r>
        <w:t xml:space="preserve">Boosting.</w:t>
      </w:r>
      <w:r>
        <w:t xml:space="preserve"> </w:t>
      </w:r>
      <w:r>
        <w:t xml:space="preserve">Using</w:t>
      </w:r>
      <w:r>
        <w:t xml:space="preserve"> </w:t>
      </w:r>
      <w:r>
        <w:t xml:space="preserve">publicly</w:t>
      </w:r>
      <w:r>
        <w:t xml:space="preserve"> </w:t>
      </w:r>
      <w:r>
        <w:t xml:space="preserve">available</w:t>
      </w:r>
      <w:r>
        <w:t xml:space="preserve"> </w:t>
      </w:r>
      <w:r>
        <w:t xml:space="preserve">datasets</w:t>
      </w:r>
      <w:r>
        <w:t xml:space="preserve"> </w:t>
      </w:r>
      <w:r>
        <w:t xml:space="preserve">collected</w:t>
      </w:r>
      <w:r>
        <w:t xml:space="preserve"> </w:t>
      </w:r>
      <w:r>
        <w:t xml:space="preserve">from</w:t>
      </w:r>
      <w:r>
        <w:t xml:space="preserve"> </w:t>
      </w:r>
      <w:r>
        <w:t xml:space="preserve">prior</w:t>
      </w:r>
      <w:r>
        <w:t xml:space="preserve"> </w:t>
      </w:r>
      <w:r>
        <w:t xml:space="preserve">studies</w:t>
      </w:r>
      <w:r>
        <w:t xml:space="preserve"> </w:t>
      </w:r>
      <w:r>
        <w:t xml:space="preserve">spanning</w:t>
      </w:r>
      <w:r>
        <w:t xml:space="preserve"> </w:t>
      </w:r>
      <w:r>
        <w:t xml:space="preserve">1993–2022,</w:t>
      </w:r>
      <w:r>
        <w:t xml:space="preserve"> </w:t>
      </w:r>
      <w:r>
        <w:t xml:space="preserve">we</w:t>
      </w:r>
      <w:r>
        <w:t xml:space="preserve"> </w:t>
      </w:r>
      <w:r>
        <w:t xml:space="preserve">conduct</w:t>
      </w:r>
      <w:r>
        <w:t xml:space="preserve"> </w:t>
      </w:r>
      <w:r>
        <w:t xml:space="preserve">a</w:t>
      </w:r>
      <w:r>
        <w:t xml:space="preserve"> </w:t>
      </w:r>
      <w:r>
        <w:t xml:space="preserve">comprehensive</w:t>
      </w:r>
      <w:r>
        <w:t xml:space="preserve"> </w:t>
      </w:r>
      <w:r>
        <w:t xml:space="preserve">evaluation</w:t>
      </w:r>
      <w:r>
        <w:t xml:space="preserve"> </w:t>
      </w:r>
      <w:r>
        <w:t xml:space="preserve">based</w:t>
      </w:r>
      <w:r>
        <w:t xml:space="preserve"> </w:t>
      </w:r>
      <w:r>
        <w:t xml:space="preserve">on</w:t>
      </w:r>
      <w:r>
        <w:t xml:space="preserve"> </w:t>
      </w:r>
      <w:r>
        <w:t xml:space="preserve">established</w:t>
      </w:r>
      <w:r>
        <w:t xml:space="preserve"> </w:t>
      </w:r>
      <w:r>
        <w:t xml:space="preserve">effort-estimation</w:t>
      </w:r>
      <w:r>
        <w:t xml:space="preserve"> </w:t>
      </w:r>
      <w:r>
        <w:t xml:space="preserve">metrics</w:t>
      </w:r>
      <w:r>
        <w:t xml:space="preserve"> </w:t>
      </w:r>
      <w:r>
        <w:t xml:space="preserve">(MMRE,</w:t>
      </w:r>
      <w:r>
        <w:t xml:space="preserve"> </w:t>
      </w:r>
      <w:r>
        <w:t xml:space="preserve">PRED(25),</w:t>
      </w:r>
      <w:r>
        <w:t xml:space="preserve"> </w:t>
      </w:r>
      <w:r>
        <w:t xml:space="preserve">MAE,</w:t>
      </w:r>
      <w:r>
        <w:t xml:space="preserve"> </w:t>
      </w:r>
      <w:r>
        <w:t xml:space="preserve">RMSE,</w:t>
      </w:r>
      <w:r>
        <w:t xml:space="preserve"> </w:t>
      </w:r>
      <w:r>
        <w:t xml:space="preserve">and</w:t>
      </w:r>
      <w:r>
        <w:t xml:space="preserve"> </w:t>
      </w:r>
      <m:oMath>
        <m:sSup>
          <m:e>
            <m:r>
              <m:t>R</m:t>
            </m:r>
          </m:e>
          <m:sup>
            <m:r>
              <m:t>2</m:t>
            </m:r>
          </m:sup>
        </m:sSup>
      </m:oMath>
      <w:r>
        <w:t xml:space="preserve">).</w:t>
      </w:r>
      <w:r>
        <w:t xml:space="preserve"> </w:t>
      </w:r>
      <w:r>
        <w:t xml:space="preserve">Experimental</w:t>
      </w:r>
      <w:r>
        <w:t xml:space="preserve"> </w:t>
      </w:r>
      <w:r>
        <w:t xml:space="preserve">results</w:t>
      </w:r>
      <w:r>
        <w:t xml:space="preserve"> </w:t>
      </w:r>
      <w:r>
        <w:t xml:space="preserve">show</w:t>
      </w:r>
      <w:r>
        <w:t xml:space="preserve"> </w:t>
      </w:r>
      <w:r>
        <w:t xml:space="preserve">that</w:t>
      </w:r>
      <w:r>
        <w:t xml:space="preserve"> </w:t>
      </w:r>
      <w:r>
        <w:t xml:space="preserve">Random</w:t>
      </w:r>
      <w:r>
        <w:t xml:space="preserve"> </w:t>
      </w:r>
      <w:r>
        <w:t xml:space="preserve">Forest</w:t>
      </w:r>
      <w:r>
        <w:t xml:space="preserve"> </w:t>
      </w:r>
      <w:r>
        <w:t xml:space="preserve">achieves</w:t>
      </w:r>
      <w:r>
        <w:t xml:space="preserve"> </w:t>
      </w:r>
      <w:r>
        <w:t xml:space="preserve">the</w:t>
      </w:r>
      <w:r>
        <w:t xml:space="preserve"> </w:t>
      </w:r>
      <w:r>
        <w:t xml:space="preserve">best</w:t>
      </w:r>
      <w:r>
        <w:t xml:space="preserve"> </w:t>
      </w:r>
      <w:r>
        <w:t xml:space="preserve">overall</w:t>
      </w:r>
      <w:r>
        <w:t xml:space="preserve"> </w:t>
      </w:r>
      <w:r>
        <w:t xml:space="preserve">performance</w:t>
      </w:r>
      <w:r>
        <w:t xml:space="preserve"> </w:t>
      </w:r>
      <w:r>
        <w:t xml:space="preserve">(MMRE</w:t>
      </w:r>
      <w:r>
        <w:t xml:space="preserve"> </w:t>
      </w:r>
      <m:oMath>
        <m:r>
          <m:rPr>
            <m:sty m:val="p"/>
          </m:rPr>
          <m:t>≈</m:t>
        </m:r>
        <m:r>
          <m:t>0.647</m:t>
        </m:r>
      </m:oMath>
      <w:r>
        <w:t xml:space="preserve">;</w:t>
      </w:r>
      <w:r>
        <w:t xml:space="preserve"> </w:t>
      </w:r>
      <w:r>
        <w:t xml:space="preserve">PRED(25)</w:t>
      </w:r>
      <w:r>
        <w:t xml:space="preserve"> </w:t>
      </w:r>
      <m:oMath>
        <m:r>
          <m:rPr>
            <m:sty m:val="p"/>
          </m:rPr>
          <m:t>≈</m:t>
        </m:r>
        <m:r>
          <m:t>0.395</m:t>
        </m:r>
      </m:oMath>
      <w:r>
        <w:t xml:space="preserve">),</w:t>
      </w:r>
      <w:r>
        <w:t xml:space="preserve"> </w:t>
      </w:r>
      <w:r>
        <w:t xml:space="preserve">substantially</w:t>
      </w:r>
      <w:r>
        <w:t xml:space="preserve"> </w:t>
      </w:r>
      <w:r>
        <w:t xml:space="preserve">outperforming</w:t>
      </w:r>
      <w:r>
        <w:t xml:space="preserve"> </w:t>
      </w:r>
      <w:r>
        <w:t xml:space="preserve">COCOMO II,</w:t>
      </w:r>
      <w:r>
        <w:t xml:space="preserve"> </w:t>
      </w:r>
      <w:r>
        <w:t xml:space="preserve">which</w:t>
      </w:r>
      <w:r>
        <w:t xml:space="preserve"> </w:t>
      </w:r>
      <w:r>
        <w:t xml:space="preserve">exhibits</w:t>
      </w:r>
      <w:r>
        <w:t xml:space="preserve"> </w:t>
      </w:r>
      <w:r>
        <w:t xml:space="preserve">poor</w:t>
      </w:r>
      <w:r>
        <w:t xml:space="preserve"> </w:t>
      </w:r>
      <w:r>
        <w:t xml:space="preserve">predictive</w:t>
      </w:r>
      <w:r>
        <w:t xml:space="preserve"> </w:t>
      </w:r>
      <w:r>
        <w:t xml:space="preserve">accuracy</w:t>
      </w:r>
      <w:r>
        <w:t xml:space="preserve"> </w:t>
      </w:r>
      <w:r>
        <w:t xml:space="preserve">on</w:t>
      </w:r>
      <w:r>
        <w:t xml:space="preserve"> </w:t>
      </w:r>
      <w:r>
        <w:t xml:space="preserve">heterogeneous</w:t>
      </w:r>
      <w:r>
        <w:t xml:space="preserve"> </w:t>
      </w:r>
      <w:r>
        <w:t xml:space="preserve">datasets</w:t>
      </w:r>
      <w:r>
        <w:t xml:space="preserve"> </w:t>
      </w:r>
      <w:r>
        <w:t xml:space="preserve">(MMRE</w:t>
      </w:r>
      <w:r>
        <w:t xml:space="preserve"> </w:t>
      </w:r>
      <m:oMath>
        <m:r>
          <m:rPr>
            <m:sty m:val="p"/>
          </m:rPr>
          <m:t>≈</m:t>
        </m:r>
        <m:r>
          <m:t>2.790</m:t>
        </m:r>
      </m:oMath>
      <w:r>
        <w:t xml:space="preserve">;</w:t>
      </w:r>
      <w:r>
        <w:t xml:space="preserve"> </w:t>
      </w:r>
      <w:r>
        <w:t xml:space="preserve">PRED(25)</w:t>
      </w:r>
      <w:r>
        <w:t xml:space="preserve"> </w:t>
      </w:r>
      <m:oMath>
        <m:r>
          <m:rPr>
            <m:sty m:val="p"/>
          </m:rPr>
          <m:t>≈</m:t>
        </m:r>
        <m:r>
          <m:t>0.012</m:t>
        </m:r>
      </m:oMath>
      <w:r>
        <w:t xml:space="preserve">).</w:t>
      </w:r>
      <w:r>
        <w:t xml:space="preserve"> </w:t>
      </w:r>
      <w:r>
        <w:t xml:space="preserve">In</w:t>
      </w:r>
      <w:r>
        <w:t xml:space="preserve"> </w:t>
      </w:r>
      <w:r>
        <w:t xml:space="preserve">addition,</w:t>
      </w:r>
      <w:r>
        <w:t xml:space="preserve"> </w:t>
      </w:r>
      <w:r>
        <w:t xml:space="preserve">we</w:t>
      </w:r>
      <w:r>
        <w:t xml:space="preserve"> </w:t>
      </w:r>
      <w:r>
        <w:t xml:space="preserve">perform</w:t>
      </w:r>
      <w:r>
        <w:t xml:space="preserve"> </w:t>
      </w:r>
      <w:r>
        <w:t xml:space="preserve">a</w:t>
      </w:r>
      <w:r>
        <w:t xml:space="preserve"> </w:t>
      </w:r>
      <w:r>
        <w:t xml:space="preserve">schema-by-schema</w:t>
      </w:r>
      <w:r>
        <w:t xml:space="preserve"> </w:t>
      </w:r>
      <w:r>
        <w:t xml:space="preserve">comparison</w:t>
      </w:r>
      <w:r>
        <w:t xml:space="preserve"> </w:t>
      </w:r>
      <w:r>
        <w:t xml:space="preserve">to</w:t>
      </w:r>
      <w:r>
        <w:t xml:space="preserve"> </w:t>
      </w:r>
      <w:r>
        <w:t xml:space="preserve">highlight</w:t>
      </w:r>
      <w:r>
        <w:t xml:space="preserve"> </w:t>
      </w:r>
      <w:r>
        <w:t xml:space="preserve">the</w:t>
      </w:r>
      <w:r>
        <w:t xml:space="preserve"> </w:t>
      </w:r>
      <w:r>
        <w:t xml:space="preserve">sensitivity</w:t>
      </w:r>
      <w:r>
        <w:t xml:space="preserve"> </w:t>
      </w:r>
      <w:r>
        <w:t xml:space="preserve">of</w:t>
      </w:r>
      <w:r>
        <w:t xml:space="preserve"> </w:t>
      </w:r>
      <w:r>
        <w:t xml:space="preserve">different</w:t>
      </w:r>
      <w:r>
        <w:t xml:space="preserve"> </w:t>
      </w:r>
      <w:r>
        <w:t xml:space="preserve">models</w:t>
      </w:r>
      <w:r>
        <w:t xml:space="preserve"> </w:t>
      </w:r>
      <w:r>
        <w:t xml:space="preserve">to</w:t>
      </w:r>
      <w:r>
        <w:t xml:space="preserve"> </w:t>
      </w:r>
      <w:r>
        <w:t xml:space="preserve">LOC,</w:t>
      </w:r>
      <w:r>
        <w:t xml:space="preserve"> </w:t>
      </w:r>
      <w:r>
        <w:t xml:space="preserve">FP,</w:t>
      </w:r>
      <w:r>
        <w:t xml:space="preserve"> </w:t>
      </w:r>
      <w:r>
        <w:t xml:space="preserve">and</w:t>
      </w:r>
      <w:r>
        <w:t xml:space="preserve"> </w:t>
      </w:r>
      <w:r>
        <w:t xml:space="preserve">UCP</w:t>
      </w:r>
      <w:r>
        <w:t xml:space="preserve"> </w:t>
      </w:r>
      <w:r>
        <w:t xml:space="preserve">representations.</w:t>
      </w:r>
      <w:r>
        <w:t xml:space="preserve"> </w:t>
      </w:r>
      <w:r>
        <w:t xml:space="preserve">The</w:t>
      </w:r>
      <w:r>
        <w:t xml:space="preserve"> </w:t>
      </w:r>
      <w:r>
        <w:t xml:space="preserve">findings</w:t>
      </w:r>
      <w:r>
        <w:t xml:space="preserve"> </w:t>
      </w:r>
      <w:r>
        <w:t xml:space="preserve">demonstrate</w:t>
      </w:r>
      <w:r>
        <w:t xml:space="preserve"> </w:t>
      </w:r>
      <w:r>
        <w:t xml:space="preserve">that</w:t>
      </w:r>
      <w:r>
        <w:t xml:space="preserve"> </w:t>
      </w:r>
      <w:r>
        <w:t xml:space="preserve">data-driven</w:t>
      </w:r>
      <w:r>
        <w:t xml:space="preserve"> </w:t>
      </w:r>
      <w:r>
        <w:t xml:space="preserve">approaches</w:t>
      </w:r>
      <w:r>
        <w:t xml:space="preserve"> </w:t>
      </w:r>
      <w:r>
        <w:t xml:space="preserve">generalize</w:t>
      </w:r>
      <w:r>
        <w:t xml:space="preserve"> </w:t>
      </w:r>
      <w:r>
        <w:t xml:space="preserve">more</w:t>
      </w:r>
      <w:r>
        <w:t xml:space="preserve"> </w:t>
      </w:r>
      <w:r>
        <w:t xml:space="preserve">effectively</w:t>
      </w:r>
      <w:r>
        <w:t xml:space="preserve"> </w:t>
      </w:r>
      <w:r>
        <w:t xml:space="preserve">across</w:t>
      </w:r>
      <w:r>
        <w:t xml:space="preserve"> </w:t>
      </w:r>
      <w:r>
        <w:t xml:space="preserve">diverse</w:t>
      </w:r>
      <w:r>
        <w:t xml:space="preserve"> </w:t>
      </w:r>
      <w:r>
        <w:t xml:space="preserve">project</w:t>
      </w:r>
      <w:r>
        <w:t xml:space="preserve"> </w:t>
      </w:r>
      <w:r>
        <w:t xml:space="preserve">contexts,</w:t>
      </w:r>
      <w:r>
        <w:t xml:space="preserve"> </w:t>
      </w:r>
      <w:r>
        <w:t xml:space="preserve">offering</w:t>
      </w:r>
      <w:r>
        <w:t xml:space="preserve"> </w:t>
      </w:r>
      <w:r>
        <w:t xml:space="preserve">actionable</w:t>
      </w:r>
      <w:r>
        <w:t xml:space="preserve"> </w:t>
      </w:r>
      <w:r>
        <w:t xml:space="preserve">insights</w:t>
      </w:r>
      <w:r>
        <w:t xml:space="preserve"> </w:t>
      </w:r>
      <w:r>
        <w:t xml:space="preserve">for</w:t>
      </w:r>
      <w:r>
        <w:t xml:space="preserve"> </w:t>
      </w:r>
      <w:r>
        <w:t xml:space="preserve">practitioners</w:t>
      </w:r>
      <w:r>
        <w:t xml:space="preserve"> </w:t>
      </w:r>
      <w:r>
        <w:t xml:space="preserve">seeking</w:t>
      </w:r>
      <w:r>
        <w:t xml:space="preserve"> </w:t>
      </w:r>
      <w:r>
        <w:t xml:space="preserve">reliable</w:t>
      </w:r>
      <w:r>
        <w:t xml:space="preserve"> </w:t>
      </w:r>
      <w:r>
        <w:t xml:space="preserve">and</w:t>
      </w:r>
      <w:r>
        <w:t xml:space="preserve"> </w:t>
      </w:r>
      <w:r>
        <w:t xml:space="preserve">scalable</w:t>
      </w:r>
      <w:r>
        <w:t xml:space="preserve"> </w:t>
      </w:r>
      <w:r>
        <w:t xml:space="preserve">software</w:t>
      </w:r>
      <w:r>
        <w:t xml:space="preserve"> </w:t>
      </w:r>
      <w:r>
        <w:t xml:space="preserve">effort</w:t>
      </w:r>
      <w:r>
        <w:t xml:space="preserve"> </w:t>
      </w:r>
      <w:r>
        <w:t xml:space="preserve">estimation.</w:t>
      </w:r>
    </w:p>
    <w:p>
      <w:pPr>
        <w:pStyle w:val="FirstParagraph"/>
      </w:pPr>
      <w:r>
        <w:rPr>
          <w:vertAlign w:val="superscript"/>
        </w:rPr>
        <w:t xml:space="preserve">1</w:t>
      </w:r>
      <w:r>
        <w:t xml:space="preserve">International School, Duy Tan University, Da Nang 550000, Vietnam</w:t>
      </w:r>
      <w:r>
        <w:br/>
      </w:r>
      <w:r>
        <w:rPr>
          <w:vertAlign w:val="superscript"/>
        </w:rPr>
        <w:t xml:space="preserve">2</w:t>
      </w:r>
      <w:r>
        <w:t xml:space="preserve">Faculty of Information Science and Technology, Multimedia University, Malaysia</w:t>
      </w:r>
      <w:r>
        <w:br/>
      </w:r>
      <w:r>
        <w:rPr>
          <w:vertAlign w:val="superscript"/>
        </w:rPr>
        <w:t xml:space="preserve">*</w:t>
      </w:r>
      <w:r>
        <w:rPr>
          <w:bCs/>
          <w:b/>
        </w:rPr>
        <w:t xml:space="preserve">Corresponding author:</w:t>
      </w:r>
      <w:r>
        <w:t xml:space="preserve"> </w:t>
      </w:r>
      <w:r>
        <w:t xml:space="preserve">shohel.sayeed@mmu.edu.my</w:t>
      </w:r>
    </w:p>
    <w:p>
      <w:pPr>
        <w:pStyle w:val="BodyText"/>
      </w:pPr>
      <w:r>
        <w:t xml:space="preserve">September 2025</w:t>
      </w:r>
    </w:p>
    <w:p>
      <w:pPr>
        <w:pStyle w:val="BodyText"/>
      </w:pPr>
      <w:r>
        <w:rPr>
          <w:bCs/>
          <w:b/>
        </w:rPr>
        <w:t xml:space="preserve">Index Terms</w:t>
      </w:r>
      <w:r>
        <w:t xml:space="preserve"> </w:t>
      </w:r>
      <w:r>
        <w:t xml:space="preserve">Effort estimation, COCOMO II, machine learning, Random Forest, Gradient Boosting, LOC, FP, UCP.</w:t>
      </w:r>
    </w:p>
    <w:bookmarkStart w:id="20" w:name="introduction"/>
    <w:p>
      <w:pPr>
        <w:pStyle w:val="Heading1"/>
      </w:pPr>
      <w:r>
        <w:t xml:space="preserve">Introduction</w:t>
      </w:r>
    </w:p>
    <w:p>
      <w:pPr>
        <w:pStyle w:val="FirstParagraph"/>
      </w:pPr>
      <w:r>
        <w:t xml:space="preserve">Accurately estimating software development effort is a critical factor in determining the success of software projects. Reliable estimates support effective planning, budgeting, resource allocation, and risk management. Conversely, inaccurate estimates often result in cost overruns, schedule delays, and even project failure, as widely acknowledged in the empirical software engineering literature </w:t>
      </w:r>
      <w:r>
        <w:t xml:space="preserve">. As modern software projects continue to grow in diversity—varying in size, methodology, domain, and team structure—the challenge of producing consistent and trustworthy effort estimates becomes increasingly pronounced.</w:t>
      </w:r>
    </w:p>
    <w:p>
      <w:pPr>
        <w:pStyle w:val="BodyText"/>
      </w:pPr>
      <w:r>
        <w:t xml:space="preserve">A wide range of factors affect estimation accuracy, including project size, functional complexity, development methodology, team capability, and organizational context. Traditional parametric models such as COCOMO II provide interpretability and have historically been adopted in industrial settings, yet their fixed functional forms struggle to generalize across heterogeneous contemporary datasets. This motivates the exploration of more flexible, data-driven approaches capable of capturing non-linear patterns and adapting to diverse project characteristics.</w:t>
      </w:r>
    </w:p>
    <w:p>
      <w:pPr>
        <w:pStyle w:val="BodyText"/>
      </w:pPr>
      <w:r>
        <w:t xml:space="preserve">In this work, we address these challenges by designing a unified machine-learning framework for software effort estimation. Specifically, this study pursues three objectives: (i) to develop an integrated estimation framework that supports three major sizing schemas—Lines of Code (LOC), Function Points (FP), and Use Case Points (UCP); (ii) to empirically compare the performance of multiple machine-learning regressors against the widely used COCOMO II model using standard evaluation metrics such as MMRE, PRED(25), MAE, RMSE, and</w:t>
      </w:r>
      <w:r>
        <w:t xml:space="preserve"> </w:t>
      </w:r>
      <m:oMath>
        <m:sSup>
          <m:e>
            <m:r>
              <m:t>R</m:t>
            </m:r>
          </m:e>
          <m:sup>
            <m:r>
              <m:t>2</m:t>
            </m:r>
          </m:sup>
        </m:sSup>
      </m:oMath>
      <w:r>
        <w:t xml:space="preserve">; and (iii) to analyze the behavior of each model within individual sizing schemas in order to provide practical insights for software project managers.</w:t>
      </w:r>
    </w:p>
    <w:p>
      <w:pPr>
        <w:pStyle w:val="BodyText"/>
      </w:pPr>
      <w:r>
        <w:t xml:space="preserve">The contributions of this paper are summarized as follows:</w:t>
      </w:r>
    </w:p>
    <w:p>
      <w:pPr>
        <w:numPr>
          <w:ilvl w:val="0"/>
          <w:numId w:val="1001"/>
        </w:numPr>
      </w:pPr>
      <w:r>
        <w:t xml:space="preserve">We propose a unified multi-schema machine-learning framework that harmonizes preprocessing, feature construction, model training, and evaluation across LOC, FP, and UCP.</w:t>
      </w:r>
    </w:p>
    <w:p>
      <w:pPr>
        <w:numPr>
          <w:ilvl w:val="0"/>
          <w:numId w:val="1001"/>
        </w:numPr>
      </w:pPr>
      <w:r>
        <w:t xml:space="preserve">We conduct a comprehensive empirical comparison involving four representative ML models and the COCOMO II baseline on publicly available datasets spanning 1993–2022.</w:t>
      </w:r>
    </w:p>
    <w:p>
      <w:pPr>
        <w:numPr>
          <w:ilvl w:val="0"/>
          <w:numId w:val="1001"/>
        </w:numPr>
      </w:pPr>
      <w:r>
        <w:t xml:space="preserve">We provide schema-specific analyses to examine how input representation (KLOC, FP, UCP) influences predictive accuracy.</w:t>
      </w:r>
    </w:p>
    <w:p>
      <w:pPr>
        <w:numPr>
          <w:ilvl w:val="0"/>
          <w:numId w:val="1001"/>
        </w:numPr>
      </w:pPr>
      <w:r>
        <w:t xml:space="preserve">We offer practical implications for applying machine-learning-based effort estimation in real-world software engineering environments.</w:t>
      </w:r>
    </w:p>
    <w:bookmarkEnd w:id="20"/>
    <w:bookmarkStart w:id="32" w:name="background-and-methods"/>
    <w:p>
      <w:pPr>
        <w:pStyle w:val="Heading1"/>
      </w:pPr>
      <w:r>
        <w:t xml:space="preserve">Background and Methods</w:t>
      </w:r>
    </w:p>
    <w:bookmarkStart w:id="24" w:name="cocomo-ii-recap"/>
    <w:p>
      <w:pPr>
        <w:pStyle w:val="Heading2"/>
      </w:pPr>
      <w:r>
        <w:t xml:space="preserve">COCOMO II Recap</w:t>
      </w:r>
    </w:p>
    <w:p>
      <w:pPr>
        <w:pStyle w:val="FirstParagraph"/>
      </w:pPr>
      <w:r>
        <w:t xml:space="preserve">COCOMO II (Constructive Cost Model II) extends the original COCOMO 81 model to better accommodate modern development practices, including component reuse, iterative processes, and object-oriented architectures. The model estimates the development effort</w:t>
      </w:r>
      <w:r>
        <w:t xml:space="preserve"> </w:t>
      </w:r>
      <m:oMath>
        <m:r>
          <m:t>E</m:t>
        </m:r>
      </m:oMath>
      <w:r>
        <w:t xml:space="preserve"> </w:t>
      </w:r>
      <w:r>
        <w:t xml:space="preserve">(in person-months) using a power-law function of project size:</w:t>
      </w:r>
    </w:p>
    <w:p>
      <w:pPr>
        <w:pStyle w:val="BodyText"/>
      </w:pPr>
      <m:oMathPara>
        <m:oMathParaPr>
          <m:jc m:val="center"/>
        </m:oMathParaPr>
        <m:oMath>
          <m:r>
            <m:t>E</m:t>
          </m:r>
          <m:r>
            <m:rPr>
              <m:sty m:val="p"/>
            </m:rPr>
            <m:t>=</m:t>
          </m:r>
          <m:r>
            <m:t>A</m:t>
          </m:r>
          <m:r>
            <m:rPr>
              <m:sty m:val="p"/>
            </m:rPr>
            <m:t>×</m:t>
          </m:r>
          <m:sSup>
            <m:e>
              <m:d>
                <m:dPr>
                  <m:begChr m:val="("/>
                  <m:endChr m:val=")"/>
                  <m:sepChr m:val=""/>
                  <m:grow/>
                </m:dPr>
                <m:e>
                  <m:r>
                    <m:rPr>
                      <m:nor/>
                      <m:sty m:val="p"/>
                    </m:rPr>
                    <m:t>Size</m:t>
                  </m:r>
                </m:e>
              </m:d>
            </m:e>
            <m:sup>
              <m:r>
                <m:t>B</m:t>
              </m:r>
            </m:sup>
          </m:sSup>
          <m:r>
            <m:rPr>
              <m:sty m:val="p"/>
            </m:rPr>
            <m:t>×</m:t>
          </m:r>
          <m:nary>
            <m:naryPr>
              <m:chr m:val="∏"/>
              <m:limLoc m:val="undOvr"/>
              <m:subHide m:val="off"/>
              <m:supHide m:val="off"/>
            </m:naryPr>
            <m:sub>
              <m:r>
                <m:t>i</m:t>
              </m:r>
              <m:r>
                <m:rPr>
                  <m:sty m:val="p"/>
                </m:rPr>
                <m:t>=</m:t>
              </m:r>
              <m:r>
                <m:t>1</m:t>
              </m:r>
            </m:sub>
            <m:sup>
              <m:r>
                <m:t>m</m:t>
              </m:r>
            </m:sup>
            <m:e>
              <m:r>
                <m:t>E</m:t>
              </m:r>
            </m:e>
          </m:nary>
          <m:sSub>
            <m:e>
              <m:r>
                <m:t>M</m:t>
              </m:r>
            </m:e>
            <m:sub>
              <m:r>
                <m:t>i</m:t>
              </m:r>
            </m:sub>
          </m:sSub>
          <m:r>
            <m:rPr>
              <m:sty m:val="p"/>
            </m:rPr>
            <m:t>,</m:t>
          </m:r>
        </m:oMath>
      </m:oMathPara>
    </w:p>
    <w:p>
      <w:pPr>
        <w:pStyle w:val="FirstParagraph"/>
      </w:pPr>
      <w:r>
        <w:t xml:space="preserve">where is commonly expressed in KLOC,</w:t>
      </w:r>
      <w:r>
        <w:t xml:space="preserve"> </w:t>
      </w:r>
      <m:oMath>
        <m:r>
          <m:t>A</m:t>
        </m:r>
      </m:oMath>
      <w:r>
        <w:t xml:space="preserve"> </w:t>
      </w:r>
      <w:r>
        <w:t xml:space="preserve">and</w:t>
      </w:r>
      <w:r>
        <w:t xml:space="preserve"> </w:t>
      </w:r>
      <m:oMath>
        <m:r>
          <m:t>B</m:t>
        </m:r>
      </m:oMath>
      <w:r>
        <w:t xml:space="preserve"> </w:t>
      </w:r>
      <w:r>
        <w:t xml:space="preserve">are calibration constants derived from historical data, and</w:t>
      </w:r>
      <w:r>
        <w:t xml:space="preserve"> </w:t>
      </w:r>
      <m:oMath>
        <m:r>
          <m:t>E</m:t>
        </m:r>
        <m:sSub>
          <m:e>
            <m:r>
              <m:t>M</m:t>
            </m:r>
          </m:e>
          <m:sub>
            <m:r>
              <m:t>i</m:t>
            </m:r>
          </m:sub>
        </m:sSub>
      </m:oMath>
      <w:r>
        <w:t xml:space="preserve"> </w:t>
      </w:r>
      <w:r>
        <w:t xml:space="preserve">represents effort multipliers capturing project-specific characteristics such as team experience, product complexity, and tool support.</w:t>
      </w:r>
    </w:p>
    <w:p>
      <w:pPr>
        <w:pStyle w:val="BodyText"/>
      </w:pPr>
      <w:r>
        <w:t xml:space="preserve">The project schedule is then computed as:</w:t>
      </w:r>
    </w:p>
    <w:p>
      <w:pPr>
        <w:pStyle w:val="BodyText"/>
      </w:pPr>
      <m:oMathPara>
        <m:oMathParaPr>
          <m:jc m:val="center"/>
        </m:oMathParaPr>
        <m:oMath>
          <m:r>
            <m:rPr>
              <m:nor/>
              <m:sty m:val="p"/>
            </m:rPr>
            <m:t>Time</m:t>
          </m:r>
          <m:r>
            <m:rPr>
              <m:sty m:val="p"/>
            </m:rPr>
            <m:t>=</m:t>
          </m:r>
          <m:r>
            <m:t>C</m:t>
          </m:r>
          <m:r>
            <m:rPr>
              <m:sty m:val="p"/>
            </m:rPr>
            <m:t>×</m:t>
          </m:r>
          <m:sSup>
            <m:e>
              <m:r>
                <m:t>E</m:t>
              </m:r>
            </m:e>
            <m:sup>
              <m:r>
                <m:t>D</m:t>
              </m:r>
            </m:sup>
          </m:sSup>
          <m:r>
            <m:rPr>
              <m:sty m:val="p"/>
            </m:rPr>
            <m:t>,</m:t>
          </m:r>
        </m:oMath>
      </m:oMathPara>
    </w:p>
    <w:p>
      <w:pPr>
        <w:pStyle w:val="FirstParagraph"/>
      </w:pPr>
      <w:r>
        <w:t xml:space="preserve">with constants</w:t>
      </w:r>
      <w:r>
        <w:t xml:space="preserve"> </w:t>
      </w:r>
      <m:oMath>
        <m:r>
          <m:t>C</m:t>
        </m:r>
      </m:oMath>
      <w:r>
        <w:t xml:space="preserve"> </w:t>
      </w:r>
      <w:r>
        <w:t xml:space="preserve">and</w:t>
      </w:r>
      <w:r>
        <w:t xml:space="preserve"> </w:t>
      </w:r>
      <m:oMath>
        <m:r>
          <m:t>D</m:t>
        </m:r>
      </m:oMath>
      <w:r>
        <w:t xml:space="preserve"> </w:t>
      </w:r>
      <w:r>
        <w:t xml:space="preserve">similarly obtained through calibration. Although COCOMO II remains influential due to its transparency and ease of interpretation, its rigid parametric structure often struggles to accommodate heterogeneous datasets found in contemporary software projects. This limitation has motivated the exploration of machine-learning approaches that can flexibly capture complex, non-linear relationships present in real-world estimation scenarios.</w:t>
      </w:r>
    </w:p>
    <w:p>
      <w:pPr>
        <w:pStyle w:val="BodyText"/>
      </w:pPr>
      <m:oMathPara>
        <m:oMathParaPr>
          <m:jc m:val="center"/>
        </m:oMathParaPr>
        <m:oMath>
          <m:r>
            <m:rPr>
              <m:nor/>
              <m:sty m:val="p"/>
            </m:rPr>
            <m:t>Time</m:t>
          </m:r>
          <m:r>
            <m:rPr>
              <m:sty m:val="p"/>
            </m:rPr>
            <m:t>=</m:t>
          </m:r>
          <m:r>
            <m:t>C</m:t>
          </m:r>
          <m:r>
            <m:rPr>
              <m:sty m:val="p"/>
            </m:rPr>
            <m:t>×</m:t>
          </m:r>
          <m:sSup>
            <m:e>
              <m:r>
                <m:t>E</m:t>
              </m:r>
            </m:e>
            <m:sup>
              <m:r>
                <m:t>D</m:t>
              </m:r>
            </m:sup>
          </m:sSup>
          <m:r>
            <m:rPr>
              <m:sty m:val="p"/>
            </m:rPr>
            <m:t>,</m:t>
          </m:r>
        </m:oMath>
      </m:oMathPara>
    </w:p>
    <w:p>
      <w:pPr>
        <w:pStyle w:val="FirstParagraph"/>
      </w:pPr>
      <w:r>
        <w:t xml:space="preserve">with constants</w:t>
      </w:r>
      <w:r>
        <w:t xml:space="preserve"> </w:t>
      </w:r>
      <m:oMath>
        <m:r>
          <m:t>C</m:t>
        </m:r>
        <m:r>
          <m:rPr>
            <m:sty m:val="p"/>
          </m:rPr>
          <m:t>,</m:t>
        </m:r>
        <m:r>
          <m:t>D</m:t>
        </m:r>
      </m:oMath>
      <w:r>
        <w:t xml:space="preserve"> </w:t>
      </w:r>
      <w:r>
        <w:t xml:space="preserve">calibrated on historical datasets.</w:t>
      </w:r>
    </w:p>
    <w:p>
      <w:pPr>
        <w:pStyle w:val="BodyText"/>
      </w:pPr>
      <w:r>
        <w:t xml:space="preserve">While simple and interpretable, the fixed exponents and multipliers in</w:t>
      </w:r>
      <w:r>
        <w:t xml:space="preserve"> </w:t>
      </w:r>
      <w:r>
        <w:t xml:space="preserve">Eqs. </w:t>
      </w:r>
      <w:hyperlink w:anchor="eq:cocomo-effort">
        <w:r>
          <w:rPr>
            <w:rStyle w:val="Hyperlink"/>
          </w:rPr>
          <w:t xml:space="preserve">[eq:cocomo-effort]</w:t>
        </w:r>
      </w:hyperlink>
      <w:r>
        <w:t xml:space="preserve">–</w:t>
      </w:r>
      <w:hyperlink w:anchor="eq:cocomo-time">
        <w:r>
          <w:rPr>
            <w:rStyle w:val="Hyperlink"/>
          </w:rPr>
          <w:t xml:space="preserve">[eq:cocomo-time]</w:t>
        </w:r>
      </w:hyperlink>
      <w:r>
        <w:t xml:space="preserve"> </w:t>
      </w:r>
      <w:r>
        <w:t xml:space="preserve">often underfit heterogeneous,</w:t>
      </w:r>
      <w:r>
        <w:t xml:space="preserve"> </w:t>
      </w:r>
      <w:r>
        <w:t xml:space="preserve">contemporary datasets, motivating the exploration of machine learning</w:t>
      </w:r>
      <w:r>
        <w:t xml:space="preserve"> </w:t>
      </w:r>
      <w:r>
        <w:t xml:space="preserve">methods that adapt more flexibly to diverse data sources.</w:t>
      </w:r>
    </w:p>
    <w:p>
      <w:pPr>
        <w:pStyle w:val="CaptionedFigure"/>
      </w:pPr>
      <w:r>
        <w:drawing>
          <wp:inline>
            <wp:extent cx="5334000" cy="3117868"/>
            <wp:effectExtent b="0" l="0" r="0" t="0"/>
            <wp:docPr descr="" title="" id="22" name="Picture"/>
            <a:graphic>
              <a:graphicData uri="http://schemas.openxmlformats.org/drawingml/2006/picture">
                <pic:pic>
                  <pic:nvPicPr>
                    <pic:cNvPr descr="cocomo_vs_ml.png" id="23" name="Picture"/>
                    <pic:cNvPicPr>
                      <a:picLocks noChangeArrowheads="1" noChangeAspect="1"/>
                    </pic:cNvPicPr>
                  </pic:nvPicPr>
                  <pic:blipFill>
                    <a:blip r:embed="rId21"/>
                    <a:stretch>
                      <a:fillRect/>
                    </a:stretch>
                  </pic:blipFill>
                  <pic:spPr bwMode="auto">
                    <a:xfrm>
                      <a:off x="0" y="0"/>
                      <a:ext cx="5334000" cy="3117868"/>
                    </a:xfrm>
                    <a:prstGeom prst="rect">
                      <a:avLst/>
                    </a:prstGeom>
                    <a:noFill/>
                    <a:ln w="9525">
                      <a:noFill/>
                      <a:headEnd/>
                      <a:tailEnd/>
                    </a:ln>
                  </pic:spPr>
                </pic:pic>
              </a:graphicData>
            </a:graphic>
          </wp:inline>
        </w:drawing>
      </w:r>
    </w:p>
    <w:p>
      <w:pPr>
        <w:pStyle w:val="ImageCaption"/>
      </w:pPr>
      <w:r>
        <w:t xml:space="preserve">Workflow comparison between (a) the traditional COCOMO II pipeline</w:t>
      </w:r>
      <w:r>
        <w:t xml:space="preserve"> </w:t>
      </w:r>
      <w:r>
        <w:t xml:space="preserve">(Eqs. </w:t>
      </w:r>
      <w:hyperlink w:anchor="eq:cocomo-effort">
        <w:r>
          <w:rPr>
            <w:rStyle w:val="Hyperlink"/>
          </w:rPr>
          <w:t xml:space="preserve">[eq:cocomo-effort]</w:t>
        </w:r>
      </w:hyperlink>
      <w:r>
        <w:t xml:space="preserve">–</w:t>
      </w:r>
      <w:hyperlink w:anchor="eq:cocomo-time">
        <w:r>
          <w:rPr>
            <w:rStyle w:val="Hyperlink"/>
          </w:rPr>
          <w:t xml:space="preserve">[eq:cocomo-time]</w:t>
        </w:r>
      </w:hyperlink>
      <w:r>
        <w:t xml:space="preserve">) and (b) the proposed</w:t>
      </w:r>
      <w:r>
        <w:t xml:space="preserve"> </w:t>
      </w:r>
      <w:r>
        <w:t xml:space="preserve">multi-schema ML framework.</w:t>
      </w:r>
    </w:p>
    <w:bookmarkEnd w:id="24"/>
    <w:bookmarkStart w:id="25" w:name="multi-schema-ml-framework"/>
    <w:p>
      <w:pPr>
        <w:pStyle w:val="Heading2"/>
      </w:pPr>
      <w:r>
        <w:t xml:space="preserve">Multi-Schema ML Framework</w:t>
      </w:r>
    </w:p>
    <w:p>
      <w:pPr>
        <w:pStyle w:val="FirstParagraph"/>
      </w:pPr>
      <w:r>
        <w:t xml:space="preserve">We introduce a unified machine-learning framework that trains a separate regressor for each sizing schema—Lines of Code (LOC), Function Points (FP), and Use Case Points (UCP)—and compares their predictive performance with COCOMO II. For each schema</w:t>
      </w:r>
      <w:r>
        <w:t xml:space="preserve"> </w:t>
      </w:r>
      <m:oMath>
        <m:r>
          <m:t>s</m:t>
        </m:r>
        <m:r>
          <m:rPr>
            <m:sty m:val="p"/>
          </m:rPr>
          <m:t>∈</m:t>
        </m:r>
        <m:r>
          <m:rPr>
            <m:sty m:val="p"/>
          </m:rPr>
          <m:t>{</m:t>
        </m:r>
        <m:r>
          <m:rPr>
            <m:nor/>
            <m:sty m:val="p"/>
          </m:rPr>
          <m:t>LOC</m:t>
        </m:r>
        <m:r>
          <m:rPr>
            <m:sty m:val="p"/>
          </m:rPr>
          <m:t>,</m:t>
        </m:r>
        <m:r>
          <m:rPr>
            <m:nor/>
            <m:sty m:val="p"/>
          </m:rPr>
          <m:t>FP</m:t>
        </m:r>
        <m:r>
          <m:rPr>
            <m:sty m:val="p"/>
          </m:rPr>
          <m:t>,</m:t>
        </m:r>
        <m:r>
          <m:rPr>
            <m:nor/>
            <m:sty m:val="p"/>
          </m:rPr>
          <m:t>UCP</m:t>
        </m:r>
        <m:r>
          <m:rPr>
            <m:sty m:val="p"/>
          </m:rPr>
          <m:t>}</m:t>
        </m:r>
      </m:oMath>
      <w:r>
        <w:t xml:space="preserve">, the framework learns a mapping</w:t>
      </w:r>
    </w:p>
    <w:p>
      <w:pPr>
        <w:pStyle w:val="BodyText"/>
      </w:pPr>
      <m:oMathPara>
        <m:oMathParaPr>
          <m:jc m:val="center"/>
        </m:oMathParaPr>
        <m:oMath>
          <m:sSup>
            <m:e>
              <m:acc>
                <m:accPr>
                  <m:chr m:val="̂"/>
                </m:accPr>
                <m:e>
                  <m:r>
                    <m:t>E</m:t>
                  </m:r>
                </m:e>
              </m:acc>
            </m:e>
            <m:sup>
              <m:d>
                <m:dPr>
                  <m:begChr m:val="("/>
                  <m:endChr m:val=")"/>
                  <m:sepChr m:val=""/>
                  <m:grow/>
                </m:dPr>
                <m:e>
                  <m:r>
                    <m:t>s</m:t>
                  </m:r>
                </m:e>
              </m:d>
            </m:sup>
          </m:sSup>
          <m:r>
            <m:rPr>
              <m:sty m:val="p"/>
            </m:rPr>
            <m:t>=</m:t>
          </m:r>
          <m:sSup>
            <m:e>
              <m:r>
                <m:t>f</m:t>
              </m:r>
            </m:e>
            <m:sup>
              <m:d>
                <m:dPr>
                  <m:begChr m:val="("/>
                  <m:endChr m:val=")"/>
                  <m:sepChr m:val=""/>
                  <m:grow/>
                </m:dPr>
                <m:e>
                  <m:r>
                    <m:t>s</m:t>
                  </m:r>
                </m:e>
              </m:d>
            </m:sup>
          </m:sSup>
          <m:d>
            <m:dPr>
              <m:begChr m:val="("/>
              <m:endChr m:val=")"/>
              <m:sepChr m:val=""/>
              <m:grow/>
            </m:dPr>
            <m:e>
              <m:sSup>
                <m:e>
                  <m:r>
                    <m:t>x</m:t>
                  </m:r>
                </m:e>
                <m:sup>
                  <m:d>
                    <m:dPr>
                      <m:begChr m:val="("/>
                      <m:endChr m:val=")"/>
                      <m:sepChr m:val=""/>
                      <m:grow/>
                    </m:dPr>
                    <m:e>
                      <m:r>
                        <m:t>s</m:t>
                      </m:r>
                    </m:e>
                  </m:d>
                </m:sup>
              </m:sSup>
            </m:e>
          </m:d>
          <m:r>
            <m:rPr>
              <m:sty m:val="p"/>
            </m:rPr>
            <m:t>,</m:t>
          </m:r>
        </m:oMath>
      </m:oMathPara>
    </w:p>
    <w:p>
      <w:pPr>
        <w:pStyle w:val="FirstParagraph"/>
      </w:pPr>
      <w:r>
        <w:t xml:space="preserve">where</w:t>
      </w:r>
      <w:r>
        <w:t xml:space="preserve"> </w:t>
      </w:r>
      <m:oMath>
        <m:sSup>
          <m:e>
            <m:r>
              <m:t>x</m:t>
            </m:r>
          </m:e>
          <m:sup>
            <m:d>
              <m:dPr>
                <m:begChr m:val="("/>
                <m:endChr m:val=")"/>
                <m:sepChr m:val=""/>
                <m:grow/>
              </m:dPr>
              <m:e>
                <m:r>
                  <m:t>s</m:t>
                </m:r>
              </m:e>
            </m:d>
          </m:sup>
        </m:sSup>
      </m:oMath>
      <w:r>
        <w:t xml:space="preserve"> </w:t>
      </w:r>
      <w:r>
        <w:t xml:space="preserve">includes the size metric (KLOC/FP/UCP) and, when available, supplementary predictors such as project duration or team size.</w:t>
      </w:r>
    </w:p>
    <w:p>
      <w:pPr>
        <w:pStyle w:val="BodyText"/>
      </w:pPr>
      <w:r>
        <w:t xml:space="preserve">To ensure consistent and stable training across heterogeneous datasets, we employ a standardized preprocessing pipeline consisting of: (i) unit harmonization (e.g., normalizing effort to person-months and converting LOC to KLOC); (ii) outlier mitigation via interquartile-range (IQR) capping; and (iii) distribution reshaping using</w:t>
      </w:r>
      <w:r>
        <w:t xml:space="preserve"> </w:t>
      </w:r>
      <m:oMath>
        <m:r>
          <m:rPr>
            <m:sty m:val="p"/>
          </m:rPr>
          <m:t>log</m:t>
        </m:r>
        <m:r>
          <m:t>1</m:t>
        </m:r>
        <m:r>
          <m:t>p</m:t>
        </m:r>
      </m:oMath>
      <w:r>
        <w:t xml:space="preserve"> </w:t>
      </w:r>
      <w:r>
        <w:t xml:space="preserve">transformations to reduce skewness and improve model fit.</w:t>
      </w:r>
    </w:p>
    <w:p>
      <w:pPr>
        <w:pStyle w:val="BodyText"/>
      </w:pPr>
      <w:r>
        <w:t xml:space="preserve">We evaluate four representative machine-learning models:</w:t>
      </w:r>
    </w:p>
    <w:p>
      <w:pPr>
        <w:numPr>
          <w:ilvl w:val="0"/>
          <w:numId w:val="1002"/>
        </w:numPr>
      </w:pPr>
      <w:r>
        <w:rPr>
          <w:bCs/>
          <w:b/>
        </w:rPr>
        <w:t xml:space="preserve">Linear Regression</w:t>
      </w:r>
      <w:r>
        <w:t xml:space="preserve">, including a log–log variant to capture multiplicative relationships.</w:t>
      </w:r>
    </w:p>
    <w:p>
      <w:pPr>
        <w:numPr>
          <w:ilvl w:val="0"/>
          <w:numId w:val="1002"/>
        </w:numPr>
      </w:pPr>
      <w:r>
        <w:rPr>
          <w:bCs/>
          <w:b/>
        </w:rPr>
        <w:t xml:space="preserve">Decision Tree Regressor</w:t>
      </w:r>
      <w:r>
        <w:t xml:space="preserve">, representing interpretable non-linear modeling.</w:t>
      </w:r>
    </w:p>
    <w:p>
      <w:pPr>
        <w:numPr>
          <w:ilvl w:val="0"/>
          <w:numId w:val="1002"/>
        </w:numPr>
      </w:pPr>
      <w:r>
        <w:rPr>
          <w:bCs/>
          <w:b/>
        </w:rPr>
        <w:t xml:space="preserve">Random Forest Regressor</w:t>
      </w:r>
      <w:r>
        <w:t xml:space="preserve">, leveraging ensemble averaging for robustness.</w:t>
      </w:r>
    </w:p>
    <w:p>
      <w:pPr>
        <w:numPr>
          <w:ilvl w:val="0"/>
          <w:numId w:val="1002"/>
        </w:numPr>
      </w:pPr>
      <w:r>
        <w:rPr>
          <w:bCs/>
          <w:b/>
        </w:rPr>
        <w:t xml:space="preserve">Gradient Boosting Regressor</w:t>
      </w:r>
      <w:r>
        <w:t xml:space="preserve">, known for strong performance on structured data.</w:t>
      </w:r>
    </w:p>
    <w:p>
      <w:pPr>
        <w:pStyle w:val="FirstParagraph"/>
      </w:pPr>
      <w:r>
        <w:t xml:space="preserve">The framework is extensible: additional sizing techniques such as story points or object points can be incorporated by defining new feature schemas. Prior reviews </w:t>
      </w:r>
      <w:r>
        <w:t xml:space="preserve"> </w:t>
      </w:r>
      <w:r>
        <w:t xml:space="preserve">highlight the growing interest in multi-schema and ensemble-based estimation methods. Our framework contributes to this direction by unifying preprocessing, model training, and evaluation under a reproducible and comparable experimental setting.</w:t>
      </w:r>
    </w:p>
    <w:bookmarkEnd w:id="25"/>
    <w:bookmarkStart w:id="31" w:name="evaluation-metrics"/>
    <w:p>
      <w:pPr>
        <w:pStyle w:val="Heading2"/>
      </w:pPr>
      <w:r>
        <w:t xml:space="preserve">Evaluation Metrics</w:t>
      </w:r>
    </w:p>
    <w:p>
      <w:pPr>
        <w:pStyle w:val="FirstParagraph"/>
      </w:pPr>
      <w:r>
        <w:t xml:space="preserve">We report standard effort-estimation metrics widely used in prior work.</w:t>
      </w:r>
      <w:r>
        <w:t xml:space="preserve"> </w:t>
      </w:r>
      <w:r>
        <w:t xml:space="preserve">For each metric, we present its definition and interpretation.</w:t>
      </w:r>
    </w:p>
    <w:bookmarkStart w:id="26" w:name="mean-magnitude-of-relative-error-mmre."/>
    <w:p>
      <w:pPr>
        <w:pStyle w:val="Heading4"/>
      </w:pPr>
      <w:r>
        <w:t xml:space="preserve">Mean Magnitude of Relative Error (MMRE).</w:t>
      </w:r>
    </w:p>
    <w:p>
      <w:pPr>
        <w:pStyle w:val="FirstParagraph"/>
      </w:pPr>
      <m:oMathPara>
        <m:oMathParaPr>
          <m:jc m:val="center"/>
        </m:oMathParaPr>
        <m:oMath>
          <m:r>
            <m:rPr>
              <m:sty m:val="p"/>
            </m:rPr>
            <m:t>M</m:t>
          </m:r>
          <m:r>
            <m:rPr>
              <m:sty m:val="p"/>
            </m:rPr>
            <m:t>M</m:t>
          </m:r>
          <m:r>
            <m:rPr>
              <m:sty m:val="p"/>
            </m:rPr>
            <m:t>R</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d>
                    <m:dPr>
                      <m:begChr m:val="|"/>
                      <m:endChr m:val="|"/>
                      <m:sepChr m:val=""/>
                      <m:grow/>
                    </m:dPr>
                    <m:e>
                      <m:sSub>
                        <m:e>
                          <m:r>
                            <m:t>y</m:t>
                          </m:r>
                        </m:e>
                        <m:sub>
                          <m:r>
                            <m:t>i</m:t>
                          </m:r>
                        </m:sub>
                      </m:sSub>
                      <m:r>
                        <m:rPr>
                          <m:sty m:val="p"/>
                        </m:rPr>
                        <m:t>−</m:t>
                      </m:r>
                      <m:sSub>
                        <m:e>
                          <m:acc>
                            <m:accPr>
                              <m:chr m:val="̂"/>
                            </m:accPr>
                            <m:e>
                              <m:r>
                                <m:t>y</m:t>
                              </m:r>
                            </m:e>
                          </m:acc>
                        </m:e>
                        <m:sub>
                          <m:r>
                            <m:t>i</m:t>
                          </m:r>
                        </m:sub>
                      </m:sSub>
                    </m:e>
                  </m:d>
                </m:num>
                <m:den>
                  <m:sSub>
                    <m:e>
                      <m:r>
                        <m:t>y</m:t>
                      </m:r>
                    </m:e>
                    <m:sub>
                      <m:r>
                        <m:t>i</m:t>
                      </m:r>
                    </m:sub>
                  </m:sSub>
                </m:den>
              </m:f>
            </m:e>
          </m:nary>
        </m:oMath>
      </m:oMathPara>
    </w:p>
    <w:p>
      <w:pPr>
        <w:pStyle w:val="FirstParagraph"/>
      </w:pPr>
      <w:r>
        <w:t xml:space="preserve">MMRE calculates the average relative error between the actual effort</w:t>
      </w:r>
      <w:r>
        <w:t xml:space="preserve"> </w:t>
      </w:r>
      <m:oMath>
        <m:sSub>
          <m:e>
            <m:r>
              <m:t>y</m:t>
            </m:r>
          </m:e>
          <m:sub>
            <m:r>
              <m:t>i</m:t>
            </m:r>
          </m:sub>
        </m:sSub>
      </m:oMath>
      <w:r>
        <w:t xml:space="preserve"> </w:t>
      </w:r>
      <w:r>
        <w:t xml:space="preserve">and the predicted effort</w:t>
      </w:r>
      <w:r>
        <w:t xml:space="preserve"> </w:t>
      </w:r>
      <m:oMath>
        <m:sSub>
          <m:e>
            <m:acc>
              <m:accPr>
                <m:chr m:val="̂"/>
              </m:accPr>
              <m:e>
                <m:r>
                  <m:t>y</m:t>
                </m:r>
              </m:e>
            </m:acc>
          </m:e>
          <m:sub>
            <m:r>
              <m:t>i</m:t>
            </m:r>
          </m:sub>
        </m:sSub>
      </m:oMath>
      <w:r>
        <w:t xml:space="preserve">. It is simple and widely adopted, but</w:t>
      </w:r>
      <w:r>
        <w:t xml:space="preserve"> </w:t>
      </w:r>
      <w:r>
        <w:t xml:space="preserve">several studies have criticized MMRE for bias, especially in small projects</w:t>
      </w:r>
      <w:r>
        <w:t xml:space="preserve"> </w:t>
      </w:r>
      <w:r>
        <w:t xml:space="preserve">.</w:t>
      </w:r>
    </w:p>
    <w:bookmarkEnd w:id="26"/>
    <w:bookmarkStart w:id="27" w:name="prediction-at-25-pred25."/>
    <w:p>
      <w:pPr>
        <w:pStyle w:val="Heading4"/>
      </w:pPr>
      <w:r>
        <w:t xml:space="preserve">Prediction at 25% (PRED(25)).</w:t>
      </w:r>
    </w:p>
    <w:p>
      <w:pPr>
        <w:pStyle w:val="FirstParagraph"/>
      </w:pPr>
      <m:oMathPara>
        <m:oMathParaPr>
          <m:jc m:val="center"/>
        </m:oMathParaPr>
        <m:oMath>
          <m:r>
            <m:rPr>
              <m:sty m:val="p"/>
            </m:rPr>
            <m:t>P</m:t>
          </m:r>
          <m:r>
            <m:rPr>
              <m:sty m:val="p"/>
            </m:rPr>
            <m:t>R</m:t>
          </m:r>
          <m:r>
            <m:rPr>
              <m:sty m:val="p"/>
            </m:rPr>
            <m:t>E</m:t>
          </m:r>
          <m:r>
            <m:rPr>
              <m:sty m:val="p"/>
            </m:rPr>
            <m:t>D</m:t>
          </m:r>
          <m:d>
            <m:dPr>
              <m:begChr m:val="("/>
              <m:endChr m:val=")"/>
              <m:sepChr m:val=""/>
              <m:grow/>
            </m:dPr>
            <m:e>
              <m:r>
                <m:t>25</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r>
            <m:t>​</m:t>
          </m:r>
          <m:d>
            <m:dPr>
              <m:begChr m:val="("/>
              <m:endChr m:val=")"/>
              <m:sepChr m:val=""/>
              <m:grow/>
            </m:dPr>
            <m:e>
              <m:f>
                <m:fPr>
                  <m:type m:val="bar"/>
                </m:fPr>
                <m:num>
                  <m:d>
                    <m:dPr>
                      <m:begChr m:val="|"/>
                      <m:endChr m:val="|"/>
                      <m:sepChr m:val=""/>
                      <m:grow/>
                    </m:dPr>
                    <m:e>
                      <m:sSub>
                        <m:e>
                          <m:r>
                            <m:t>y</m:t>
                          </m:r>
                        </m:e>
                        <m:sub>
                          <m:r>
                            <m:t>i</m:t>
                          </m:r>
                        </m:sub>
                      </m:sSub>
                      <m:r>
                        <m:rPr>
                          <m:sty m:val="p"/>
                        </m:rPr>
                        <m:t>−</m:t>
                      </m:r>
                      <m:sSub>
                        <m:e>
                          <m:acc>
                            <m:accPr>
                              <m:chr m:val="̂"/>
                            </m:accPr>
                            <m:e>
                              <m:r>
                                <m:t>y</m:t>
                              </m:r>
                            </m:e>
                          </m:acc>
                        </m:e>
                        <m:sub>
                          <m:r>
                            <m:t>i</m:t>
                          </m:r>
                        </m:sub>
                      </m:sSub>
                    </m:e>
                  </m:d>
                </m:num>
                <m:den>
                  <m:sSub>
                    <m:e>
                      <m:r>
                        <m:t>y</m:t>
                      </m:r>
                    </m:e>
                    <m:sub>
                      <m:r>
                        <m:t>i</m:t>
                      </m:r>
                    </m:sub>
                  </m:sSub>
                </m:den>
              </m:f>
              <m:r>
                <m:rPr>
                  <m:sty m:val="p"/>
                </m:rPr>
                <m:t>≤</m:t>
              </m:r>
              <m:r>
                <m:t>0.25</m:t>
              </m:r>
            </m:e>
          </m:d>
        </m:oMath>
      </m:oMathPara>
    </w:p>
    <w:p>
      <w:pPr>
        <w:pStyle w:val="FirstParagraph"/>
      </w:pPr>
      <w:r>
        <w:t xml:space="preserve">PRED(25) measures the proportion of predictions whose relative error is</w:t>
      </w:r>
      <w:r>
        <w:t xml:space="preserve"> </w:t>
      </w:r>
      <w:r>
        <w:t xml:space="preserve">within 25% of the actual effort. It provides an intuitive sense of</w:t>
      </w:r>
      <w:r>
        <w:t xml:space="preserve"> </w:t>
      </w:r>
      <w:r>
        <w:t xml:space="preserve">robustness, but depends on the arbitrary 25% threshold and may be</w:t>
      </w:r>
      <w:r>
        <w:t xml:space="preserve"> </w:t>
      </w:r>
      <w:r>
        <w:t xml:space="preserve">unstable with small datasets</w:t>
      </w:r>
      <w:r>
        <w:t xml:space="preserve"> </w:t>
      </w:r>
      <w:r>
        <w:t xml:space="preserve">.</w:t>
      </w:r>
    </w:p>
    <w:bookmarkEnd w:id="27"/>
    <w:bookmarkStart w:id="28" w:name="mean-absolute-error-mae."/>
    <w:p>
      <w:pPr>
        <w:pStyle w:val="Heading4"/>
      </w:pPr>
      <w:r>
        <w:t xml:space="preserve">Mean Absolute Error (MAE).</w:t>
      </w:r>
    </w:p>
    <w:p>
      <w:pPr>
        <w:pStyle w:val="FirstParagraph"/>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p>
      <w:pPr>
        <w:pStyle w:val="FirstParagraph"/>
      </w:pPr>
      <w:r>
        <w:t xml:space="preserve">MAE expresses the average absolute deviation (in person-months) between</w:t>
      </w:r>
      <w:r>
        <w:t xml:space="preserve"> </w:t>
      </w:r>
      <w:r>
        <w:t xml:space="preserve">predicted and actual effort. It is interpretable in absolute units and less</w:t>
      </w:r>
      <w:r>
        <w:t xml:space="preserve"> </w:t>
      </w:r>
      <w:r>
        <w:t xml:space="preserve">sensitive to outliers than RMSE, making it a practical complement to</w:t>
      </w:r>
      <w:r>
        <w:t xml:space="preserve"> </w:t>
      </w:r>
      <w:r>
        <w:t xml:space="preserve">relative-error metrics.</w:t>
      </w:r>
    </w:p>
    <w:bookmarkEnd w:id="28"/>
    <w:bookmarkStart w:id="29" w:name="root-mean-square-error-rmse."/>
    <w:p>
      <w:pPr>
        <w:pStyle w:val="Heading4"/>
      </w:pPr>
      <w:r>
        <w:t xml:space="preserve">Root Mean Square Error (RMSE).</w:t>
      </w:r>
    </w:p>
    <w:p>
      <w:pPr>
        <w:pStyle w:val="FirstParagraph"/>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pStyle w:val="FirstParagraph"/>
      </w:pPr>
      <w:r>
        <w:t xml:space="preserve">RMSE penalizes larger errors more strongly because of the squaring term.</w:t>
      </w:r>
      <w:r>
        <w:t xml:space="preserve"> </w:t>
      </w:r>
      <w:r>
        <w:t xml:space="preserve">It is useful when large deviations are particularly costly, but its</w:t>
      </w:r>
      <w:r>
        <w:t xml:space="preserve"> </w:t>
      </w:r>
      <w:r>
        <w:t xml:space="preserve">sensitivity to outliers can distort performance comparisons.</w:t>
      </w:r>
    </w:p>
    <w:bookmarkEnd w:id="29"/>
    <w:bookmarkStart w:id="30" w:name="coefficient-of-determination-r2."/>
    <w:p>
      <w:pPr>
        <w:pStyle w:val="Heading4"/>
      </w:pPr>
      <w:r>
        <w:t xml:space="preserve">Coefficient of Determination (</w:t>
      </w:r>
      <m:oMath>
        <m:sSup>
          <m:e>
            <m:r>
              <m:t>R</m:t>
            </m:r>
          </m:e>
          <m:sup>
            <m:r>
              <m:t>2</m:t>
            </m:r>
          </m:sup>
        </m:sSup>
      </m:oMath>
      <w:r>
        <w:t xml:space="preserve">).</w:t>
      </w:r>
    </w:p>
    <w:p>
      <w:pPr>
        <w:pStyle w:val="FirstParagraph"/>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pPr>
      <m:oMath>
        <m:sSup>
          <m:e>
            <m:r>
              <m:t>R</m:t>
            </m:r>
          </m:e>
          <m:sup>
            <m:r>
              <m:t>2</m:t>
            </m:r>
          </m:sup>
        </m:sSup>
      </m:oMath>
      <w:r>
        <w:t xml:space="preserve"> </w:t>
      </w:r>
      <w:r>
        <w:t xml:space="preserve">measures the proportion of variance in the actual effort</w:t>
      </w:r>
      <w:r>
        <w:t xml:space="preserve"> </w:t>
      </w:r>
      <m:oMath>
        <m:sSub>
          <m:e>
            <m:r>
              <m:t>y</m:t>
            </m:r>
          </m:e>
          <m:sub>
            <m:r>
              <m:t>i</m:t>
            </m:r>
          </m:sub>
        </m:sSub>
      </m:oMath>
      <w:r>
        <w:t xml:space="preserve"> </w:t>
      </w:r>
      <w:r>
        <w:t xml:space="preserve">explained by the predictions</w:t>
      </w:r>
      <w:r>
        <w:t xml:space="preserve"> </w:t>
      </w:r>
      <m:oMath>
        <m:sSub>
          <m:e>
            <m:acc>
              <m:accPr>
                <m:chr m:val="̂"/>
              </m:accPr>
              <m:e>
                <m:r>
                  <m:t>y</m:t>
                </m:r>
              </m:e>
            </m:acc>
          </m:e>
          <m:sub>
            <m:r>
              <m:t>i</m:t>
            </m:r>
          </m:sub>
        </m:sSub>
      </m:oMath>
      <w:r>
        <w:t xml:space="preserve">. Higher values generally indicate</w:t>
      </w:r>
      <w:r>
        <w:t xml:space="preserve"> </w:t>
      </w:r>
      <w:r>
        <w:t xml:space="preserve">better explanatory power. However, in effort estimation, a high</w:t>
      </w:r>
      <w:r>
        <w:t xml:space="preserve"> </w:t>
      </w:r>
      <m:oMath>
        <m:sSup>
          <m:e>
            <m:r>
              <m:t>R</m:t>
            </m:r>
          </m:e>
          <m:sup>
            <m:r>
              <m:t>2</m:t>
            </m:r>
          </m:sup>
        </m:sSup>
      </m:oMath>
      <w:r>
        <w:t xml:space="preserve"> </w:t>
      </w:r>
      <w:r>
        <w:t xml:space="preserve">does</w:t>
      </w:r>
      <w:r>
        <w:t xml:space="preserve"> </w:t>
      </w:r>
      <w:r>
        <w:t xml:space="preserve">not guarantee practical accuracy, since a model may fit variance well but</w:t>
      </w:r>
      <w:r>
        <w:t xml:space="preserve"> </w:t>
      </w:r>
      <w:r>
        <w:t xml:space="preserve">still produce large relative errors</w:t>
      </w:r>
      <w:r>
        <w:t xml:space="preserve"> </w:t>
      </w:r>
      <w:r>
        <w:t xml:space="preserve">.</w:t>
      </w:r>
    </w:p>
    <w:bookmarkEnd w:id="30"/>
    <w:bookmarkEnd w:id="31"/>
    <w:bookmarkEnd w:id="32"/>
    <w:bookmarkStart w:id="62" w:name="datasets-and-preprocessing"/>
    <w:p>
      <w:pPr>
        <w:pStyle w:val="Heading1"/>
      </w:pPr>
      <w:r>
        <w:t xml:space="preserve">Datasets and Preprocessing</w:t>
      </w:r>
    </w:p>
    <w:bookmarkStart w:id="37" w:name="sources-and-schema-partitioning"/>
    <w:p>
      <w:pPr>
        <w:pStyle w:val="Heading2"/>
      </w:pPr>
      <w:r>
        <w:t xml:space="preserve">Sources and Schema Partitioning</w:t>
      </w:r>
    </w:p>
    <w:p>
      <w:pPr>
        <w:pStyle w:val="FirstParagraph"/>
      </w:pPr>
      <w:r>
        <w:t xml:space="preserve">We aggregated publicly available datasets and peer-reviewed research conducted between 1993–2022.</w:t>
      </w:r>
      <w:r>
        <w:t xml:space="preserve"> </w:t>
      </w:r>
      <w:r>
        <w:t xml:space="preserve">To ensure comparability, all datasets were ingested with a common ingestion policy defined by:</w:t>
      </w:r>
      <w:r>
        <w:t xml:space="preserve"> </w:t>
      </w:r>
      <w:r>
        <w:t xml:space="preserve">(i) logging the provenance, (ii) normalizing the schema, and (iii) de-duplicating artifacts across datasets.</w:t>
      </w:r>
      <w:r>
        <w:t xml:space="preserve"> </w:t>
      </w:r>
      <w:r>
        <w:t xml:space="preserve">The records were then partitioned into three self-consistent schemas according to the predominant sizing methodology employed.</w:t>
      </w:r>
    </w:p>
    <w:bookmarkStart w:id="33" w:name="data-sources-and-provenance."/>
    <w:p>
      <w:pPr>
        <w:pStyle w:val="Heading4"/>
      </w:pPr>
      <w:r>
        <w:t xml:space="preserve">Data sources and provenance.</w:t>
      </w:r>
    </w:p>
    <w:p>
      <w:pPr>
        <w:pStyle w:val="FirstParagraph"/>
      </w:pPr>
      <w:r>
        <w:t xml:space="preserve">For each of the datasets aggregated, we collected</w:t>
      </w:r>
      <w:r>
        <w:t xml:space="preserve"> </w:t>
      </w:r>
      <w:r>
        <w:t xml:space="preserve">(a) classic LOC/COCOMO datasets and GitHub-hosted estimation datasets,</w:t>
      </w:r>
      <w:r>
        <w:t xml:space="preserve"> </w:t>
      </w:r>
      <w:r>
        <w:t xml:space="preserve">(b) re-coded FP (Albrecht-style) samples, and</w:t>
      </w:r>
      <w:r>
        <w:t xml:space="preserve"> </w:t>
      </w:r>
      <w:r>
        <w:t xml:space="preserve">(c) UCP datasets with UAW/UUCW along with TCF/ECF.</w:t>
      </w:r>
      <w:r>
        <w:t xml:space="preserve"> </w:t>
      </w:r>
      <w:r>
        <w:t xml:space="preserve">For each item we retained the original source name, year of the source, and the URL/DOI (if available) for auditability.</w:t>
      </w:r>
    </w:p>
    <w:bookmarkEnd w:id="33"/>
    <w:bookmarkStart w:id="34" w:name="inclusion-criteria."/>
    <w:p>
      <w:pPr>
        <w:pStyle w:val="Heading4"/>
      </w:pPr>
      <w:r>
        <w:t xml:space="preserve">Inclusion criteria.</w:t>
      </w:r>
    </w:p>
    <w:p>
      <w:pPr>
        <w:pStyle w:val="FirstParagraph"/>
      </w:pPr>
      <w:r>
        <w:t xml:space="preserve">A record was eligible if it contained: (1) a valid size measure for one of the schemas and (2) a ground-truth effort value (hours or person-months). Optional attributes (duration in months, number of developers, sector, language, methodology, etc.) were preserved when present.</w:t>
      </w:r>
    </w:p>
    <w:bookmarkEnd w:id="34"/>
    <w:bookmarkStart w:id="35" w:name="exclusion-and-de-duplication."/>
    <w:p>
      <w:pPr>
        <w:pStyle w:val="Heading4"/>
      </w:pPr>
      <w:r>
        <w:t xml:space="preserve">Exclusion and de-duplication.</w:t>
      </w:r>
    </w:p>
    <w:p>
      <w:pPr>
        <w:pStyle w:val="FirstParagraph"/>
      </w:pPr>
      <w:r>
        <w:t xml:space="preserve">We removed (i) exact duplicates across files (matched on project_no, title, size, effort),</w:t>
      </w:r>
      <w:r>
        <w:t xml:space="preserve"> </w:t>
      </w:r>
      <w:r>
        <w:t xml:space="preserve">(ii) corrupted or unit-ambiguous rows (e.g., missing both size and effort),</w:t>
      </w:r>
      <w:r>
        <w:t xml:space="preserve"> </w:t>
      </w:r>
      <w:r>
        <w:t xml:space="preserve">and (iii) entries with obviously inconsistent units (e.g., duration in days mislabeled as months) when they could not be reconciled unambiguously.</w:t>
      </w:r>
      <w:r>
        <w:t xml:space="preserve"> </w:t>
      </w:r>
      <w:r>
        <w:t xml:space="preserve">When the same project appeared in multiple compilations, we kept the earliest, most complete version.</w:t>
      </w:r>
    </w:p>
    <w:bookmarkEnd w:id="35"/>
    <w:bookmarkStart w:id="36" w:name="schema-definitions."/>
    <w:p>
      <w:pPr>
        <w:pStyle w:val="Heading4"/>
      </w:pPr>
      <w:r>
        <w:t xml:space="preserve">Schema definitions.</w:t>
      </w:r>
    </w:p>
    <w:p>
      <w:pPr>
        <w:numPr>
          <w:ilvl w:val="0"/>
          <w:numId w:val="1003"/>
        </w:numPr>
      </w:pPr>
      <w:r>
        <w:rPr>
          <w:bCs/>
          <w:b/>
        </w:rPr>
        <w:t xml:space="preserve">LOC schema</w:t>
      </w:r>
      <w:r>
        <w:t xml:space="preserve"> </w:t>
      </w:r>
      <w:r>
        <w:t xml:space="preserve">(</w:t>
      </w:r>
      <m:oMath>
        <m:r>
          <m:t>n</m:t>
        </m:r>
        <m:r>
          <m:rPr>
            <m:sty m:val="p"/>
          </m:rPr>
          <m:t>≈</m:t>
        </m:r>
        <m:r>
          <m:t>947</m:t>
        </m:r>
      </m:oMath>
      <w:r>
        <w:t xml:space="preserve">): core fields {KLOC, Effort (PM)}; optional {Time (months), Developers}.</w:t>
      </w:r>
    </w:p>
    <w:p>
      <w:pPr>
        <w:numPr>
          <w:ilvl w:val="0"/>
          <w:numId w:val="1003"/>
        </w:numPr>
      </w:pPr>
      <w:r>
        <w:rPr>
          <w:bCs/>
          <w:b/>
        </w:rPr>
        <w:t xml:space="preserve">FP schema</w:t>
      </w:r>
      <w:r>
        <w:t xml:space="preserve"> </w:t>
      </w:r>
      <w:r>
        <w:t xml:space="preserve">(</w:t>
      </w:r>
      <m:oMath>
        <m:r>
          <m:t>n</m:t>
        </m:r>
        <m:r>
          <m:rPr>
            <m:sty m:val="p"/>
          </m:rPr>
          <m:t>=</m:t>
        </m:r>
        <m:r>
          <m:t>24</m:t>
        </m:r>
      </m:oMath>
      <w:r>
        <w:t xml:space="preserve">, Albrecht set): core fields {FP / FP_adj, Effort (PM)}; optional {Time (months), Developers}.</w:t>
      </w:r>
    </w:p>
    <w:p>
      <w:pPr>
        <w:numPr>
          <w:ilvl w:val="0"/>
          <w:numId w:val="1003"/>
        </w:numPr>
      </w:pPr>
      <w:r>
        <w:rPr>
          <w:bCs/>
          <w:b/>
        </w:rPr>
        <w:t xml:space="preserve">UCP schema</w:t>
      </w:r>
      <w:r>
        <w:t xml:space="preserve"> </w:t>
      </w:r>
      <w:r>
        <w:t xml:space="preserve">(</w:t>
      </w:r>
      <m:oMath>
        <m:r>
          <m:t>n</m:t>
        </m:r>
        <m:r>
          <m:rPr>
            <m:sty m:val="p"/>
          </m:rPr>
          <m:t>=</m:t>
        </m:r>
        <m:r>
          <m:t>71</m:t>
        </m:r>
      </m:oMath>
      <w:r>
        <w:t xml:space="preserve">): raw fields {UAW, UUCW, TCF, ECF, Real Effort (hours), meta}; we compute</w:t>
      </w:r>
    </w:p>
    <w:p>
      <w:pPr>
        <w:pStyle w:val="BodyText"/>
      </w:pPr>
      <m:oMathPara>
        <m:oMathParaPr>
          <m:jc m:val="center"/>
        </m:oMathParaPr>
        <m:oMath>
          <m:r>
            <m:rPr>
              <m:sty m:val="p"/>
            </m:rPr>
            <m:t>U</m:t>
          </m:r>
          <m:r>
            <m:rPr>
              <m:sty m:val="p"/>
            </m:rPr>
            <m:t>C</m:t>
          </m:r>
          <m:r>
            <m:rPr>
              <m:sty m:val="p"/>
            </m:rPr>
            <m:t>P</m:t>
          </m:r>
          <m:r>
            <m:rPr>
              <m:sty m:val="p"/>
            </m:rPr>
            <m:t>=</m:t>
          </m:r>
          <m:d>
            <m:dPr>
              <m:begChr m:val="("/>
              <m:endChr m:val=")"/>
              <m:sepChr m:val=""/>
              <m:grow/>
            </m:dPr>
            <m:e>
              <m:r>
                <m:rPr>
                  <m:sty m:val="p"/>
                </m:rPr>
                <m:t>U</m:t>
              </m:r>
              <m:r>
                <m:rPr>
                  <m:sty m:val="p"/>
                </m:rPr>
                <m:t>A</m:t>
              </m:r>
              <m:r>
                <m:rPr>
                  <m:sty m:val="p"/>
                </m:rPr>
                <m:t>W</m:t>
              </m:r>
              <m:r>
                <m:rPr>
                  <m:sty m:val="p"/>
                </m:rPr>
                <m:t>+</m:t>
              </m:r>
              <m:r>
                <m:rPr>
                  <m:sty m:val="p"/>
                </m:rPr>
                <m:t>U</m:t>
              </m:r>
              <m:r>
                <m:rPr>
                  <m:sty m:val="p"/>
                </m:rPr>
                <m:t>U</m:t>
              </m:r>
              <m:r>
                <m:rPr>
                  <m:sty m:val="p"/>
                </m:rPr>
                <m:t>C</m:t>
              </m:r>
              <m:r>
                <m:rPr>
                  <m:sty m:val="p"/>
                </m:rPr>
                <m:t>W</m:t>
              </m:r>
            </m:e>
          </m:d>
          <m:r>
            <m:rPr>
              <m:sty m:val="p"/>
            </m:rPr>
            <m:t>×</m:t>
          </m:r>
          <m:r>
            <m:rPr>
              <m:sty m:val="p"/>
            </m:rPr>
            <m:t>T</m:t>
          </m:r>
          <m:r>
            <m:rPr>
              <m:sty m:val="p"/>
            </m:rPr>
            <m:t>C</m:t>
          </m:r>
          <m:r>
            <m:rPr>
              <m:sty m:val="p"/>
            </m:rPr>
            <m:t>F</m:t>
          </m:r>
          <m:r>
            <m:rPr>
              <m:sty m:val="p"/>
            </m:rPr>
            <m:t>×</m:t>
          </m:r>
          <m:r>
            <m:rPr>
              <m:sty m:val="p"/>
            </m:rPr>
            <m:t>E</m:t>
          </m:r>
          <m:r>
            <m:rPr>
              <m:sty m:val="p"/>
            </m:rPr>
            <m:t>C</m:t>
          </m:r>
          <m:r>
            <m:rPr>
              <m:sty m:val="p"/>
            </m:rPr>
            <m:t>F</m:t>
          </m:r>
          <m:r>
            <m:rPr>
              <m:sty m:val="p"/>
            </m:rPr>
            <m:t>,</m:t>
          </m:r>
        </m:oMath>
      </m:oMathPara>
    </w:p>
    <w:p>
      <w:pPr>
        <w:numPr>
          <w:ilvl w:val="0"/>
          <w:numId w:val="1000"/>
        </w:numPr>
      </w:pPr>
      <w:r>
        <w:t xml:space="preserve">and convert effort hours to person-months in Sec. 3.2.</w:t>
      </w:r>
    </w:p>
    <w:bookmarkEnd w:id="36"/>
    <w:bookmarkEnd w:id="37"/>
    <w:bookmarkStart w:id="41" w:name="unit-harmonization"/>
    <w:p>
      <w:pPr>
        <w:pStyle w:val="Heading2"/>
      </w:pPr>
      <w:r>
        <w:t xml:space="preserve">Unit Harmonization</w:t>
      </w:r>
    </w:p>
    <w:p>
      <w:pPr>
        <w:pStyle w:val="FirstParagraph"/>
      </w:pPr>
      <w:r>
        <w:t xml:space="preserve">To enable cross-source learning and ensure comparability across heterogeneous datasets,</w:t>
      </w:r>
      <w:r>
        <w:t xml:space="preserve"> </w:t>
      </w:r>
      <w:r>
        <w:t xml:space="preserve">we performed a systematic unit harmonization process.</w:t>
      </w:r>
      <w:r>
        <w:t xml:space="preserve"> </w:t>
      </w:r>
      <w:r>
        <w:t xml:space="preserve">Without harmonization, effort data may appear in hours, days, or staff-months,</w:t>
      </w:r>
      <w:r>
        <w:t xml:space="preserve"> </w:t>
      </w:r>
      <w:r>
        <w:t xml:space="preserve">while size measures differ across LOC, FP, and UCP—making direct comparison infeasible.</w:t>
      </w:r>
      <w:r>
        <w:t xml:space="preserve"> </w:t>
      </w:r>
      <w:r>
        <w:t xml:space="preserve">Such discrepancies in measurement units not only hinder the merging of datasets</w:t>
      </w:r>
      <w:r>
        <w:t xml:space="preserve"> </w:t>
      </w:r>
      <w:r>
        <w:t xml:space="preserve">but also distort model learning, since the same numeric scale could represent</w:t>
      </w:r>
      <w:r>
        <w:t xml:space="preserve"> </w:t>
      </w:r>
      <w:r>
        <w:t xml:space="preserve">different magnitudes of actual effort or size across sources.</w:t>
      </w:r>
    </w:p>
    <w:p>
      <w:pPr>
        <w:pStyle w:val="BodyText"/>
      </w:pPr>
      <w:r>
        <w:t xml:space="preserve">Specifically, we applied the following standardization rules:</w:t>
      </w:r>
    </w:p>
    <w:p>
      <w:pPr>
        <w:numPr>
          <w:ilvl w:val="0"/>
          <w:numId w:val="1004"/>
        </w:numPr>
      </w:pPr>
      <w:r>
        <w:t xml:space="preserve">Lines of Code (LOC) values are converted to KLOC by dividing by 1000.</w:t>
      </w:r>
      <w:r>
        <w:t xml:space="preserve"> </w:t>
      </w:r>
      <w:r>
        <w:t xml:space="preserve">This conversion follows the COCOMO II convention and allows direct comparison</w:t>
      </w:r>
      <w:r>
        <w:t xml:space="preserve"> </w:t>
      </w:r>
      <w:r>
        <w:t xml:space="preserve">across datasets reporting code size at different scales.</w:t>
      </w:r>
    </w:p>
    <w:p>
      <w:pPr>
        <w:numPr>
          <w:ilvl w:val="0"/>
          <w:numId w:val="1004"/>
        </w:numPr>
      </w:pPr>
      <w:r>
        <w:t xml:space="preserve">Function Points (FP) and Use Case Points (UCP) are kept in their standardized forms.</w:t>
      </w:r>
      <w:r>
        <w:t xml:space="preserve"> </w:t>
      </w:r>
      <w:r>
        <w:t xml:space="preserve">Both FP and UCP inherently represent abstract measures of functional complexity</w:t>
      </w:r>
      <w:r>
        <w:t xml:space="preserve"> </w:t>
      </w:r>
      <w:r>
        <w:t xml:space="preserve">and therefore require no further normalization across sources.</w:t>
      </w:r>
    </w:p>
    <w:p>
      <w:pPr>
        <w:numPr>
          <w:ilvl w:val="0"/>
          <w:numId w:val="1004"/>
        </w:numPr>
      </w:pPr>
      <w:r>
        <w:t xml:space="preserve">Effort values are converted into Person-Months (PM), assuming</w:t>
      </w:r>
      <w:r>
        <w:t xml:space="preserve"> </w:t>
      </w:r>
      <m:oMath>
        <m:r>
          <m:t>1</m:t>
        </m:r>
        <m:r>
          <m:t> </m:t>
        </m:r>
        <m:r>
          <m:rPr>
            <m:nor/>
            <m:sty m:val="p"/>
          </m:rPr>
          <m:t>PM</m:t>
        </m:r>
        <m:r>
          <m:rPr>
            <m:sty m:val="p"/>
          </m:rPr>
          <m:t>=</m:t>
        </m:r>
        <m:r>
          <m:t>160</m:t>
        </m:r>
        <m:r>
          <m:t> </m:t>
        </m:r>
        <m:r>
          <m:rPr>
            <m:nor/>
            <m:sty m:val="p"/>
          </m:rPr>
          <m:t>hours</m:t>
        </m:r>
        <m:r>
          <m:rPr>
            <m:sty m:val="p"/>
          </m:rPr>
          <m:t>=</m:t>
        </m:r>
        <m:r>
          <m:t>20</m:t>
        </m:r>
        <m:r>
          <m:t> </m:t>
        </m:r>
        <m:r>
          <m:rPr>
            <m:nor/>
            <m:sty m:val="p"/>
          </m:rPr>
          <m:t>days</m:t>
        </m:r>
      </m:oMath>
      <w:r>
        <w:t xml:space="preserve">.</w:t>
      </w:r>
      <w:r>
        <w:t xml:space="preserve"> </w:t>
      </w:r>
      <w:r>
        <w:t xml:space="preserve">This assumption reflects the typical 8-hour workday and 20-workday month standard</w:t>
      </w:r>
      <w:r>
        <w:t xml:space="preserve"> </w:t>
      </w:r>
      <w:r>
        <w:t xml:space="preserve">used in most industrial datasets and research benchmarks.</w:t>
      </w:r>
    </w:p>
    <w:p>
      <w:pPr>
        <w:numPr>
          <w:ilvl w:val="0"/>
          <w:numId w:val="1004"/>
        </w:numPr>
      </w:pPr>
      <w:r>
        <w:t xml:space="preserve">Developer count is inferred as</w:t>
      </w:r>
      <w:r>
        <w:t xml:space="preserve"> </w:t>
      </w:r>
      <m:oMath>
        <m:r>
          <m:rPr>
            <m:sty m:val="p"/>
          </m:rPr>
          <m:t>⌈</m:t>
        </m:r>
        <m:r>
          <m:rPr>
            <m:nor/>
            <m:sty m:val="p"/>
          </m:rPr>
          <m:t>Effort</m:t>
        </m:r>
        <m:r>
          <m:rPr>
            <m:sty m:val="p"/>
          </m:rPr>
          <m:t>/</m:t>
        </m:r>
        <m:r>
          <m:rPr>
            <m:nor/>
            <m:sty m:val="p"/>
          </m:rPr>
          <m:t>Time</m:t>
        </m:r>
        <m:r>
          <m:rPr>
            <m:sty m:val="p"/>
          </m:rPr>
          <m:t>⌉</m:t>
        </m:r>
      </m:oMath>
      <w:r>
        <w:t xml:space="preserve"> </w:t>
      </w:r>
      <w:r>
        <w:t xml:space="preserve">when project duration (</w:t>
      </w:r>
      <w:r>
        <w:rPr>
          <w:iCs/>
          <w:i/>
        </w:rPr>
        <w:t xml:space="preserve">Time</w:t>
      </w:r>
      <w:r>
        <w:t xml:space="preserve">) is available.</w:t>
      </w:r>
      <w:r>
        <w:t xml:space="preserve"> </w:t>
      </w:r>
      <w:r>
        <w:t xml:space="preserve">This provides an approximate measure of team size,</w:t>
      </w:r>
      <w:r>
        <w:t xml:space="preserve"> </w:t>
      </w:r>
      <w:r>
        <w:t xml:space="preserve">ensuring that effort-related ratios (e.g., productivity) are comparable across studies.</w:t>
      </w:r>
    </w:p>
    <w:p>
      <w:pPr>
        <w:pStyle w:val="FirstParagraph"/>
      </w:pPr>
      <w:r>
        <w:t xml:space="preserve">Through this harmonization process, all project records are expressed in a unified schema of</w:t>
      </w:r>
      <w:r>
        <w:t xml:space="preserve"> </w:t>
      </w:r>
      <w:r>
        <w:t xml:space="preserve">size (KLOC, FP, or UCP) and effort (Person-Months),</w:t>
      </w:r>
      <w:r>
        <w:t xml:space="preserve"> </w:t>
      </w:r>
      <w:r>
        <w:t xml:space="preserve">allowing consistent interpretation of productivity, scalability, and efficiency.</w:t>
      </w:r>
    </w:p>
    <w:p>
      <w:pPr>
        <w:pStyle w:val="CaptionedFigure"/>
      </w:pPr>
      <w:r>
        <w:drawing>
          <wp:inline>
            <wp:extent cx="5334000" cy="1426845"/>
            <wp:effectExtent b="0" l="0" r="0" t="0"/>
            <wp:docPr descr="" title="" id="39" name="Picture"/>
            <a:graphic>
              <a:graphicData uri="http://schemas.openxmlformats.org/drawingml/2006/picture">
                <pic:pic>
                  <pic:nvPicPr>
                    <pic:cNvPr descr="figures/table1_conversion.png" id="40" name="Picture"/>
                    <pic:cNvPicPr>
                      <a:picLocks noChangeArrowheads="1" noChangeAspect="1"/>
                    </pic:cNvPicPr>
                  </pic:nvPicPr>
                  <pic:blipFill>
                    <a:blip r:embed="rId38"/>
                    <a:stretch>
                      <a:fillRect/>
                    </a:stretch>
                  </pic:blipFill>
                  <pic:spPr bwMode="auto">
                    <a:xfrm>
                      <a:off x="0" y="0"/>
                      <a:ext cx="5334000" cy="1426845"/>
                    </a:xfrm>
                    <a:prstGeom prst="rect">
                      <a:avLst/>
                    </a:prstGeom>
                    <a:noFill/>
                    <a:ln w="9525">
                      <a:noFill/>
                      <a:headEnd/>
                      <a:tailEnd/>
                    </a:ln>
                  </pic:spPr>
                </pic:pic>
              </a:graphicData>
            </a:graphic>
          </wp:inline>
        </w:drawing>
      </w:r>
    </w:p>
    <w:p>
      <w:pPr>
        <w:pStyle w:val="ImageCaption"/>
      </w:pPr>
      <w:r>
        <w:t xml:space="preserve">Comprehensive reference of unit conversions used in the harmonization process.</w:t>
      </w:r>
      <w:r>
        <w:t xml:space="preserve"> </w:t>
      </w:r>
      <w:r>
        <w:t xml:space="preserve">The table summarizes the standardized mappings between source units</w:t>
      </w:r>
      <w:r>
        <w:t xml:space="preserve"> </w:t>
      </w:r>
      <w:r>
        <w:t xml:space="preserve">(LOC, FP, UCP, hours, days, staff-months, and weeks) and their unified target units</w:t>
      </w:r>
      <w:r>
        <w:t xml:space="preserve"> </w:t>
      </w:r>
      <w:r>
        <w:t xml:space="preserve">(KLOC and Person-Months).</w:t>
      </w:r>
      <w:r>
        <w:t xml:space="preserve"> </w:t>
      </w:r>
      <w:r>
        <w:t xml:space="preserve">These conversion factors ensure that heterogeneous datasets follow a consistent scale</w:t>
      </w:r>
      <w:r>
        <w:t xml:space="preserve"> </w:t>
      </w:r>
      <w:r>
        <w:t xml:space="preserve">before being used for cross-source learning and model training.</w:t>
      </w:r>
    </w:p>
    <w:bookmarkEnd w:id="41"/>
    <w:bookmarkStart w:id="51" w:name="missing-values-and-outliers"/>
    <w:p>
      <w:pPr>
        <w:pStyle w:val="Heading2"/>
      </w:pPr>
      <w:r>
        <w:t xml:space="preserve">Missing Values and Outliers</w:t>
      </w:r>
    </w:p>
    <w:p>
      <w:pPr>
        <w:pStyle w:val="FirstParagraph"/>
      </w:pPr>
      <w:r>
        <w:t xml:space="preserve">After harmonizing measurement units across datasets, we addressed data completeness</w:t>
      </w:r>
      <w:r>
        <w:t xml:space="preserve"> </w:t>
      </w:r>
      <w:r>
        <w:t xml:space="preserve">and noise to ensure statistical validity. Public datasets in software engineering often</w:t>
      </w:r>
      <w:r>
        <w:t xml:space="preserve"> </w:t>
      </w:r>
      <w:r>
        <w:t xml:space="preserve">contain missing or inconsistent entries due to incomplete project documentation or</w:t>
      </w:r>
      <w:r>
        <w:t xml:space="preserve"> </w:t>
      </w:r>
      <w:r>
        <w:t xml:space="preserve">differences in reporting standards.</w:t>
      </w:r>
    </w:p>
    <w:bookmarkStart w:id="42" w:name="handling-missing-values."/>
    <w:p>
      <w:pPr>
        <w:pStyle w:val="Heading4"/>
      </w:pPr>
      <w:r>
        <w:t xml:space="preserve">Handling missing values.</w:t>
      </w:r>
    </w:p>
    <w:p>
      <w:pPr>
        <w:pStyle w:val="FirstParagraph"/>
      </w:pPr>
      <w:r>
        <w:t xml:space="preserve">We dropped records missing any of the core predictive variables:</w:t>
      </w:r>
      <w:r>
        <w:t xml:space="preserve"> </w:t>
      </w:r>
      <w:r>
        <w:rPr>
          <w:iCs/>
          <w:i/>
        </w:rPr>
        <w:t xml:space="preserve">size</w:t>
      </w:r>
      <w:r>
        <w:t xml:space="preserve"> </w:t>
      </w:r>
      <w:r>
        <w:t xml:space="preserve">(KLOC, FP, or UCP) or</w:t>
      </w:r>
      <w:r>
        <w:t xml:space="preserve"> </w:t>
      </w:r>
      <w:r>
        <w:rPr>
          <w:iCs/>
          <w:i/>
        </w:rPr>
        <w:t xml:space="preserve">effort</w:t>
      </w:r>
      <w:r>
        <w:t xml:space="preserve"> </w:t>
      </w:r>
      <w:r>
        <w:t xml:space="preserve">(Person-Months).</w:t>
      </w:r>
      <w:r>
        <w:t xml:space="preserve"> </w:t>
      </w:r>
      <w:r>
        <w:t xml:space="preserve">For optional fields such as</w:t>
      </w:r>
      <w:r>
        <w:t xml:space="preserve"> </w:t>
      </w:r>
      <w:r>
        <w:rPr>
          <w:iCs/>
          <w:i/>
        </w:rPr>
        <w:t xml:space="preserve">Time</w:t>
      </w:r>
      <w:r>
        <w:t xml:space="preserve"> </w:t>
      </w:r>
      <w:r>
        <w:t xml:space="preserve">(months) or</w:t>
      </w:r>
      <w:r>
        <w:t xml:space="preserve"> </w:t>
      </w:r>
      <w:r>
        <w:rPr>
          <w:iCs/>
          <w:i/>
        </w:rPr>
        <w:t xml:space="preserve">Developers</w:t>
      </w:r>
      <w:r>
        <w:t xml:space="preserve">,</w:t>
      </w:r>
      <w:r>
        <w:t xml:space="preserve"> </w:t>
      </w:r>
      <w:r>
        <w:t xml:space="preserve">imputation was performed using the median value within the same dataset schema,</w:t>
      </w:r>
      <w:r>
        <w:t xml:space="preserve"> </w:t>
      </w:r>
      <w:r>
        <w:t xml:space="preserve">reducing distortion from skewed distributions.</w:t>
      </w:r>
    </w:p>
    <w:bookmarkEnd w:id="42"/>
    <w:bookmarkStart w:id="49" w:name="outlier-detection-and-capping."/>
    <w:p>
      <w:pPr>
        <w:pStyle w:val="Heading4"/>
      </w:pPr>
      <w:r>
        <w:t xml:space="preserve">Outlier detection and capping.</w:t>
      </w:r>
    </w:p>
    <w:p>
      <w:pPr>
        <w:pStyle w:val="FirstParagraph"/>
      </w:pPr>
      <w:r>
        <w:t xml:space="preserve">Outliers were identified using the Interquartile Range (IQR) rule per feature dimension:</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lower</m:t>
                </m:r>
              </m:e>
              <m:e>
                <m:r>
                  <m:rPr>
                    <m:sty m:val="p"/>
                  </m:rPr>
                  <m:t>=</m:t>
                </m:r>
                <m:sSub>
                  <m:e>
                    <m:r>
                      <m:t>Q</m:t>
                    </m:r>
                  </m:e>
                  <m:sub>
                    <m:r>
                      <m:t>1</m:t>
                    </m:r>
                  </m:sub>
                </m:sSub>
                <m:r>
                  <m:rPr>
                    <m:sty m:val="p"/>
                  </m:rPr>
                  <m:t>−</m:t>
                </m:r>
                <m:r>
                  <m:t>1.5</m:t>
                </m:r>
                <m:r>
                  <m:rPr>
                    <m:sty m:val="p"/>
                  </m:rPr>
                  <m:t>×</m:t>
                </m:r>
                <m:r>
                  <m:rPr>
                    <m:nor/>
                    <m:sty m:val="p"/>
                  </m:rPr>
                  <m:t>IQR</m:t>
                </m:r>
                <m:r>
                  <m:rPr>
                    <m:sty m:val="p"/>
                  </m:rPr>
                  <m:t>,</m:t>
                </m:r>
              </m:e>
            </m:mr>
            <m:mr>
              <m:e>
                <m:r>
                  <m:rPr>
                    <m:nor/>
                    <m:sty m:val="p"/>
                  </m:rPr>
                  <m:t>upper</m:t>
                </m:r>
              </m:e>
              <m:e>
                <m:r>
                  <m:rPr>
                    <m:sty m:val="p"/>
                  </m:rPr>
                  <m:t>=</m:t>
                </m:r>
                <m:sSub>
                  <m:e>
                    <m:r>
                      <m:t>Q</m:t>
                    </m:r>
                  </m:e>
                  <m:sub>
                    <m:r>
                      <m:t>3</m:t>
                    </m:r>
                  </m:sub>
                </m:sSub>
                <m:r>
                  <m:rPr>
                    <m:sty m:val="p"/>
                  </m:rPr>
                  <m:t>+</m:t>
                </m:r>
                <m:r>
                  <m:t>1.5</m:t>
                </m:r>
                <m:r>
                  <m:rPr>
                    <m:sty m:val="p"/>
                  </m:rPr>
                  <m:t>×</m:t>
                </m:r>
                <m:r>
                  <m:rPr>
                    <m:nor/>
                    <m:sty m:val="p"/>
                  </m:rPr>
                  <m:t>IQR</m:t>
                </m:r>
                <m:r>
                  <m:rPr>
                    <m:sty m:val="p"/>
                  </m:rPr>
                  <m:t>,</m:t>
                </m:r>
              </m:e>
            </m:mr>
            <m:mr>
              <m:e>
                <m:sSub>
                  <m:e>
                    <m:r>
                      <m:t>x</m:t>
                    </m:r>
                  </m:e>
                  <m:sub>
                    <m:r>
                      <m:t>c</m:t>
                    </m:r>
                  </m:sub>
                </m:sSub>
              </m:e>
              <m:e>
                <m:r>
                  <m:rPr>
                    <m:sty m:val="p"/>
                  </m:rPr>
                  <m:t>←</m:t>
                </m:r>
                <m:r>
                  <m:rPr>
                    <m:sty m:val="p"/>
                  </m:rPr>
                  <m:t>c</m:t>
                </m:r>
                <m:r>
                  <m:rPr>
                    <m:sty m:val="p"/>
                  </m:rPr>
                  <m:t>l</m:t>
                </m:r>
                <m:r>
                  <m:rPr>
                    <m:sty m:val="p"/>
                  </m:rPr>
                  <m:t>i</m:t>
                </m:r>
                <m:r>
                  <m:rPr>
                    <m:sty m:val="p"/>
                  </m:rPr>
                  <m:t>p</m:t>
                </m:r>
                <m:d>
                  <m:dPr>
                    <m:begChr m:val="("/>
                    <m:endChr m:val=")"/>
                    <m:sepChr m:val=""/>
                    <m:grow/>
                  </m:dPr>
                  <m:e>
                    <m:r>
                      <m:t>x</m:t>
                    </m:r>
                    <m:r>
                      <m:rPr>
                        <m:sty m:val="p"/>
                      </m:rPr>
                      <m:t>,</m:t>
                    </m:r>
                    <m:r>
                      <m:rPr>
                        <m:nor/>
                        <m:sty m:val="p"/>
                      </m:rPr>
                      <m:t>lower</m:t>
                    </m:r>
                    <m:r>
                      <m:rPr>
                        <m:sty m:val="p"/>
                      </m:rPr>
                      <m:t>,</m:t>
                    </m:r>
                    <m:r>
                      <m:rPr>
                        <m:nor/>
                        <m:sty m:val="p"/>
                      </m:rPr>
                      <m:t>upper</m:t>
                    </m:r>
                  </m:e>
                </m:d>
              </m:e>
            </m:mr>
          </m:m>
        </m:oMath>
      </m:oMathPara>
    </w:p>
    <w:p>
      <w:pPr>
        <w:pStyle w:val="FirstParagraph"/>
      </w:pPr>
      <w:r>
        <w:t xml:space="preserve">where</w:t>
      </w:r>
      <w:r>
        <w:t xml:space="preserve"> </w:t>
      </w:r>
      <m:oMath>
        <m:sSub>
          <m:e>
            <m:r>
              <m:t>Q</m:t>
            </m:r>
          </m:e>
          <m:sub>
            <m:r>
              <m:t>1</m:t>
            </m:r>
          </m:sub>
        </m:sSub>
      </m:oMath>
      <w:r>
        <w:t xml:space="preserve"> </w:t>
      </w:r>
      <w:r>
        <w:t xml:space="preserve">and</w:t>
      </w:r>
      <w:r>
        <w:t xml:space="preserve"> </w:t>
      </w:r>
      <m:oMath>
        <m:sSub>
          <m:e>
            <m:r>
              <m:t>Q</m:t>
            </m:r>
          </m:e>
          <m:sub>
            <m:r>
              <m:t>3</m:t>
            </m:r>
          </m:sub>
        </m:sSub>
      </m:oMath>
      <w:r>
        <w:t xml:space="preserve"> </w:t>
      </w:r>
      <w:r>
        <w:t xml:space="preserve">are the first and third quartiles, respectively.</w:t>
      </w:r>
      <w:r>
        <w:t xml:space="preserve"> </w:t>
      </w:r>
      <w:r>
        <w:t xml:space="preserve">Values outside this range were clipped to the nearest boundary rather than removed,</w:t>
      </w:r>
      <w:r>
        <w:t xml:space="preserve"> </w:t>
      </w:r>
      <w:r>
        <w:t xml:space="preserve">to preserve dataset size while limiting extreme influence.</w:t>
      </w:r>
    </w:p>
    <w:p>
      <w:pPr>
        <w:pStyle w:val="CaptionedFigure"/>
      </w:pPr>
      <w:r>
        <w:drawing>
          <wp:inline>
            <wp:extent cx="5334000" cy="2631293"/>
            <wp:effectExtent b="0" l="0" r="0" t="0"/>
            <wp:docPr descr="" title="" id="44" name="Picture"/>
            <a:graphic>
              <a:graphicData uri="http://schemas.openxmlformats.org/drawingml/2006/picture">
                <pic:pic>
                  <pic:nvPicPr>
                    <pic:cNvPr descr="figures/feature_contributions.png" id="45" name="Picture"/>
                    <pic:cNvPicPr>
                      <a:picLocks noChangeArrowheads="1" noChangeAspect="1"/>
                    </pic:cNvPicPr>
                  </pic:nvPicPr>
                  <pic:blipFill>
                    <a:blip r:embed="rId43"/>
                    <a:stretch>
                      <a:fillRect/>
                    </a:stretch>
                  </pic:blipFill>
                  <pic:spPr bwMode="auto">
                    <a:xfrm>
                      <a:off x="0" y="0"/>
                      <a:ext cx="5334000" cy="2631293"/>
                    </a:xfrm>
                    <a:prstGeom prst="rect">
                      <a:avLst/>
                    </a:prstGeom>
                    <a:noFill/>
                    <a:ln w="9525">
                      <a:noFill/>
                      <a:headEnd/>
                      <a:tailEnd/>
                    </a:ln>
                  </pic:spPr>
                </pic:pic>
              </a:graphicData>
            </a:graphic>
          </wp:inline>
        </w:drawing>
      </w:r>
    </w:p>
    <w:p>
      <w:pPr>
        <w:pStyle w:val="ImageCaption"/>
      </w:pPr>
      <w:r>
        <w:t xml:space="preserve">Scatter and boxplot visualizations showing (top) size–effort relationships</w:t>
      </w:r>
      <w:r>
        <w:t xml:space="preserve"> </w:t>
      </w:r>
      <w:r>
        <w:t xml:space="preserve">before and after unit harmonization, and (bottom) productivity and team size trends</w:t>
      </w:r>
      <w:r>
        <w:t xml:space="preserve"> </w:t>
      </w:r>
      <w:r>
        <w:t xml:space="preserve">across data sources. The harmonized representation eliminates scale discrepancies</w:t>
      </w:r>
      <w:r>
        <w:t xml:space="preserve"> </w:t>
      </w:r>
      <w:r>
        <w:t xml:space="preserve">and improves interpretability across heterogeneous datasets.</w:t>
      </w:r>
    </w:p>
    <w:p>
      <w:pPr>
        <w:pStyle w:val="CaptionedFigure"/>
      </w:pPr>
      <w:r>
        <w:drawing>
          <wp:inline>
            <wp:extent cx="5334000" cy="3228906"/>
            <wp:effectExtent b="0" l="0" r="0" t="0"/>
            <wp:docPr descr="" title="" id="47" name="Picture"/>
            <a:graphic>
              <a:graphicData uri="http://schemas.openxmlformats.org/drawingml/2006/picture">
                <pic:pic>
                  <pic:nvPicPr>
                    <pic:cNvPr descr="figures/real_feature_contributions.png.png" id="48" name="Picture"/>
                    <pic:cNvPicPr>
                      <a:picLocks noChangeArrowheads="1" noChangeAspect="1"/>
                    </pic:cNvPicPr>
                  </pic:nvPicPr>
                  <pic:blipFill>
                    <a:blip r:embed="rId46"/>
                    <a:stretch>
                      <a:fillRect/>
                    </a:stretch>
                  </pic:blipFill>
                  <pic:spPr bwMode="auto">
                    <a:xfrm>
                      <a:off x="0" y="0"/>
                      <a:ext cx="5334000" cy="3228906"/>
                    </a:xfrm>
                    <a:prstGeom prst="rect">
                      <a:avLst/>
                    </a:prstGeom>
                    <a:noFill/>
                    <a:ln w="9525">
                      <a:noFill/>
                      <a:headEnd/>
                      <a:tailEnd/>
                    </a:ln>
                  </pic:spPr>
                </pic:pic>
              </a:graphicData>
            </a:graphic>
          </wp:inline>
        </w:drawing>
      </w:r>
    </w:p>
    <w:p>
      <w:pPr>
        <w:pStyle w:val="ImageCaption"/>
      </w:pPr>
      <w:r>
        <w:t xml:space="preserve">Feature contribution matrices before and after harmonization via Principal Component Analysis (PCA).</w:t>
      </w:r>
      <w:r>
        <w:t xml:space="preserve"> </w:t>
      </w:r>
      <w:r>
        <w:t xml:space="preserve">After harmonization, feature relationships become more stable and coherent,</w:t>
      </w:r>
      <w:r>
        <w:t xml:space="preserve"> </w:t>
      </w:r>
      <w:r>
        <w:t xml:space="preserve">indicating better alignment of variance structures across datasets for model training.</w:t>
      </w:r>
    </w:p>
    <w:bookmarkEnd w:id="49"/>
    <w:bookmarkStart w:id="50" w:name="interpretation."/>
    <w:p>
      <w:pPr>
        <w:pStyle w:val="Heading4"/>
      </w:pPr>
      <w:r>
        <w:t xml:space="preserve">Interpretation.</w:t>
      </w:r>
    </w:p>
    <w:p>
      <w:pPr>
        <w:pStyle w:val="FirstParagraph"/>
      </w:pPr>
      <w:r>
        <w:t xml:space="preserve">As shown in Figure </w:t>
      </w:r>
      <w:hyperlink w:anchor="fig:feature-contrib">
        <w:r>
          <w:rPr>
            <w:rStyle w:val="Hyperlink"/>
          </w:rPr>
          <w:t xml:space="preserve">4</w:t>
        </w:r>
      </w:hyperlink>
      <w:r>
        <w:t xml:space="preserve">,</w:t>
      </w:r>
      <w:r>
        <w:t xml:space="preserve"> </w:t>
      </w:r>
      <w:r>
        <w:t xml:space="preserve">harmonization and outlier handling collectively improve the coherence of data distributions.</w:t>
      </w:r>
      <w:r>
        <w:t xml:space="preserve"> </w:t>
      </w:r>
      <w:r>
        <w:t xml:space="preserve">Effort–size relationships across sources now align along similar log-scaled patterns,</w:t>
      </w:r>
      <w:r>
        <w:t xml:space="preserve"> </w:t>
      </w:r>
      <w:r>
        <w:t xml:space="preserve">and PCA loadings reveal that dominant variance components are shared across schemas—</w:t>
      </w:r>
      <w:r>
        <w:t xml:space="preserve"> </w:t>
      </w:r>
      <w:r>
        <w:t xml:space="preserve">a key prerequisite for reliable cross-source model training.</w:t>
      </w:r>
    </w:p>
    <w:bookmarkEnd w:id="50"/>
    <w:bookmarkEnd w:id="51"/>
    <w:bookmarkStart w:id="61" w:name="distribution-shaping-and-correlation"/>
    <w:p>
      <w:pPr>
        <w:pStyle w:val="Heading2"/>
      </w:pPr>
      <w:r>
        <w:t xml:space="preserve">Distribution Shaping and Correlation</w:t>
      </w:r>
    </w:p>
    <w:p>
      <w:pPr>
        <w:pStyle w:val="FirstParagraph"/>
      </w:pPr>
      <w:r>
        <w:t xml:space="preserve">Software project variables often exhibit right-skewed distributions, particularly in effort, size, and duration.</w:t>
      </w:r>
      <w:r>
        <w:t xml:space="preserve"> </w:t>
      </w:r>
      <w:r>
        <w:t xml:space="preserve">Such skewness can impair regression-based learning and lead to biased model behavior toward large projects.</w:t>
      </w:r>
      <w:r>
        <w:t xml:space="preserve"> </w:t>
      </w:r>
      <w:r>
        <w:t xml:space="preserve">To address this, we applied log-scaling transformations to normalize the distribution of effort and size metrics</w:t>
      </w:r>
      <w:r>
        <w:t xml:space="preserve"> </w:t>
      </w:r>
      <w:r>
        <w:t xml:space="preserve">and enhance their linear correlation under log–log representation.</w:t>
      </w:r>
    </w:p>
    <w:p>
      <w:pPr>
        <w:pStyle w:val="BodyText"/>
      </w:pPr>
      <w:r>
        <w:t xml:space="preserve">We first visualized the raw distributions and correlations across schemas (LOC, FP, UCP)</w:t>
      </w:r>
      <w:r>
        <w:t xml:space="preserve"> </w:t>
      </w:r>
      <w:r>
        <w:t xml:space="preserve">before and after transformation. As illustrated in Figure </w:t>
      </w:r>
      <w:hyperlink w:anchor="fig:size-effort-corr">
        <w:r>
          <w:rPr>
            <w:rStyle w:val="Hyperlink"/>
          </w:rPr>
          <w:t xml:space="preserve">[fig:size-effort-corr]</w:t>
        </w:r>
      </w:hyperlink>
      <w:r>
        <w:t xml:space="preserve">,</w:t>
      </w:r>
      <w:r>
        <w:t xml:space="preserve"> </w:t>
      </w:r>
      <w:r>
        <w:t xml:space="preserve">the log–log transformation reveals a clear power-law relationship between software size and development effort,</w:t>
      </w:r>
      <w:r>
        <w:t xml:space="preserve"> </w:t>
      </w:r>
      <w:r>
        <w:t xml:space="preserve">indicating scale invariance commonly observed in empirical software engineering studies.</w:t>
      </w:r>
    </w:p>
    <w:p>
      <w:pPr>
        <w:pStyle w:val="BodyText"/>
      </w:pPr>
      <w:r>
        <w:drawing>
          <wp:inline>
            <wp:extent cx="5334000" cy="1538400"/>
            <wp:effectExtent b="0" l="0" r="0" t="0"/>
            <wp:docPr descr="image" title="" id="53" name="Picture"/>
            <a:graphic>
              <a:graphicData uri="http://schemas.openxmlformats.org/drawingml/2006/picture">
                <pic:pic>
                  <pic:nvPicPr>
                    <pic:cNvPr descr="figures/train_test_split.png" id="54" name="Picture"/>
                    <pic:cNvPicPr>
                      <a:picLocks noChangeArrowheads="1" noChangeAspect="1"/>
                    </pic:cNvPicPr>
                  </pic:nvPicPr>
                  <pic:blipFill>
                    <a:blip r:embed="rId52"/>
                    <a:stretch>
                      <a:fillRect/>
                    </a:stretch>
                  </pic:blipFill>
                  <pic:spPr bwMode="auto">
                    <a:xfrm>
                      <a:off x="0" y="0"/>
                      <a:ext cx="5334000" cy="1538400"/>
                    </a:xfrm>
                    <a:prstGeom prst="rect">
                      <a:avLst/>
                    </a:prstGeom>
                    <a:noFill/>
                    <a:ln w="9525">
                      <a:noFill/>
                      <a:headEnd/>
                      <a:tailEnd/>
                    </a:ln>
                  </pic:spPr>
                </pic:pic>
              </a:graphicData>
            </a:graphic>
          </wp:inline>
        </w:drawing>
      </w:r>
    </w:p>
    <w:p>
      <w:pPr>
        <w:pStyle w:val="BodyText"/>
      </w:pPr>
      <w:r>
        <w:drawing>
          <wp:inline>
            <wp:extent cx="5334000" cy="2440908"/>
            <wp:effectExtent b="0" l="0" r="0" t="0"/>
            <wp:docPr descr="image" title="" id="56" name="Picture"/>
            <a:graphic>
              <a:graphicData uri="http://schemas.openxmlformats.org/drawingml/2006/picture">
                <pic:pic>
                  <pic:nvPicPr>
                    <pic:cNvPr descr="figures/size_effort_correlation.png" id="57" name="Picture"/>
                    <pic:cNvPicPr>
                      <a:picLocks noChangeArrowheads="1" noChangeAspect="1"/>
                    </pic:cNvPicPr>
                  </pic:nvPicPr>
                  <pic:blipFill>
                    <a:blip r:embed="rId55"/>
                    <a:stretch>
                      <a:fillRect/>
                    </a:stretch>
                  </pic:blipFill>
                  <pic:spPr bwMode="auto">
                    <a:xfrm>
                      <a:off x="0" y="0"/>
                      <a:ext cx="5334000" cy="2440908"/>
                    </a:xfrm>
                    <a:prstGeom prst="rect">
                      <a:avLst/>
                    </a:prstGeom>
                    <a:noFill/>
                    <a:ln w="9525">
                      <a:noFill/>
                      <a:headEnd/>
                      <a:tailEnd/>
                    </a:ln>
                  </pic:spPr>
                </pic:pic>
              </a:graphicData>
            </a:graphic>
          </wp:inline>
        </w:drawing>
      </w:r>
    </w:p>
    <w:p>
      <w:pPr>
        <w:pStyle w:val="BodyText"/>
      </w:pPr>
      <w:r>
        <w:drawing>
          <wp:inline>
            <wp:extent cx="5334000" cy="2306003"/>
            <wp:effectExtent b="0" l="0" r="0" t="0"/>
            <wp:docPr descr="image" title="" id="59" name="Picture"/>
            <a:graphic>
              <a:graphicData uri="http://schemas.openxmlformats.org/drawingml/2006/picture">
                <pic:pic>
                  <pic:nvPicPr>
                    <pic:cNvPr descr="figures/decision_rf_tuning.png" id="60" name="Picture"/>
                    <pic:cNvPicPr>
                      <a:picLocks noChangeArrowheads="1" noChangeAspect="1"/>
                    </pic:cNvPicPr>
                  </pic:nvPicPr>
                  <pic:blipFill>
                    <a:blip r:embed="rId58"/>
                    <a:stretch>
                      <a:fillRect/>
                    </a:stretch>
                  </pic:blipFill>
                  <pic:spPr bwMode="auto">
                    <a:xfrm>
                      <a:off x="0" y="0"/>
                      <a:ext cx="5334000" cy="2306003"/>
                    </a:xfrm>
                    <a:prstGeom prst="rect">
                      <a:avLst/>
                    </a:prstGeom>
                    <a:noFill/>
                    <a:ln w="9525">
                      <a:noFill/>
                      <a:headEnd/>
                      <a:tailEnd/>
                    </a:ln>
                  </pic:spPr>
                </pic:pic>
              </a:graphicData>
            </a:graphic>
          </wp:inline>
        </w:drawing>
      </w:r>
    </w:p>
    <w:bookmarkEnd w:id="61"/>
    <w:bookmarkEnd w:id="62"/>
    <w:bookmarkStart w:id="77" w:name="experimental-setup"/>
    <w:p>
      <w:pPr>
        <w:pStyle w:val="Heading1"/>
      </w:pPr>
      <w:r>
        <w:t xml:space="preserve">Experimental Setup</w:t>
      </w:r>
    </w:p>
    <w:bookmarkStart w:id="66" w:name="traintest-protocol"/>
    <w:p>
      <w:pPr>
        <w:pStyle w:val="Heading2"/>
      </w:pPr>
      <w:r>
        <w:t xml:space="preserve">Train–Test Protocol</w:t>
      </w:r>
    </w:p>
    <w:p>
      <w:pPr>
        <w:pStyle w:val="FirstParagraph"/>
      </w:pPr>
      <w:r>
        <w:t xml:space="preserve">For each schema (LOC, FP, UCP), we construct an</w:t>
      </w:r>
      <w:r>
        <w:t xml:space="preserve"> </w:t>
      </w:r>
      <w:r>
        <w:rPr>
          <w:bCs/>
          <w:b/>
        </w:rPr>
        <w:t xml:space="preserve">independent</w:t>
      </w:r>
      <w:r>
        <w:t xml:space="preserve"> </w:t>
      </w:r>
      <w:r>
        <w:t xml:space="preserve">evaluation loop.</w:t>
      </w:r>
      <w:r>
        <w:t xml:space="preserve"> </w:t>
      </w:r>
      <w:r>
        <w:t xml:space="preserve">Projects are split into</w:t>
      </w:r>
      <w:r>
        <w:t xml:space="preserve"> </w:t>
      </w:r>
      <w:r>
        <w:rPr>
          <w:bCs/>
          <w:b/>
        </w:rPr>
        <w:t xml:space="preserve">80% training</w:t>
      </w:r>
      <w:r>
        <w:t xml:space="preserve"> </w:t>
      </w:r>
      <w:r>
        <w:t xml:space="preserve">and</w:t>
      </w:r>
      <w:r>
        <w:t xml:space="preserve"> </w:t>
      </w:r>
      <w:r>
        <w:rPr>
          <w:bCs/>
          <w:b/>
        </w:rPr>
        <w:t xml:space="preserve">20% test</w:t>
      </w:r>
      <w:r>
        <w:t xml:space="preserve"> </w:t>
      </w:r>
      <w:r>
        <w:t xml:space="preserve">partitions</w:t>
      </w:r>
      <w:r>
        <w:t xml:space="preserve"> </w:t>
      </w:r>
      <w:r>
        <w:t xml:space="preserve">using a stratified sampler over</w:t>
      </w:r>
      <w:r>
        <w:t xml:space="preserve"> </w:t>
      </w:r>
      <w:r>
        <w:rPr>
          <w:iCs/>
          <w:i/>
        </w:rPr>
        <w:t xml:space="preserve">size quantiles</w:t>
      </w:r>
      <w:r>
        <w:t xml:space="preserve"> </w:t>
      </w:r>
      <w:r>
        <w:t xml:space="preserve">(five equal-frequency bins)</w:t>
      </w:r>
      <w:r>
        <w:t xml:space="preserve"> </w:t>
      </w:r>
      <w:r>
        <w:t xml:space="preserve">to preserve the scale distribution across splits.</w:t>
      </w:r>
    </w:p>
    <w:p>
      <w:pPr>
        <w:pStyle w:val="BodyText"/>
      </w:pPr>
      <w:r>
        <w:t xml:space="preserve">All model selection happens strictly inside the training portion using</w:t>
      </w:r>
      <w:r>
        <w:t xml:space="preserve"> </w:t>
      </w:r>
      <w:r>
        <w:rPr>
          <w:bCs/>
          <w:b/>
        </w:rPr>
        <w:t xml:space="preserve">5-fold cross-validation (CV)</w:t>
      </w:r>
      <w:r>
        <w:t xml:space="preserve"> </w:t>
      </w:r>
      <w:r>
        <w:t xml:space="preserve">with shuffling.</w:t>
      </w:r>
      <w:r>
        <w:t xml:space="preserve"> </w:t>
      </w:r>
      <w:r>
        <w:t xml:space="preserve">The chosen configuration is then refit on the</w:t>
      </w:r>
      <w:r>
        <w:t xml:space="preserve"> </w:t>
      </w:r>
      <w:r>
        <w:rPr>
          <w:iCs/>
          <w:i/>
        </w:rPr>
        <w:t xml:space="preserve">full</w:t>
      </w:r>
      <w:r>
        <w:t xml:space="preserve"> </w:t>
      </w:r>
      <w:r>
        <w:t xml:space="preserve">training set</w:t>
      </w:r>
      <w:r>
        <w:t xml:space="preserve"> </w:t>
      </w:r>
      <w:r>
        <w:t xml:space="preserve">and evaluated once on the held-out test set.</w:t>
      </w:r>
    </w:p>
    <w:p>
      <w:pPr>
        <w:pStyle w:val="BodyText"/>
      </w:pPr>
      <w:r>
        <w:t xml:space="preserve">To reduce randomness, we repeat the entire split–tune–test pipeline</w:t>
      </w:r>
      <w:r>
        <w:t xml:space="preserve"> </w:t>
      </w:r>
      <w:r>
        <w:t xml:space="preserve">for</w:t>
      </w:r>
      <w:r>
        <w:t xml:space="preserve"> </w:t>
      </w:r>
      <w:r>
        <w:rPr>
          <w:bCs/>
          <w:b/>
        </w:rPr>
        <w:t xml:space="preserve">10 different random seeds</w:t>
      </w:r>
      <w:r>
        <w:t xml:space="preserve"> </w:t>
      </w:r>
      <w:r>
        <w:t xml:space="preserve">(e.g.,</w:t>
      </w:r>
      <w:r>
        <w:t xml:space="preserve"> </w:t>
      </w:r>
      <m:oMath>
        <m:r>
          <m:rPr>
            <m:sty m:val="p"/>
          </m:rPr>
          <m:t>{</m:t>
        </m:r>
        <m:r>
          <m:t>1</m:t>
        </m:r>
        <m:r>
          <m:rPr>
            <m:sty m:val="p"/>
          </m:rPr>
          <m:t>,</m:t>
        </m:r>
        <m:r>
          <m:t>11</m:t>
        </m:r>
        <m:r>
          <m:rPr>
            <m:sty m:val="p"/>
          </m:rPr>
          <m:t>,</m:t>
        </m:r>
        <m:r>
          <m:t>21</m:t>
        </m:r>
        <m:r>
          <m:rPr>
            <m:sty m:val="p"/>
          </m:rPr>
          <m:t>,</m:t>
        </m:r>
        <m:r>
          <m:rPr>
            <m:sty m:val="p"/>
          </m:rPr>
          <m:t>…</m:t>
        </m:r>
        <m:r>
          <m:rPr>
            <m:sty m:val="p"/>
          </m:rPr>
          <m:t>,</m:t>
        </m:r>
        <m:r>
          <m:t>91</m:t>
        </m:r>
        <m:r>
          <m:rPr>
            <m:sty m:val="p"/>
          </m:rPr>
          <m:t>}</m:t>
        </m:r>
      </m:oMath>
      <w:r>
        <w:t xml:space="preserve">).</w:t>
      </w:r>
      <w:r>
        <w:t xml:space="preserve"> </w:t>
      </w:r>
      <w:r>
        <w:t xml:space="preserve">For any metric</w:t>
      </w:r>
      <w:r>
        <w:t xml:space="preserve"> </w:t>
      </w:r>
      <m:oMath>
        <m:r>
          <m:t>m</m:t>
        </m:r>
      </m:oMath>
      <w:r>
        <w:t xml:space="preserve">, we report the mean and standard deviation across seeds:</w:t>
      </w:r>
    </w:p>
    <w:p>
      <w:pPr>
        <w:pStyle w:val="BodyText"/>
      </w:pPr>
      <m:oMathPara>
        <m:oMathParaPr>
          <m:jc m:val="center"/>
        </m:oMathParaPr>
        <m:oMath>
          <m:acc>
            <m:accPr>
              <m:chr m:val="‾"/>
            </m:accPr>
            <m:e>
              <m:r>
                <m:t>m</m:t>
              </m:r>
            </m:e>
          </m:acc>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p>
                <m:e>
                  <m:r>
                    <m:t>m</m:t>
                  </m:r>
                </m:e>
                <m:sup>
                  <m:d>
                    <m:dPr>
                      <m:begChr m:val="("/>
                      <m:endChr m:val=")"/>
                      <m:sepChr m:val=""/>
                      <m:grow/>
                    </m:dPr>
                    <m:e>
                      <m:r>
                        <m:t>s</m:t>
                      </m:r>
                    </m:e>
                  </m:d>
                </m:sup>
              </m:sSup>
            </m:e>
          </m:nary>
          <m:r>
            <m:rPr>
              <m:sty m:val="p"/>
            </m:rPr>
            <m:t>,</m:t>
          </m:r>
          <m:r>
            <m:t>  </m:t>
          </m:r>
          <m:r>
            <m:rPr>
              <m:sty m:val="p"/>
            </m:rPr>
            <m:t>s</m:t>
          </m:r>
          <m:r>
            <m:rPr>
              <m:sty m:val="p"/>
            </m:rPr>
            <m:t>d</m:t>
          </m:r>
          <m:d>
            <m:dPr>
              <m:begChr m:val="("/>
              <m:endChr m:val=")"/>
              <m:sepChr m:val=""/>
              <m:grow/>
            </m:dPr>
            <m:e>
              <m:r>
                <m:t>m</m:t>
              </m:r>
            </m:e>
          </m:d>
          <m:r>
            <m:rPr>
              <m:sty m:val="p"/>
            </m:rPr>
            <m:t>=</m:t>
          </m:r>
          <m:rad>
            <m:radPr>
              <m:degHide m:val="on"/>
            </m:radPr>
            <m:deg/>
            <m:e>
              <m:f>
                <m:fPr>
                  <m:type m:val="bar"/>
                </m:fPr>
                <m:num>
                  <m:r>
                    <m:t>1</m:t>
                  </m:r>
                </m:num>
                <m:den>
                  <m:r>
                    <m:t>S</m:t>
                  </m:r>
                  <m:r>
                    <m:rPr>
                      <m:sty m:val="p"/>
                    </m:rPr>
                    <m:t>−</m:t>
                  </m:r>
                  <m:r>
                    <m:t>1</m:t>
                  </m:r>
                </m:den>
              </m:f>
              <m:nary>
                <m:naryPr>
                  <m:chr m:val="∑"/>
                  <m:limLoc m:val="undOvr"/>
                  <m:subHide m:val="off"/>
                  <m:supHide m:val="off"/>
                </m:naryPr>
                <m:sub>
                  <m:r>
                    <m:t>s</m:t>
                  </m:r>
                  <m:r>
                    <m:rPr>
                      <m:sty m:val="p"/>
                    </m:rPr>
                    <m:t>=</m:t>
                  </m:r>
                  <m:r>
                    <m:t>1</m:t>
                  </m:r>
                </m:sub>
                <m:sup>
                  <m:r>
                    <m:t>S</m:t>
                  </m:r>
                </m:sup>
                <m:e>
                  <m:r>
                    <m:t>​</m:t>
                  </m:r>
                </m:e>
              </m:nary>
              <m:r>
                <m:rPr>
                  <m:sty m:val="p"/>
                </m:rPr>
                <m:t>(</m:t>
              </m:r>
              <m:sSup>
                <m:e>
                  <m:r>
                    <m:t>m</m:t>
                  </m:r>
                </m:e>
                <m:sup>
                  <m:d>
                    <m:dPr>
                      <m:begChr m:val="("/>
                      <m:endChr m:val=")"/>
                      <m:sepChr m:val=""/>
                      <m:grow/>
                    </m:dPr>
                    <m:e>
                      <m:r>
                        <m:t>s</m:t>
                      </m:r>
                    </m:e>
                  </m:d>
                </m:sup>
              </m:sSup>
              <m:r>
                <m:rPr>
                  <m:sty m:val="p"/>
                </m:rPr>
                <m:t>−</m:t>
              </m:r>
              <m:acc>
                <m:accPr>
                  <m:chr m:val="‾"/>
                </m:accPr>
                <m:e>
                  <m:r>
                    <m:t>m</m:t>
                  </m:r>
                </m:e>
              </m:acc>
              <m:sSup>
                <m:e>
                  <m:r>
                    <m:rPr>
                      <m:sty m:val="p"/>
                    </m:rPr>
                    <m:t>)</m:t>
                  </m:r>
                </m:e>
                <m:sup>
                  <m:r>
                    <m:t>2</m:t>
                  </m:r>
                </m:sup>
              </m:sSup>
            </m:e>
          </m:rad>
          <m:r>
            <m:rPr>
              <m:sty m:val="p"/>
            </m:rPr>
            <m:t>,</m:t>
          </m:r>
        </m:oMath>
      </m:oMathPara>
    </w:p>
    <w:p>
      <w:pPr>
        <w:pStyle w:val="FirstParagraph"/>
      </w:pPr>
      <w:r>
        <w:t xml:space="preserve">with</w:t>
      </w:r>
      <w:r>
        <w:t xml:space="preserve"> </w:t>
      </w:r>
      <m:oMath>
        <m:r>
          <m:t>S</m:t>
        </m:r>
        <m:r>
          <m:rPr>
            <m:sty m:val="p"/>
          </m:rPr>
          <m:t>=</m:t>
        </m:r>
        <m:r>
          <m:t>10</m:t>
        </m:r>
      </m:oMath>
      <w:r>
        <w:t xml:space="preserve">.</w:t>
      </w:r>
      <w:r>
        <w:t xml:space="preserve"> </w:t>
      </w:r>
      <w:r>
        <w:t xml:space="preserve">This protocol yields stable, reproducible estimates</w:t>
      </w:r>
      <w:r>
        <w:t xml:space="preserve"> </w:t>
      </w:r>
      <w:r>
        <w:t xml:space="preserve">and prevents leakage from the test fold.</w:t>
      </w:r>
      <w:r>
        <w:t xml:space="preserve"> </w:t>
      </w:r>
      <w:r>
        <w:t xml:space="preserve">(See Fig. </w:t>
      </w:r>
      <w:hyperlink w:anchor="fig:exp-pipeline">
        <w:r>
          <w:rPr>
            <w:rStyle w:val="Hyperlink"/>
          </w:rPr>
          <w:t xml:space="preserve">5</w:t>
        </w:r>
      </w:hyperlink>
      <w:r>
        <w:t xml:space="preserve"> </w:t>
      </w:r>
      <w:r>
        <w:t xml:space="preserve">for a high-level flow.)</w:t>
      </w:r>
    </w:p>
    <w:p>
      <w:pPr>
        <w:pStyle w:val="CaptionedFigure"/>
      </w:pPr>
      <w:r>
        <w:drawing>
          <wp:inline>
            <wp:extent cx="5334000" cy="4810808"/>
            <wp:effectExtent b="0" l="0" r="0" t="0"/>
            <wp:docPr descr="" title="" id="64" name="Picture"/>
            <a:graphic>
              <a:graphicData uri="http://schemas.openxmlformats.org/drawingml/2006/picture">
                <pic:pic>
                  <pic:nvPicPr>
                    <pic:cNvPr descr="exp_pipeline.png" id="65" name="Picture"/>
                    <pic:cNvPicPr>
                      <a:picLocks noChangeArrowheads="1" noChangeAspect="1"/>
                    </pic:cNvPicPr>
                  </pic:nvPicPr>
                  <pic:blipFill>
                    <a:blip r:embed="rId63"/>
                    <a:stretch>
                      <a:fillRect/>
                    </a:stretch>
                  </pic:blipFill>
                  <pic:spPr bwMode="auto">
                    <a:xfrm>
                      <a:off x="0" y="0"/>
                      <a:ext cx="5334000" cy="4810808"/>
                    </a:xfrm>
                    <a:prstGeom prst="rect">
                      <a:avLst/>
                    </a:prstGeom>
                    <a:noFill/>
                    <a:ln w="9525">
                      <a:noFill/>
                      <a:headEnd/>
                      <a:tailEnd/>
                    </a:ln>
                  </pic:spPr>
                </pic:pic>
              </a:graphicData>
            </a:graphic>
          </wp:inline>
        </w:drawing>
      </w:r>
    </w:p>
    <w:p>
      <w:pPr>
        <w:pStyle w:val="ImageCaption"/>
      </w:pPr>
      <w:r>
        <w:t xml:space="preserve">High-level experimental pipeline (per schema).</w:t>
      </w:r>
      <w:r>
        <w:t xml:space="preserve"> </w:t>
      </w:r>
      <w:r>
        <w:t xml:space="preserve">Data are split into</w:t>
      </w:r>
      <w:r>
        <w:t xml:space="preserve"> </w:t>
      </w:r>
      <w:r>
        <w:rPr>
          <w:bCs/>
          <w:b/>
        </w:rPr>
        <w:t xml:space="preserve">80% Training</w:t>
      </w:r>
      <w:r>
        <w:t xml:space="preserve"> </w:t>
      </w:r>
      <w:r>
        <w:t xml:space="preserve">and</w:t>
      </w:r>
      <w:r>
        <w:t xml:space="preserve"> </w:t>
      </w:r>
      <w:r>
        <w:rPr>
          <w:bCs/>
          <w:b/>
        </w:rPr>
        <w:t xml:space="preserve">20% Test</w:t>
      </w:r>
      <w:r>
        <w:t xml:space="preserve">;</w:t>
      </w:r>
      <w:r>
        <w:t xml:space="preserve"> </w:t>
      </w:r>
      <w:r>
        <w:rPr>
          <w:bCs/>
          <w:b/>
        </w:rPr>
        <w:t xml:space="preserve">5-fold CV</w:t>
      </w:r>
      <w:r>
        <w:t xml:space="preserve"> </w:t>
      </w:r>
      <w:r>
        <w:t xml:space="preserve">is used for tuning inside training only.</w:t>
      </w:r>
      <w:r>
        <w:t xml:space="preserve"> </w:t>
      </w:r>
      <w:r>
        <w:t xml:space="preserve">The best configuration is refit on full training, evaluated once on test,</w:t>
      </w:r>
      <w:r>
        <w:t xml:space="preserve"> </w:t>
      </w:r>
      <w:r>
        <w:t xml:space="preserve">and results are averaged over</w:t>
      </w:r>
      <w:r>
        <w:t xml:space="preserve"> </w:t>
      </w:r>
      <w:r>
        <w:rPr>
          <w:bCs/>
          <w:b/>
        </w:rPr>
        <w:t xml:space="preserve">10 random seeds</w:t>
      </w:r>
      <w:r>
        <w:t xml:space="preserve">.</w:t>
      </w:r>
    </w:p>
    <w:bookmarkEnd w:id="66"/>
    <w:bookmarkStart w:id="73" w:name="modeling-details"/>
    <w:p>
      <w:pPr>
        <w:pStyle w:val="Heading2"/>
      </w:pPr>
      <w:r>
        <w:t xml:space="preserve">Modeling Details</w:t>
      </w:r>
    </w:p>
    <w:bookmarkStart w:id="67" w:name="common-preprocessing."/>
    <w:p>
      <w:pPr>
        <w:pStyle w:val="Heading4"/>
      </w:pPr>
      <w:r>
        <w:t xml:space="preserve">Common Preprocessing.</w:t>
      </w:r>
    </w:p>
    <w:p>
      <w:pPr>
        <w:pStyle w:val="FirstParagraph"/>
      </w:pPr>
      <w:r>
        <w:t xml:space="preserve">Data harmonization follows Section 3:</w:t>
      </w:r>
      <w:r>
        <w:t xml:space="preserve"> </w:t>
      </w:r>
      <w:r>
        <w:t xml:space="preserve">(i) convert effort to</w:t>
      </w:r>
      <w:r>
        <w:t xml:space="preserve"> </w:t>
      </w:r>
      <w:r>
        <w:rPr>
          <w:iCs/>
          <w:i/>
        </w:rPr>
        <w:t xml:space="preserve">Person-Months (PM)</w:t>
      </w:r>
      <w:r>
        <w:t xml:space="preserve"> </w:t>
      </w:r>
      <w:r>
        <w:t xml:space="preserve">and LOC to</w:t>
      </w:r>
      <w:r>
        <w:t xml:space="preserve"> </w:t>
      </w:r>
      <w:r>
        <w:rPr>
          <w:iCs/>
          <w:i/>
        </w:rPr>
        <w:t xml:space="preserve">KLOC</w:t>
      </w:r>
      <w:r>
        <w:t xml:space="preserve">;</w:t>
      </w:r>
      <w:r>
        <w:t xml:space="preserve"> </w:t>
      </w:r>
      <w:r>
        <w:t xml:space="preserve">(ii) median imputation for optional fields (</w:t>
      </w:r>
      <w:r>
        <w:rPr>
          <w:iCs/>
          <w:i/>
        </w:rPr>
        <w:t xml:space="preserve">Time, Developers</w:t>
      </w:r>
      <w:r>
        <w:t xml:space="preserve">);</w:t>
      </w:r>
      <w:r>
        <w:t xml:space="preserve"> </w:t>
      </w:r>
      <w:r>
        <w:t xml:space="preserve">(iii) IQR-based outlier capping; and</w:t>
      </w:r>
      <w:r>
        <w:t xml:space="preserve"> </w:t>
      </w:r>
      <w:r>
        <w:t xml:space="preserve">(iv) schema-specific feature transformations.</w:t>
      </w:r>
      <w:r>
        <w:t xml:space="preserve"> </w:t>
      </w:r>
      <w:r>
        <w:t xml:space="preserve">Tree models use raw harmonized values, whereas linear models apply</w:t>
      </w:r>
      <w:r>
        <w:t xml:space="preserve"> </w:t>
      </w:r>
      <m:oMath>
        <m:r>
          <m:rPr>
            <m:sty m:val="p"/>
          </m:rPr>
          <m:t>log</m:t>
        </m:r>
        <m:d>
          <m:dPr>
            <m:begChr m:val="("/>
            <m:endChr m:val=")"/>
            <m:sepChr m:val=""/>
            <m:grow/>
          </m:dPr>
          <m:e>
            <m:r>
              <m:t>1</m:t>
            </m:r>
            <m:r>
              <m:rPr>
                <m:sty m:val="p"/>
              </m:rPr>
              <m:t>+</m:t>
            </m:r>
            <m:r>
              <m:t>x</m:t>
            </m:r>
          </m:e>
        </m:d>
      </m:oMath>
      <w:r>
        <w:t xml:space="preserve"> </w:t>
      </w:r>
      <w:r>
        <w:t xml:space="preserve">transforms on size and effort with standardization of continuous covariates.</w:t>
      </w:r>
      <w:r>
        <w:t xml:space="preserve"> </w:t>
      </w:r>
      <w:r>
        <w:t xml:space="preserve">For log-transformed regressions, predictions are inverted as</w:t>
      </w:r>
      <w:r>
        <w:t xml:space="preserve"> </w:t>
      </w:r>
      <m:oMath>
        <m:acc>
          <m:accPr>
            <m:chr m:val="̂"/>
          </m:accPr>
          <m:e>
            <m:r>
              <m:t>E</m:t>
            </m:r>
          </m:e>
        </m:acc>
        <m:r>
          <m:rPr>
            <m:sty m:val="p"/>
          </m:rPr>
          <m:t>=</m:t>
        </m:r>
        <m:r>
          <m:rPr>
            <m:sty m:val="p"/>
          </m:rPr>
          <m:t>exp</m:t>
        </m:r>
        <m:d>
          <m:dPr>
            <m:begChr m:val="("/>
            <m:endChr m:val=")"/>
            <m:sepChr m:val=""/>
            <m:grow/>
          </m:dPr>
          <m:e>
            <m:acc>
              <m:accPr>
                <m:chr m:val="̂"/>
              </m:accPr>
              <m:e>
                <m:r>
                  <m:t>z</m:t>
                </m:r>
              </m:e>
            </m:acc>
          </m:e>
        </m:d>
        <m:r>
          <m:rPr>
            <m:sty m:val="p"/>
          </m:rPr>
          <m:t>−</m:t>
        </m:r>
        <m:r>
          <m:t>1</m:t>
        </m:r>
      </m:oMath>
      <w:r>
        <w:t xml:space="preserve"> </w:t>
      </w:r>
      <w:r>
        <w:t xml:space="preserve">(PM); smearing correction was tested but negligible.</w:t>
      </w:r>
    </w:p>
    <w:bookmarkEnd w:id="67"/>
    <w:bookmarkStart w:id="68" w:name="model-selection."/>
    <w:p>
      <w:pPr>
        <w:pStyle w:val="Heading4"/>
      </w:pPr>
      <w:r>
        <w:t xml:space="preserve">Model Selection.</w:t>
      </w:r>
    </w:p>
    <w:p>
      <w:pPr>
        <w:pStyle w:val="FirstParagraph"/>
      </w:pPr>
      <w:r>
        <w:t xml:space="preserve">Hyperparameters are optimized by grid search with 5-fold CV</w:t>
      </w:r>
      <w:r>
        <w:t xml:space="preserve"> </w:t>
      </w:r>
      <w:r>
        <w:t xml:space="preserve">on training data only.</w:t>
      </w:r>
      <w:r>
        <w:t xml:space="preserve"> </w:t>
      </w:r>
      <w:r>
        <w:t xml:space="preserve">The main selection metric is</w:t>
      </w:r>
      <w:r>
        <w:t xml:space="preserve"> </w:t>
      </w:r>
      <w:r>
        <w:rPr>
          <w:bCs/>
          <w:b/>
        </w:rPr>
        <w:t xml:space="preserve">RMSE</w:t>
      </w:r>
      <w:r>
        <w:t xml:space="preserve"> </w:t>
      </w:r>
      <w:r>
        <w:t xml:space="preserve">on CV hold-outs</w:t>
      </w:r>
      <w:r>
        <w:t xml:space="preserve"> </w:t>
      </w:r>
      <w:r>
        <w:t xml:space="preserve">(after inverse transformation);</w:t>
      </w:r>
      <w:r>
        <w:t xml:space="preserve"> </w:t>
      </w:r>
      <w:r>
        <w:t xml:space="preserve">ties are broken by lower MAE and higher</w:t>
      </w:r>
      <w:r>
        <w:t xml:space="preserve"> </w:t>
      </w:r>
      <m:oMath>
        <m:sSup>
          <m:e>
            <m:r>
              <m:t>R</m:t>
            </m:r>
          </m:e>
          <m:sup>
            <m:r>
              <m:t>2</m:t>
            </m:r>
          </m:sup>
        </m:sSup>
      </m:oMath>
      <w:r>
        <w:t xml:space="preserve">.</w:t>
      </w:r>
    </w:p>
    <w:bookmarkEnd w:id="68"/>
    <w:bookmarkStart w:id="69" w:name="linear-regression-lr."/>
    <w:p>
      <w:pPr>
        <w:pStyle w:val="Heading4"/>
      </w:pPr>
      <w:r>
        <w:t xml:space="preserve">Linear Regression (LR).</w:t>
      </w:r>
    </w:p>
    <w:p>
      <w:pPr>
        <w:pStyle w:val="FirstParagraph"/>
      </w:pPr>
      <w:r>
        <w:t xml:space="preserve">Two variants are fitted:</w:t>
      </w:r>
      <w:r>
        <w:t xml:space="preserve"> </w:t>
      </w:r>
      <w:r>
        <w:t xml:space="preserve">(i) ordinary least squares on harmonized features,</w:t>
      </w:r>
      <w:r>
        <w:t xml:space="preserve"> </w:t>
      </w:r>
      <w:r>
        <w:t xml:space="preserve">(ii) log–log regression using</w:t>
      </w:r>
      <w:r>
        <w:t xml:space="preserve"> </w:t>
      </w:r>
      <m:oMath>
        <m:r>
          <m:rPr>
            <m:sty m:val="p"/>
          </m:rPr>
          <m:t>log</m:t>
        </m:r>
        <m:d>
          <m:dPr>
            <m:begChr m:val="("/>
            <m:endChr m:val=")"/>
            <m:sepChr m:val=""/>
            <m:grow/>
          </m:dPr>
          <m:e>
            <m:r>
              <m:t>1</m:t>
            </m:r>
            <m:r>
              <m:rPr>
                <m:sty m:val="p"/>
              </m:rPr>
              <m:t>+</m:t>
            </m:r>
            <m:r>
              <m:rPr>
                <m:nor/>
                <m:sty m:val="p"/>
              </m:rPr>
              <m:t>size</m:t>
            </m:r>
          </m:e>
        </m:d>
      </m:oMath>
      <w:r>
        <w:t xml:space="preserve"> </w:t>
      </w:r>
      <w:r>
        <w:t xml:space="preserve">and</w:t>
      </w:r>
      <w:r>
        <w:t xml:space="preserve"> </w:t>
      </w:r>
      <m:oMath>
        <m:r>
          <m:rPr>
            <m:sty m:val="p"/>
          </m:rPr>
          <m:t>log</m:t>
        </m:r>
        <m:d>
          <m:dPr>
            <m:begChr m:val="("/>
            <m:endChr m:val=")"/>
            <m:sepChr m:val=""/>
            <m:grow/>
          </m:dPr>
          <m:e>
            <m:r>
              <m:t>1</m:t>
            </m:r>
            <m:r>
              <m:rPr>
                <m:sty m:val="p"/>
              </m:rPr>
              <m:t>+</m:t>
            </m:r>
            <m:r>
              <m:rPr>
                <m:nor/>
                <m:sty m:val="p"/>
              </m:rPr>
              <m:t>effort</m:t>
            </m:r>
          </m:e>
        </m:d>
      </m:oMath>
      <w:r>
        <w:t xml:space="preserve">.</w:t>
      </w:r>
      <w:r>
        <w:t xml:space="preserve"> </w:t>
      </w:r>
      <w:r>
        <w:t xml:space="preserve">Regularization was unnecessary, and collinearity checks confirmed numerical stability.</w:t>
      </w:r>
    </w:p>
    <w:bookmarkEnd w:id="69"/>
    <w:bookmarkStart w:id="70" w:name="decision-tree-dt."/>
    <w:p>
      <w:pPr>
        <w:pStyle w:val="Heading4"/>
      </w:pPr>
      <w:r>
        <w:t xml:space="preserve">Decision Tree (DT).</w:t>
      </w:r>
    </w:p>
    <w:p>
      <w:pPr>
        <w:pStyle w:val="FirstParagraph"/>
      </w:pPr>
      <w:r>
        <w:t xml:space="preserve">To balance bias–variance, the following ranges are explored:</w:t>
      </w:r>
      <w:r>
        <w:t xml:space="preserve"> </w:t>
      </w:r>
      <w:r>
        <w:rPr>
          <w:iCs/>
          <w:i/>
        </w:rPr>
        <w:t xml:space="preserve">max depth</w:t>
      </w:r>
      <w:r>
        <w:t xml:space="preserve"> </w:t>
      </w:r>
      <m:oMath>
        <m:r>
          <m:rPr>
            <m:sty m:val="p"/>
          </m:rPr>
          <m:t>{</m:t>
        </m:r>
        <m:r>
          <m:t>2</m:t>
        </m:r>
      </m:oMath>
      <w:r>
        <w:t xml:space="preserve">–</w:t>
      </w:r>
      <m:oMath>
        <m:r>
          <m:t>14</m:t>
        </m:r>
        <m:r>
          <m:rPr>
            <m:sty m:val="p"/>
          </m:rPr>
          <m:t>}</m:t>
        </m:r>
      </m:oMath>
      <w:r>
        <w:t xml:space="preserve">,</w:t>
      </w:r>
      <w:r>
        <w:t xml:space="preserve"> </w:t>
      </w:r>
      <w:r>
        <w:rPr>
          <w:iCs/>
          <w:i/>
        </w:rPr>
        <w:t xml:space="preserve">min samples leaf</w:t>
      </w:r>
      <w:r>
        <w:t xml:space="preserve"> </w:t>
      </w:r>
      <m:oMath>
        <m:r>
          <m:rPr>
            <m:sty m:val="p"/>
          </m:rPr>
          <m:t>{</m:t>
        </m:r>
        <m:r>
          <m:t>1</m:t>
        </m:r>
        <m:r>
          <m:rPr>
            <m:sty m:val="p"/>
          </m:rPr>
          <m:t>,</m:t>
        </m:r>
        <m:r>
          <m:t>2</m:t>
        </m:r>
        <m:r>
          <m:rPr>
            <m:sty m:val="p"/>
          </m:rPr>
          <m:t>,</m:t>
        </m:r>
        <m:r>
          <m:t>5</m:t>
        </m:r>
        <m:r>
          <m:rPr>
            <m:sty m:val="p"/>
          </m:rPr>
          <m:t>,</m:t>
        </m:r>
        <m:r>
          <m:t>10</m:t>
        </m:r>
        <m:r>
          <m:rPr>
            <m:sty m:val="p"/>
          </m:rPr>
          <m:t>}</m:t>
        </m:r>
      </m:oMath>
      <w:r>
        <w:t xml:space="preserve">,</w:t>
      </w:r>
      <w:r>
        <w:t xml:space="preserve"> </w:t>
      </w:r>
      <w:r>
        <w:rPr>
          <w:iCs/>
          <w:i/>
        </w:rPr>
        <w:t xml:space="preserve">min samples split</w:t>
      </w:r>
      <w:r>
        <w:t xml:space="preserve"> </w:t>
      </w:r>
      <m:oMath>
        <m:r>
          <m:rPr>
            <m:sty m:val="p"/>
          </m:rPr>
          <m:t>{</m:t>
        </m:r>
        <m:r>
          <m:t>2</m:t>
        </m:r>
        <m:r>
          <m:rPr>
            <m:sty m:val="p"/>
          </m:rPr>
          <m:t>,</m:t>
        </m:r>
        <m:r>
          <m:t>5</m:t>
        </m:r>
        <m:r>
          <m:rPr>
            <m:sty m:val="p"/>
          </m:rPr>
          <m:t>,</m:t>
        </m:r>
        <m:r>
          <m:t>10</m:t>
        </m:r>
        <m:r>
          <m:rPr>
            <m:sty m:val="p"/>
          </m:rPr>
          <m:t>}</m:t>
        </m:r>
      </m:oMath>
      <w:r>
        <w:t xml:space="preserve">,</w:t>
      </w:r>
      <w:r>
        <w:t xml:space="preserve"> </w:t>
      </w:r>
      <w:r>
        <w:rPr>
          <w:iCs/>
          <w:i/>
        </w:rPr>
        <w:t xml:space="preserve">criterion</w:t>
      </w:r>
      <w:r>
        <w:t xml:space="preserve"> </w:t>
      </w:r>
      <w:r>
        <w:t xml:space="preserve">=</w:t>
      </w:r>
      <w:r>
        <w:t xml:space="preserve"> </w:t>
      </w:r>
      <w:r>
        <w:t xml:space="preserve">“</w:t>
      </w:r>
      <w:r>
        <w:t xml:space="preserve">squared_error.</w:t>
      </w:r>
      <w:r>
        <w:t xml:space="preserve">”</w:t>
      </w:r>
      <w:r>
        <w:t xml:space="preserve"> </w:t>
      </w:r>
      <w:r>
        <w:t xml:space="preserve">Final depth is selected for interpretability and stability.</w:t>
      </w:r>
    </w:p>
    <w:bookmarkEnd w:id="70"/>
    <w:bookmarkStart w:id="71" w:name="random-forest-rf."/>
    <w:p>
      <w:pPr>
        <w:pStyle w:val="Heading4"/>
      </w:pPr>
      <w:r>
        <w:t xml:space="preserve">Random Forest (RF).</w:t>
      </w:r>
    </w:p>
    <w:p>
      <w:pPr>
        <w:pStyle w:val="FirstParagraph"/>
      </w:pPr>
      <w:r>
        <w:t xml:space="preserve">We vary ensemble size and feature sampling:</w:t>
      </w:r>
      <w:r>
        <w:t xml:space="preserve"> </w:t>
      </w:r>
      <w:r>
        <w:rPr>
          <w:iCs/>
          <w:i/>
        </w:rPr>
        <w:t xml:space="preserve">n estimators</w:t>
      </w:r>
      <w:r>
        <w:t xml:space="preserve"> </w:t>
      </w:r>
      <m:oMath>
        <m:r>
          <m:rPr>
            <m:sty m:val="p"/>
          </m:rPr>
          <m:t>{</m:t>
        </m:r>
        <m:r>
          <m:t>50</m:t>
        </m:r>
      </m:oMath>
      <w:r>
        <w:t xml:space="preserve">–</w:t>
      </w:r>
      <m:oMath>
        <m:r>
          <m:t>200</m:t>
        </m:r>
        <m:r>
          <m:rPr>
            <m:sty m:val="p"/>
          </m:rPr>
          <m:t>}</m:t>
        </m:r>
      </m:oMath>
      <w:r>
        <w:t xml:space="preserve">,</w:t>
      </w:r>
      <w:r>
        <w:t xml:space="preserve"> </w:t>
      </w:r>
      <w:r>
        <w:rPr>
          <w:iCs/>
          <w:i/>
        </w:rPr>
        <w:t xml:space="preserve">max features</w:t>
      </w:r>
      <w:r>
        <w:t xml:space="preserve"> </w:t>
      </w:r>
      <m:oMath>
        <m:r>
          <m:rPr>
            <m:sty m:val="p"/>
          </m:rPr>
          <m:t>{</m:t>
        </m:r>
        <m:r>
          <m:t>0.33</m:t>
        </m:r>
        <m:r>
          <m:rPr>
            <m:sty m:val="p"/>
          </m:rPr>
          <m:t>,</m:t>
        </m:r>
        <m:r>
          <m:t>0.67</m:t>
        </m:r>
        <m:r>
          <m:rPr>
            <m:sty m:val="p"/>
          </m:rPr>
          <m:t>,</m:t>
        </m:r>
        <m:r>
          <m:t>1.0</m:t>
        </m:r>
        <m:r>
          <m:rPr>
            <m:sty m:val="p"/>
          </m:rPr>
          <m:t>}</m:t>
        </m:r>
      </m:oMath>
      <w:r>
        <w:t xml:space="preserve">,</w:t>
      </w:r>
      <w:r>
        <w:t xml:space="preserve"> </w:t>
      </w:r>
      <w:r>
        <w:rPr>
          <w:iCs/>
          <w:i/>
        </w:rPr>
        <w:t xml:space="preserve">max depth</w:t>
      </w:r>
      <w:r>
        <w:t xml:space="preserve"> </w:t>
      </w:r>
      <m:oMath>
        <m:r>
          <m:rPr>
            <m:sty m:val="p"/>
          </m:rPr>
          <m:t>{</m:t>
        </m:r>
        <m:r>
          <m:rPr>
            <m:nor/>
            <m:sty m:val="p"/>
          </m:rPr>
          <m:t>None</m:t>
        </m:r>
        <m:r>
          <m:rPr>
            <m:sty m:val="p"/>
          </m:rPr>
          <m:t>,</m:t>
        </m:r>
        <m:r>
          <m:t>6</m:t>
        </m:r>
      </m:oMath>
      <w:r>
        <w:t xml:space="preserve">–</w:t>
      </w:r>
      <m:oMath>
        <m:r>
          <m:t>14</m:t>
        </m:r>
        <m:r>
          <m:rPr>
            <m:sty m:val="p"/>
          </m:rPr>
          <m:t>}</m:t>
        </m:r>
      </m:oMath>
      <w:r>
        <w:t xml:space="preserve">,</w:t>
      </w:r>
      <w:r>
        <w:t xml:space="preserve"> </w:t>
      </w:r>
      <w:r>
        <w:rPr>
          <w:iCs/>
          <w:i/>
        </w:rPr>
        <w:t xml:space="preserve">min samples leaf</w:t>
      </w:r>
      <w:r>
        <w:t xml:space="preserve"> </w:t>
      </w:r>
      <m:oMath>
        <m:r>
          <m:rPr>
            <m:sty m:val="p"/>
          </m:rPr>
          <m:t>{</m:t>
        </m:r>
        <m:r>
          <m:t>1</m:t>
        </m:r>
        <m:r>
          <m:rPr>
            <m:sty m:val="p"/>
          </m:rPr>
          <m:t>,</m:t>
        </m:r>
        <m:r>
          <m:t>2</m:t>
        </m:r>
        <m:r>
          <m:rPr>
            <m:sty m:val="p"/>
          </m:rPr>
          <m:t>,</m:t>
        </m:r>
        <m:r>
          <m:t>5</m:t>
        </m:r>
        <m:r>
          <m:rPr>
            <m:sty m:val="p"/>
          </m:rPr>
          <m:t>}</m:t>
        </m:r>
      </m:oMath>
      <w:r>
        <w:t xml:space="preserve">.</w:t>
      </w:r>
      <w:r>
        <w:t xml:space="preserve"> </w:t>
      </w:r>
      <w:r>
        <w:t xml:space="preserve">Out-of-bag error is tracked as a secondary validation signal.</w:t>
      </w:r>
    </w:p>
    <w:bookmarkEnd w:id="71"/>
    <w:bookmarkStart w:id="72" w:name="gradient-boosting-gb."/>
    <w:p>
      <w:pPr>
        <w:pStyle w:val="Heading4"/>
      </w:pPr>
      <w:r>
        <w:t xml:space="preserve">Gradient Boosting (GB).</w:t>
      </w:r>
    </w:p>
    <w:p>
      <w:pPr>
        <w:pStyle w:val="FirstParagraph"/>
      </w:pPr>
      <w:r>
        <w:t xml:space="preserve">Learning dynamics and weak-learner capacity are tuned over</w:t>
      </w:r>
      <w:r>
        <w:t xml:space="preserve"> </w:t>
      </w:r>
      <w:r>
        <w:rPr>
          <w:iCs/>
          <w:i/>
        </w:rPr>
        <w:t xml:space="preserve">learning rate</w:t>
      </w:r>
      <w:r>
        <w:t xml:space="preserve"> </w:t>
      </w:r>
      <m:oMath>
        <m:r>
          <m:rPr>
            <m:sty m:val="p"/>
          </m:rPr>
          <m:t>{</m:t>
        </m:r>
        <m:r>
          <m:t>0.001</m:t>
        </m:r>
        <m:r>
          <m:rPr>
            <m:sty m:val="p"/>
          </m:rPr>
          <m:t>,</m:t>
        </m:r>
        <m:r>
          <m:t>0.01</m:t>
        </m:r>
        <m:r>
          <m:rPr>
            <m:sty m:val="p"/>
          </m:rPr>
          <m:t>,</m:t>
        </m:r>
        <m:r>
          <m:t>0.1</m:t>
        </m:r>
        <m:r>
          <m:rPr>
            <m:sty m:val="p"/>
          </m:rPr>
          <m:t>,</m:t>
        </m:r>
        <m:r>
          <m:t>0.2</m:t>
        </m:r>
        <m:r>
          <m:rPr>
            <m:sty m:val="p"/>
          </m:rPr>
          <m:t>,</m:t>
        </m:r>
        <m:r>
          <m:t>0.5</m:t>
        </m:r>
        <m:r>
          <m:rPr>
            <m:sty m:val="p"/>
          </m:rPr>
          <m:t>}</m:t>
        </m:r>
      </m:oMath>
      <w:r>
        <w:t xml:space="preserve">,</w:t>
      </w:r>
      <w:r>
        <w:t xml:space="preserve"> </w:t>
      </w:r>
      <w:r>
        <w:rPr>
          <w:iCs/>
          <w:i/>
        </w:rPr>
        <w:t xml:space="preserve">n estimators</w:t>
      </w:r>
      <w:r>
        <w:t xml:space="preserve"> </w:t>
      </w:r>
      <m:oMath>
        <m:r>
          <m:rPr>
            <m:sty m:val="p"/>
          </m:rPr>
          <m:t>{</m:t>
        </m:r>
        <m:r>
          <m:t>50</m:t>
        </m:r>
      </m:oMath>
      <w:r>
        <w:t xml:space="preserve">–</w:t>
      </w:r>
      <m:oMath>
        <m:r>
          <m:t>200</m:t>
        </m:r>
        <m:r>
          <m:rPr>
            <m:sty m:val="p"/>
          </m:rPr>
          <m:t>}</m:t>
        </m:r>
      </m:oMath>
      <w:r>
        <w:t xml:space="preserve">,</w:t>
      </w:r>
      <w:r>
        <w:t xml:space="preserve"> </w:t>
      </w:r>
      <w:r>
        <w:rPr>
          <w:iCs/>
          <w:i/>
        </w:rPr>
        <w:t xml:space="preserve">max depth</w:t>
      </w:r>
      <w:r>
        <w:t xml:space="preserve"> </w:t>
      </w:r>
      <m:oMath>
        <m:r>
          <m:rPr>
            <m:sty m:val="p"/>
          </m:rPr>
          <m:t>{</m:t>
        </m:r>
        <m:r>
          <m:t>2</m:t>
        </m:r>
        <m:r>
          <m:rPr>
            <m:sty m:val="p"/>
          </m:rPr>
          <m:t>,</m:t>
        </m:r>
        <m:r>
          <m:t>3</m:t>
        </m:r>
        <m:r>
          <m:rPr>
            <m:sty m:val="p"/>
          </m:rPr>
          <m:t>,</m:t>
        </m:r>
        <m:r>
          <m:t>4</m:t>
        </m:r>
        <m:r>
          <m:rPr>
            <m:sty m:val="p"/>
          </m:rPr>
          <m:t>}</m:t>
        </m:r>
      </m:oMath>
      <w:r>
        <w:t xml:space="preserve">,</w:t>
      </w:r>
      <w:r>
        <w:t xml:space="preserve"> </w:t>
      </w:r>
      <w:r>
        <w:rPr>
          <w:iCs/>
          <w:i/>
        </w:rPr>
        <w:t xml:space="preserve">subsample</w:t>
      </w:r>
      <w:r>
        <w:t xml:space="preserve"> </w:t>
      </w:r>
      <m:oMath>
        <m:r>
          <m:rPr>
            <m:sty m:val="p"/>
          </m:rPr>
          <m:t>{</m:t>
        </m:r>
        <m:r>
          <m:t>0.7</m:t>
        </m:r>
        <m:r>
          <m:rPr>
            <m:sty m:val="p"/>
          </m:rPr>
          <m:t>,</m:t>
        </m:r>
        <m:r>
          <m:t>1.0</m:t>
        </m:r>
        <m:r>
          <m:rPr>
            <m:sty m:val="p"/>
          </m:rPr>
          <m:t>}</m:t>
        </m:r>
      </m:oMath>
      <w:r>
        <w:t xml:space="preserve">.</w:t>
      </w:r>
      <w:r>
        <w:t xml:space="preserve"> </w:t>
      </w:r>
      <w:r>
        <w:t xml:space="preserve">Early stopping uses a 10% internal validation split with</w:t>
      </w:r>
      <w:r>
        <w:t xml:space="preserve"> </w:t>
      </w:r>
      <w:r>
        <w:rPr>
          <w:rStyle w:val="VerbatimChar"/>
        </w:rPr>
        <w:t xml:space="preserve">n_iter_no_change=10</w:t>
      </w:r>
      <w:r>
        <w:t xml:space="preserve">.</w:t>
      </w:r>
    </w:p>
    <w:bookmarkEnd w:id="72"/>
    <w:bookmarkEnd w:id="73"/>
    <w:bookmarkStart w:id="74" w:name="evaluation-metrics-1"/>
    <w:p>
      <w:pPr>
        <w:pStyle w:val="Heading2"/>
      </w:pPr>
      <w:r>
        <w:t xml:space="preserve">Evaluation Metrics</w:t>
      </w:r>
    </w:p>
    <w:p>
      <w:pPr>
        <w:pStyle w:val="FirstParagraph"/>
      </w:pPr>
      <w:r>
        <w:t xml:space="preserve">For each random seed (</w:t>
      </w:r>
      <m:oMath>
        <m:r>
          <m:t>S</m:t>
        </m:r>
        <m:r>
          <m:rPr>
            <m:sty m:val="p"/>
          </m:rPr>
          <m:t>=</m:t>
        </m:r>
        <m:r>
          <m:t>10</m:t>
        </m:r>
      </m:oMath>
      <w:r>
        <w:t xml:space="preserve">),</w:t>
      </w:r>
      <w:r>
        <w:t xml:space="preserve"> </w:t>
      </w:r>
      <w:r>
        <w:t xml:space="preserve">we compute</w:t>
      </w:r>
      <w:r>
        <w:t xml:space="preserve"> </w:t>
      </w:r>
      <w:r>
        <w:rPr>
          <w:bCs/>
          <w:b/>
        </w:rPr>
        <w:t xml:space="preserve">MMRE</w:t>
      </w:r>
      <w:r>
        <w:t xml:space="preserve">,</w:t>
      </w:r>
      <w:r>
        <w:t xml:space="preserve"> </w:t>
      </w:r>
      <w:r>
        <w:rPr>
          <w:bCs/>
          <w:b/>
        </w:rPr>
        <w:t xml:space="preserve">PRED(25)</w:t>
      </w:r>
      <w:r>
        <w:t xml:space="preserve">,</w:t>
      </w:r>
      <w:r>
        <w:t xml:space="preserve"> </w:t>
      </w:r>
      <w:r>
        <w:rPr>
          <w:bCs/>
          <w:b/>
        </w:rPr>
        <w:t xml:space="preserve">MAE</w:t>
      </w:r>
      <w:r>
        <w:t xml:space="preserve">,</w:t>
      </w:r>
      <w:r>
        <w:t xml:space="preserve"> </w:t>
      </w:r>
      <w:r>
        <w:rPr>
          <w:bCs/>
          <w:b/>
        </w:rPr>
        <w:t xml:space="preserve">RMSE</w:t>
      </w:r>
      <w:r>
        <w:t xml:space="preserve">,</w:t>
      </w:r>
      <w:r>
        <w:t xml:space="preserve"> </w:t>
      </w:r>
      <w:r>
        <w:t xml:space="preserve">and</w:t>
      </w:r>
      <w:r>
        <w:t xml:space="preserve"> </w:t>
      </w:r>
      <m:oMath>
        <m:sSup>
          <m:e>
            <m:r>
              <m:t>R</m:t>
            </m:r>
          </m:e>
          <m:sup>
            <m:r>
              <m:t>2</m:t>
            </m:r>
          </m:sup>
        </m:sSup>
      </m:oMath>
      <w:r>
        <w:t xml:space="preserve"> </w:t>
      </w:r>
      <w:r>
        <w:t xml:space="preserve">on the held-out test set, reporting mean</w:t>
      </w:r>
      <w:r>
        <w:t xml:space="preserve"> </w:t>
      </w:r>
      <m:oMath>
        <m:r>
          <m:rPr>
            <m:sty m:val="p"/>
          </m:rPr>
          <m:t>±</m:t>
        </m:r>
      </m:oMath>
      <w:r>
        <w:t xml:space="preserve"> </w:t>
      </w:r>
      <w:r>
        <w:t xml:space="preserve">sd.</w:t>
      </w:r>
      <w:r>
        <w:t xml:space="preserve"> </w:t>
      </w:r>
      <w:r>
        <w:t xml:space="preserve">PRED(25) is calculated after back-transforming predictions to PM.</w:t>
      </w:r>
      <w:r>
        <w:t xml:space="preserve"> </w:t>
      </w:r>
      <w:r>
        <w:t xml:space="preserve">These metrics jointly capture scale-sensitive deviation (RMSE),</w:t>
      </w:r>
      <w:r>
        <w:t xml:space="preserve"> </w:t>
      </w:r>
      <w:r>
        <w:t xml:space="preserve">robust central accuracy (MAE), proportional tolerance (MMRE, PRED(25)),</w:t>
      </w:r>
      <w:r>
        <w:t xml:space="preserve"> </w:t>
      </w:r>
      <w:r>
        <w:t xml:space="preserve">and explained variance (</w:t>
      </w:r>
      <m:oMath>
        <m:sSup>
          <m:e>
            <m:r>
              <m:t>R</m:t>
            </m:r>
          </m:e>
          <m:sup>
            <m:r>
              <m:t>2</m:t>
            </m:r>
          </m:sup>
        </m:sSup>
      </m:oMath>
      <w:r>
        <w:t xml:space="preserve">).</w:t>
      </w:r>
    </w:p>
    <w:bookmarkEnd w:id="74"/>
    <w:bookmarkStart w:id="75" w:name="uncertainty-significance-testing"/>
    <w:p>
      <w:pPr>
        <w:pStyle w:val="Heading2"/>
      </w:pPr>
      <w:r>
        <w:t xml:space="preserve">Uncertainty &amp; Significance Testing</w:t>
      </w:r>
    </w:p>
    <w:p>
      <w:pPr>
        <w:pStyle w:val="FirstParagraph"/>
      </w:pPr>
      <w:r>
        <w:t xml:space="preserve">Performance differences are assessed using the</w:t>
      </w:r>
      <w:r>
        <w:t xml:space="preserve"> </w:t>
      </w:r>
      <w:r>
        <w:rPr>
          <w:bCs/>
          <w:b/>
        </w:rPr>
        <w:t xml:space="preserve">paired Wilcoxon signed-rank test</w:t>
      </w:r>
      <w:r>
        <w:t xml:space="preserve"> </w:t>
      </w:r>
      <w:r>
        <w:t xml:space="preserve"> </w:t>
      </w:r>
      <w:r>
        <w:t xml:space="preserve">on per-project absolute errors</w:t>
      </w:r>
      <w:r>
        <w:t xml:space="preserve"> </w:t>
      </w:r>
      <m:oMath>
        <m:d>
          <m:dPr>
            <m:begChr m:val="|"/>
            <m:endChr m:val="|"/>
            <m:sepChr m:val=""/>
            <m:grow/>
          </m:dPr>
          <m:e>
            <m:acc>
              <m:accPr>
                <m:chr m:val="̂"/>
              </m:accPr>
              <m:e>
                <m:r>
                  <m:t>y</m:t>
                </m:r>
              </m:e>
            </m:acc>
            <m:r>
              <m:rPr>
                <m:sty m:val="p"/>
              </m:rPr>
              <m:t>−</m:t>
            </m:r>
            <m:r>
              <m:t>y</m:t>
            </m:r>
          </m:e>
        </m:d>
      </m:oMath>
      <w:r>
        <w:t xml:space="preserve">,</w:t>
      </w:r>
      <w:r>
        <w:t xml:space="preserve"> </w:t>
      </w:r>
      <w:r>
        <w:t xml:space="preserve">comparing each model to the baseline (</w:t>
      </w:r>
      <w:r>
        <w:rPr>
          <w:bCs/>
          <w:b/>
        </w:rPr>
        <w:t xml:space="preserve">RF</w:t>
      </w:r>
      <w:r>
        <w:t xml:space="preserve"> </w:t>
      </w:r>
      <w:r>
        <w:t xml:space="preserve">).</w:t>
      </w:r>
      <w:r>
        <w:t xml:space="preserve"> </w:t>
      </w:r>
      <w:r>
        <w:t xml:space="preserve">This non-parametric test avoids normality assumptions, handles skewed distributions,</w:t>
      </w:r>
      <w:r>
        <w:t xml:space="preserve"> </w:t>
      </w:r>
      <w:r>
        <w:t xml:space="preserve">and accounts for paired evaluations.</w:t>
      </w:r>
      <w:r>
        <w:t xml:space="preserve"> </w:t>
      </w:r>
      <w:r>
        <w:t xml:space="preserve">For each pair</w:t>
      </w:r>
      <w:r>
        <w:t xml:space="preserve"> </w:t>
      </w:r>
      <m:oMath>
        <m:d>
          <m:dPr>
            <m:begChr m:val="("/>
            <m:endChr m:val=")"/>
            <m:sepChr m:val=""/>
            <m:grow/>
          </m:dPr>
          <m:e>
            <m:r>
              <m:t>A</m:t>
            </m:r>
            <m:r>
              <m:rPr>
                <m:sty m:val="p"/>
              </m:rPr>
              <m:t>,</m:t>
            </m:r>
            <m:r>
              <m:t>B</m:t>
            </m:r>
          </m:e>
        </m:d>
      </m:oMath>
      <w:r>
        <w:t xml:space="preserve">, we test:</w:t>
      </w:r>
    </w:p>
    <w:p>
      <w:pPr>
        <w:pStyle w:val="BodyText"/>
      </w:pPr>
      <m:oMathPara>
        <m:oMathParaPr>
          <m:jc m:val="center"/>
        </m:oMathParaPr>
        <m:oMath>
          <m:sSub>
            <m:e>
              <m:r>
                <m:t>H</m:t>
              </m:r>
            </m:e>
            <m:sub>
              <m:r>
                <m:t>0</m:t>
              </m:r>
            </m:sub>
          </m:sSub>
          <m:r>
            <m:rPr>
              <m:sty m:val="p"/>
            </m:rPr>
            <m:t>:</m:t>
          </m:r>
          <m:r>
            <m:rPr>
              <m:sty m:val="p"/>
            </m:rPr>
            <m:t>M</m:t>
          </m:r>
          <m:r>
            <m:rPr>
              <m:sty m:val="p"/>
            </m:rPr>
            <m:t>e</m:t>
          </m:r>
          <m:r>
            <m:rPr>
              <m:sty m:val="p"/>
            </m:rPr>
            <m:t>d</m:t>
          </m:r>
          <m:r>
            <m:rPr>
              <m:sty m:val="p"/>
            </m:rPr>
            <m:t>i</m:t>
          </m:r>
          <m:r>
            <m:rPr>
              <m:sty m:val="p"/>
            </m:rPr>
            <m:t>a</m:t>
          </m:r>
          <m:r>
            <m:rPr>
              <m:sty m:val="p"/>
            </m:rPr>
            <m:t>n</m:t>
          </m:r>
          <m:d>
            <m:dPr>
              <m:begChr m:val="("/>
              <m:endChr m:val=")"/>
              <m:sepChr m:val=""/>
              <m:grow/>
            </m:dPr>
            <m:e>
              <m:d>
                <m:dPr>
                  <m:begChr m:val="|"/>
                  <m:endChr m:val="|"/>
                  <m:sepChr m:val=""/>
                  <m:grow/>
                </m:dPr>
                <m:e>
                  <m:sSub>
                    <m:e>
                      <m:acc>
                        <m:accPr>
                          <m:chr m:val="̂"/>
                        </m:accPr>
                        <m:e>
                          <m:r>
                            <m:t>y</m:t>
                          </m:r>
                        </m:e>
                      </m:acc>
                    </m:e>
                    <m:sub>
                      <m:r>
                        <m:t>A</m:t>
                      </m:r>
                    </m:sub>
                  </m:sSub>
                  <m:r>
                    <m:rPr>
                      <m:sty m:val="p"/>
                    </m:rPr>
                    <m:t>−</m:t>
                  </m:r>
                  <m:r>
                    <m:t>y</m:t>
                  </m:r>
                </m:e>
              </m:d>
              <m:r>
                <m:rPr>
                  <m:sty m:val="p"/>
                </m:rPr>
                <m:t>−</m:t>
              </m:r>
              <m:d>
                <m:dPr>
                  <m:begChr m:val="|"/>
                  <m:endChr m:val="|"/>
                  <m:sepChr m:val=""/>
                  <m:grow/>
                </m:dPr>
                <m:e>
                  <m:sSub>
                    <m:e>
                      <m:acc>
                        <m:accPr>
                          <m:chr m:val="̂"/>
                        </m:accPr>
                        <m:e>
                          <m:r>
                            <m:t>y</m:t>
                          </m:r>
                        </m:e>
                      </m:acc>
                    </m:e>
                    <m:sub>
                      <m:r>
                        <m:t>B</m:t>
                      </m:r>
                    </m:sub>
                  </m:sSub>
                  <m:r>
                    <m:rPr>
                      <m:sty m:val="p"/>
                    </m:rPr>
                    <m:t>−</m:t>
                  </m:r>
                  <m:r>
                    <m:t>y</m:t>
                  </m:r>
                </m:e>
              </m:d>
            </m:e>
          </m:d>
          <m:r>
            <m:rPr>
              <m:sty m:val="p"/>
            </m:rPr>
            <m:t>=</m:t>
          </m:r>
          <m:r>
            <m:t>0</m:t>
          </m:r>
          <m:r>
            <m:rPr>
              <m:sty m:val="p"/>
            </m:rPr>
            <m:t>,</m:t>
          </m:r>
        </m:oMath>
      </m:oMathPara>
    </w:p>
    <w:p>
      <w:pPr>
        <w:pStyle w:val="FirstParagraph"/>
      </w:pPr>
      <w:r>
        <w:t xml:space="preserve">at</w:t>
      </w:r>
      <w:r>
        <w:t xml:space="preserve"> </w:t>
      </w:r>
      <m:oMath>
        <m:r>
          <m:t>α</m:t>
        </m:r>
        <m:r>
          <m:rPr>
            <m:sty m:val="p"/>
          </m:rPr>
          <m:t>=</m:t>
        </m:r>
        <m:r>
          <m:t>0.05</m:t>
        </m:r>
      </m:oMath>
      <w:r>
        <w:t xml:space="preserve">.</w:t>
      </w:r>
      <w:r>
        <w:t xml:space="preserve"> </w:t>
      </w:r>
      <w:r>
        <w:t xml:space="preserve">Multiple comparisons (LR, DT, RF, GB) are corrected via</w:t>
      </w:r>
      <w:r>
        <w:t xml:space="preserve"> </w:t>
      </w:r>
      <w:r>
        <w:t xml:space="preserve">the</w:t>
      </w:r>
      <w:r>
        <w:t xml:space="preserve"> </w:t>
      </w:r>
      <w:r>
        <w:rPr>
          <w:bCs/>
          <w:b/>
        </w:rPr>
        <w:t xml:space="preserve">Holm–Bonferroni</w:t>
      </w:r>
      <w:r>
        <w:t xml:space="preserve"> </w:t>
      </w:r>
      <w:r>
        <w:t xml:space="preserve">procedure </w:t>
      </w:r>
      <w:r>
        <w:t xml:space="preserve">.</w:t>
      </w:r>
      <w:r>
        <w:t xml:space="preserve"> </w:t>
      </w:r>
      <w:r>
        <w:t xml:space="preserve">We further compute</w:t>
      </w:r>
      <w:r>
        <w:t xml:space="preserve"> </w:t>
      </w:r>
      <w:r>
        <w:rPr>
          <w:bCs/>
          <w:b/>
        </w:rPr>
        <w:t xml:space="preserve">Cliff’s Delta</w:t>
      </w:r>
      <w:r>
        <w:t xml:space="preserve"> </w:t>
      </w:r>
      <w:r>
        <w:t xml:space="preserve">(</w:t>
      </w:r>
      <m:oMath>
        <m:r>
          <m:t>δ</m:t>
        </m:r>
      </m:oMath>
      <w:r>
        <w:t xml:space="preserve">) </w:t>
      </w:r>
      <w:r>
        <w:t xml:space="preserve"> </w:t>
      </w:r>
      <w:r>
        <w:t xml:space="preserve">to quantify effect size:</w:t>
      </w:r>
    </w:p>
    <w:p>
      <w:pPr>
        <w:pStyle w:val="BodyText"/>
      </w:pPr>
      <m:oMathPara>
        <m:oMathParaPr>
          <m:jc m:val="center"/>
        </m:oMathParaPr>
        <m:oMath>
          <m:r>
            <m:t>δ</m:t>
          </m:r>
          <m:r>
            <m:rPr>
              <m:sty m:val="p"/>
            </m:rPr>
            <m:t>=</m:t>
          </m:r>
          <m:f>
            <m:fPr>
              <m:type m:val="bar"/>
            </m:fPr>
            <m:num>
              <m:sSub>
                <m:e>
                  <m:r>
                    <m:t>n</m:t>
                  </m:r>
                </m:e>
                <m:sub>
                  <m:r>
                    <m:rPr>
                      <m:sty m:val="p"/>
                    </m:rPr>
                    <m:t>&gt;</m:t>
                  </m:r>
                </m:sub>
              </m:sSub>
              <m:r>
                <m:rPr>
                  <m:sty m:val="p"/>
                </m:rPr>
                <m:t>−</m:t>
              </m:r>
              <m:sSub>
                <m:e>
                  <m:r>
                    <m:t>n</m:t>
                  </m:r>
                </m:e>
                <m:sub>
                  <m:r>
                    <m:rPr>
                      <m:sty m:val="p"/>
                    </m:rPr>
                    <m:t>&lt;</m:t>
                  </m:r>
                </m:sub>
              </m:sSub>
            </m:num>
            <m:den>
              <m:r>
                <m:t>n</m:t>
              </m:r>
            </m:den>
          </m:f>
          <m:r>
            <m:rPr>
              <m:sty m:val="p"/>
            </m:rPr>
            <m:t>,</m:t>
          </m:r>
        </m:oMath>
      </m:oMathPara>
    </w:p>
    <w:p>
      <w:pPr>
        <w:pStyle w:val="FirstParagraph"/>
      </w:pPr>
      <w:r>
        <w:t xml:space="preserve">interpreted as negligible (</w:t>
      </w:r>
      <m:oMath>
        <m:d>
          <m:dPr>
            <m:begChr m:val="|"/>
            <m:endChr m:val="|"/>
            <m:sepChr m:val=""/>
            <m:grow/>
          </m:dPr>
          <m:e>
            <m:r>
              <m:t>δ</m:t>
            </m:r>
          </m:e>
        </m:d>
        <m:r>
          <m:rPr>
            <m:sty m:val="p"/>
          </m:rPr>
          <m:t>&lt;</m:t>
        </m:r>
        <m:r>
          <m:t>0.147</m:t>
        </m:r>
      </m:oMath>
      <w:r>
        <w:t xml:space="preserve">), small (0.147–0.33),</w:t>
      </w:r>
      <w:r>
        <w:t xml:space="preserve"> </w:t>
      </w:r>
      <w:r>
        <w:t xml:space="preserve">medium (0.33–0.474), or large (</w:t>
      </w:r>
      <m:oMath>
        <m:r>
          <m:rPr>
            <m:sty m:val="p"/>
          </m:rPr>
          <m:t>≥</m:t>
        </m:r>
        <m:r>
          <m:t>0.474</m:t>
        </m:r>
      </m:oMath>
      <w:r>
        <w:t xml:space="preserve">).</w:t>
      </w:r>
      <w:r>
        <w:t xml:space="preserve"> </w:t>
      </w:r>
      <w:r>
        <w:t xml:space="preserve">Combining significance and effect-size analyses ensures</w:t>
      </w:r>
      <w:r>
        <w:t xml:space="preserve"> </w:t>
      </w:r>
      <w:r>
        <w:t xml:space="preserve">that improvements are both statistically valid and practically meaningful </w:t>
      </w:r>
      <w:r>
        <w:t xml:space="preserve">.</w:t>
      </w:r>
    </w:p>
    <w:bookmarkEnd w:id="75"/>
    <w:bookmarkStart w:id="76" w:name="implementation-reproducibility"/>
    <w:p>
      <w:pPr>
        <w:pStyle w:val="Heading2"/>
      </w:pPr>
      <w:r>
        <w:t xml:space="preserve">Implementation &amp; Reproducibility</w:t>
      </w:r>
    </w:p>
    <w:p>
      <w:pPr>
        <w:pStyle w:val="FirstParagraph"/>
      </w:pPr>
      <w:r>
        <w:t xml:space="preserve">All experiments ran in a reproducible</w:t>
      </w:r>
      <w:r>
        <w:t xml:space="preserve"> </w:t>
      </w:r>
      <w:r>
        <w:rPr>
          <w:bCs/>
          <w:b/>
        </w:rPr>
        <w:t xml:space="preserve">Python 3.10</w:t>
      </w:r>
      <w:r>
        <w:t xml:space="preserve"> </w:t>
      </w:r>
      <w:r>
        <w:t xml:space="preserve">environment.</w:t>
      </w:r>
      <w:r>
        <w:t xml:space="preserve"> </w:t>
      </w:r>
      <w:r>
        <w:t xml:space="preserve">Core libraries:</w:t>
      </w:r>
      <w:r>
        <w:t xml:space="preserve"> </w:t>
      </w:r>
      <w:r>
        <w:rPr>
          <w:rStyle w:val="VerbatimChar"/>
        </w:rPr>
        <w:t xml:space="preserve">scikit-learn v1.3.0</w:t>
      </w:r>
      <w:r>
        <w:t xml:space="preserve"> </w:t>
      </w:r>
      <w:r>
        <w:t xml:space="preserve">,</w:t>
      </w:r>
      <w:r>
        <w:t xml:space="preserve"> </w:t>
      </w:r>
      <w:r>
        <w:rPr>
          <w:rStyle w:val="VerbatimChar"/>
        </w:rPr>
        <w:t xml:space="preserve">NumPy v1.26+</w:t>
      </w:r>
      <w:r>
        <w:t xml:space="preserve">,</w:t>
      </w:r>
      <w:r>
        <w:t xml:space="preserve"> </w:t>
      </w:r>
      <w:r>
        <w:rPr>
          <w:rStyle w:val="VerbatimChar"/>
        </w:rPr>
        <w:t xml:space="preserve">Pandas v2.0+</w:t>
      </w:r>
      <w:r>
        <w:t xml:space="preserve">,</w:t>
      </w:r>
      <w:r>
        <w:t xml:space="preserve"> </w:t>
      </w:r>
      <w:r>
        <w:rPr>
          <w:rStyle w:val="VerbatimChar"/>
        </w:rPr>
        <w:t xml:space="preserve">SciPy v1.11+</w:t>
      </w:r>
      <w:r>
        <w:t xml:space="preserve">, and</w:t>
      </w:r>
      <w:r>
        <w:t xml:space="preserve"> </w:t>
      </w:r>
      <w:r>
        <w:rPr>
          <w:rStyle w:val="VerbatimChar"/>
        </w:rPr>
        <w:t xml:space="preserve">Matplotlib/Seaborn</w:t>
      </w:r>
      <w:r>
        <w:t xml:space="preserve">.</w:t>
      </w:r>
      <w:r>
        <w:t xml:space="preserve"> </w:t>
      </w:r>
      <w:r>
        <w:t xml:space="preserve">A deterministic seed set</w:t>
      </w:r>
      <w:r>
        <w:t xml:space="preserve"> </w:t>
      </w:r>
      <m:oMath>
        <m:r>
          <m:rPr>
            <m:sty m:val="p"/>
          </m:rPr>
          <m:t>{</m:t>
        </m:r>
        <m:r>
          <m:t>1</m:t>
        </m:r>
        <m:r>
          <m:rPr>
            <m:sty m:val="p"/>
          </m:rPr>
          <m:t>,</m:t>
        </m:r>
        <m:r>
          <m:t>11</m:t>
        </m:r>
        <m:r>
          <m:rPr>
            <m:sty m:val="p"/>
          </m:rPr>
          <m:t>,</m:t>
        </m:r>
        <m:r>
          <m:t>21</m:t>
        </m:r>
        <m:r>
          <m:rPr>
            <m:sty m:val="p"/>
          </m:rPr>
          <m:t>,</m:t>
        </m:r>
        <m:r>
          <m:rPr>
            <m:sty m:val="p"/>
          </m:rPr>
          <m:t>…</m:t>
        </m:r>
        <m:r>
          <m:rPr>
            <m:sty m:val="p"/>
          </m:rPr>
          <m:t>,</m:t>
        </m:r>
        <m:r>
          <m:t>91</m:t>
        </m:r>
        <m:r>
          <m:rPr>
            <m:sty m:val="p"/>
          </m:rPr>
          <m:t>}</m:t>
        </m:r>
      </m:oMath>
      <w:r>
        <w:t xml:space="preserve"> </w:t>
      </w:r>
      <w:r>
        <w:t xml:space="preserve">controls</w:t>
      </w:r>
      <w:r>
        <w:t xml:space="preserve"> </w:t>
      </w:r>
      <w:r>
        <w:t xml:space="preserve">data splits, CV shuffling, and ensemble bootstraps.</w:t>
      </w:r>
      <w:r>
        <w:t xml:space="preserve"> </w:t>
      </w:r>
      <w:r>
        <w:t xml:space="preserve">All configurations, preprocessing parameters, and CV results</w:t>
      </w:r>
      <w:r>
        <w:t xml:space="preserve"> </w:t>
      </w:r>
      <w:r>
        <w:t xml:space="preserve">are logged as structured</w:t>
      </w:r>
      <w:r>
        <w:t xml:space="preserve"> </w:t>
      </w:r>
      <w:r>
        <w:rPr>
          <w:rStyle w:val="VerbatimChar"/>
        </w:rPr>
        <w:t xml:space="preserve">JSON</w:t>
      </w:r>
      <w:r>
        <w:t xml:space="preserve">.</w:t>
      </w:r>
      <w:r>
        <w:t xml:space="preserve"> </w:t>
      </w:r>
      <w:r>
        <w:t xml:space="preserve">Trained artifacts are versioned per schema (LOC, FP, UCP)</w:t>
      </w:r>
      <w:r>
        <w:t xml:space="preserve"> </w:t>
      </w:r>
      <w:r>
        <w:t xml:space="preserve">for full traceability.</w:t>
      </w:r>
    </w:p>
    <w:p>
      <w:pPr>
        <w:pStyle w:val="BodyText"/>
      </w:pPr>
      <w:r>
        <w:t xml:space="preserve">Hardware was uniform:</w:t>
      </w:r>
      <w:r>
        <w:t xml:space="preserve"> </w:t>
      </w:r>
      <w:r>
        <w:rPr>
          <w:bCs/>
          <w:b/>
        </w:rPr>
        <w:t xml:space="preserve">8–16 CPU cores</w:t>
      </w:r>
      <w:r>
        <w:t xml:space="preserve">,</w:t>
      </w:r>
      <w:r>
        <w:t xml:space="preserve"> </w:t>
      </w:r>
      <w:r>
        <w:rPr>
          <w:bCs/>
          <w:b/>
        </w:rPr>
        <w:t xml:space="preserve">32–64 GB RAM</w:t>
      </w:r>
      <w:r>
        <w:t xml:space="preserve">, no GPU.</w:t>
      </w:r>
      <w:r>
        <w:t xml:space="preserve"> </w:t>
      </w:r>
      <w:r>
        <w:t xml:space="preserve">A unified orchestration script automates:</w:t>
      </w:r>
      <w:r>
        <w:t xml:space="preserve"> </w:t>
      </w:r>
      <w:r>
        <w:t xml:space="preserve">(1) data loading and harmonization;</w:t>
      </w:r>
      <w:r>
        <w:t xml:space="preserve"> </w:t>
      </w:r>
      <w:r>
        <w:t xml:space="preserve">(2) train–test splitting and CV;</w:t>
      </w:r>
      <w:r>
        <w:t xml:space="preserve"> </w:t>
      </w:r>
      <w:r>
        <w:t xml:space="preserve">(3) grid search;</w:t>
      </w:r>
      <w:r>
        <w:t xml:space="preserve"> </w:t>
      </w:r>
      <w:r>
        <w:t xml:space="preserve">(4) evaluation &amp; logging;</w:t>
      </w:r>
      <w:r>
        <w:t xml:space="preserve"> </w:t>
      </w:r>
      <w:r>
        <w:t xml:space="preserve">(5) aggregation &amp; significance testing.</w:t>
      </w:r>
      <w:r>
        <w:t xml:space="preserve"> </w:t>
      </w:r>
      <w:r>
        <w:t xml:space="preserve">All runs are fully deterministic and portable,</w:t>
      </w:r>
      <w:r>
        <w:t xml:space="preserve"> </w:t>
      </w:r>
      <w:r>
        <w:t xml:space="preserve">aligning with reproducibility best practices in</w:t>
      </w:r>
      <w:r>
        <w:t xml:space="preserve"> </w:t>
      </w:r>
      <w:r>
        <w:t xml:space="preserve">empirical software engineering </w:t>
      </w:r>
      <w:r>
        <w:t xml:space="preserve">.</w:t>
      </w:r>
    </w:p>
    <w:bookmarkEnd w:id="76"/>
    <w:bookmarkEnd w:id="77"/>
    <w:bookmarkStart w:id="93" w:name="results"/>
    <w:p>
      <w:pPr>
        <w:pStyle w:val="Heading1"/>
      </w:pPr>
      <w:r>
        <w:t xml:space="preserve">Results</w:t>
      </w:r>
    </w:p>
    <w:bookmarkStart w:id="79" w:name="overall-comparison"/>
    <w:p>
      <w:pPr>
        <w:pStyle w:val="Heading2"/>
      </w:pPr>
      <w:r>
        <w:t xml:space="preserve">Overall Comparison</w:t>
      </w:r>
    </w:p>
    <w:p>
      <w:pPr>
        <w:pStyle w:val="FirstParagraph"/>
      </w:pPr>
      <w:r>
        <w:t xml:space="preserve">Table </w:t>
      </w:r>
      <w:hyperlink w:anchor="tab:overall">
        <w:r>
          <w:rPr>
            <w:rStyle w:val="Hyperlink"/>
          </w:rPr>
          <w:t xml:space="preserve">1</w:t>
        </w:r>
      </w:hyperlink>
      <w:r>
        <w:t xml:space="preserve"> </w:t>
      </w:r>
      <w:r>
        <w:t xml:space="preserve">summarizes the mean test performance across all schemas</w:t>
      </w:r>
      <w:r>
        <w:t xml:space="preserve"> </w:t>
      </w:r>
      <w:r>
        <w:t xml:space="preserve">(</w:t>
      </w:r>
      <w:r>
        <w:rPr>
          <w:iCs/>
          <w:i/>
        </w:rPr>
        <w:t xml:space="preserve">LOC</w:t>
      </w:r>
      <w:r>
        <w:t xml:space="preserve">,</w:t>
      </w:r>
      <w:r>
        <w:t xml:space="preserve"> </w:t>
      </w:r>
      <w:r>
        <w:rPr>
          <w:iCs/>
          <w:i/>
        </w:rPr>
        <w:t xml:space="preserve">FP</w:t>
      </w:r>
      <w:r>
        <w:t xml:space="preserve">, and</w:t>
      </w:r>
      <w:r>
        <w:t xml:space="preserve"> </w:t>
      </w:r>
      <w:r>
        <w:rPr>
          <w:iCs/>
          <w:i/>
        </w:rPr>
        <w:t xml:space="preserve">UCP</w:t>
      </w:r>
      <w:r>
        <w:t xml:space="preserve">) using the evaluation metrics defined in Section 4.3.</w:t>
      </w:r>
      <w:r>
        <w:t xml:space="preserve"> </w:t>
      </w:r>
      <w:r>
        <w:t xml:space="preserve">Among the tested models, the</w:t>
      </w:r>
      <w:r>
        <w:t xml:space="preserve"> </w:t>
      </w:r>
      <w:r>
        <w:rPr>
          <w:bCs/>
          <w:b/>
        </w:rPr>
        <w:t xml:space="preserve">Random Forest (RF)</w:t>
      </w:r>
      <w:r>
        <w:t xml:space="preserve"> </w:t>
      </w:r>
      <w:r>
        <w:t xml:space="preserve">consistently achieved the best overall accuracy,</w:t>
      </w:r>
      <w:r>
        <w:t xml:space="preserve"> </w:t>
      </w:r>
      <w:r>
        <w:t xml:space="preserve">followed by</w:t>
      </w:r>
      <w:r>
        <w:t xml:space="preserve"> </w:t>
      </w:r>
      <w:r>
        <w:rPr>
          <w:bCs/>
          <w:b/>
        </w:rPr>
        <w:t xml:space="preserve">Gradient Boosting (GB)</w:t>
      </w:r>
      <w:r>
        <w:t xml:space="preserve"> </w:t>
      </w:r>
      <w:r>
        <w:t xml:space="preserve">and</w:t>
      </w:r>
      <w:r>
        <w:t xml:space="preserve"> </w:t>
      </w:r>
      <w:r>
        <w:rPr>
          <w:bCs/>
          <w:b/>
        </w:rPr>
        <w:t xml:space="preserve">Decision Tree (DT)</w:t>
      </w:r>
      <w:r>
        <w:t xml:space="preserve">.</w:t>
      </w:r>
      <w:r>
        <w:t xml:space="preserve"> </w:t>
      </w:r>
      <w:r>
        <w:rPr>
          <w:bCs/>
          <w:b/>
        </w:rPr>
        <w:t xml:space="preserve">COCOMO II</w:t>
      </w:r>
      <w:r>
        <w:t xml:space="preserve">, representing the classical parametric baseline,</w:t>
      </w:r>
      <w:r>
        <w:t xml:space="preserve"> </w:t>
      </w:r>
      <w:r>
        <w:t xml:space="preserve">showed the weakest performance across all error metrics,</w:t>
      </w:r>
      <w:r>
        <w:t xml:space="preserve"> </w:t>
      </w:r>
      <w:r>
        <w:t xml:space="preserve">while</w:t>
      </w:r>
      <w:r>
        <w:t xml:space="preserve"> </w:t>
      </w:r>
      <w:r>
        <w:rPr>
          <w:bCs/>
          <w:b/>
        </w:rPr>
        <w:t xml:space="preserve">Linear Regression (LR)</w:t>
      </w:r>
      <w:r>
        <w:t xml:space="preserve"> </w:t>
      </w:r>
      <w:r>
        <w:t xml:space="preserve">was highly unstable due to multicollinearity</w:t>
      </w:r>
      <w:r>
        <w:t xml:space="preserve"> </w:t>
      </w:r>
      <w:r>
        <w:t xml:space="preserve">and violation of linearity assumptions in the raw feature space.</w:t>
      </w:r>
    </w:p>
    <w:bookmarkStart w:id="78" w:name="tab:overall"/>
    <w:p>
      <w:pPr>
        <w:pStyle w:val="TableCaption"/>
      </w:pPr>
      <w:r>
        <w:t xml:space="preserve">Overall test performance (best in</w:t>
      </w:r>
      <w:r>
        <w:t xml:space="preserve"> </w:t>
      </w:r>
      <w:r>
        <w:rPr>
          <w:bCs/>
          <w:b/>
        </w:rPr>
        <w:t xml:space="preserve">bold</w:t>
      </w:r>
      <w:r>
        <w:t xml:space="preserve">).</w:t>
      </w:r>
    </w:p>
    <w:tbl>
      <w:tblPr>
        <w:tblStyle w:val="Table"/>
        <w:tblW w:type="auto" w:w="0"/>
        <w:tblLook w:firstRow="1" w:lastRow="0" w:firstColumn="0" w:lastColumn="0" w:noHBand="0" w:noVBand="0" w:val="0020"/>
        <w:jc w:val="start"/>
        <w:tblCaption w:val="Overall test performance (best in bold)."/>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center"/>
            </w:pPr>
            <w:r>
              <w:t xml:space="preserve">MMRE</w:t>
            </w:r>
            <w:r>
              <w:t xml:space="preserve"> </w:t>
            </w:r>
            <m:oMath>
              <m:r>
                <m:rPr>
                  <m:sty m:val="p"/>
                </m:rPr>
                <m:t>↓</m:t>
              </m:r>
            </m:oMath>
          </w:p>
        </w:tc>
        <w:tc>
          <w:tcPr/>
          <w:p>
            <w:pPr>
              <w:pStyle w:val="Compact"/>
              <w:jc w:val="center"/>
            </w:pPr>
            <w:r>
              <w:t xml:space="preserve">PRED(25)</w:t>
            </w:r>
            <w:r>
              <w:t xml:space="preserve"> </w:t>
            </w:r>
            <m:oMath>
              <m:r>
                <m:rPr>
                  <m:sty m:val="p"/>
                </m:rPr>
                <m:t>↑</m:t>
              </m:r>
            </m:oMath>
          </w:p>
        </w:tc>
        <w:tc>
          <w:tcPr/>
          <w:p>
            <w:pPr>
              <w:pStyle w:val="Compact"/>
              <w:jc w:val="center"/>
            </w:pPr>
            <w:r>
              <w:t xml:space="preserve">MAE</w:t>
            </w:r>
            <w:r>
              <w:t xml:space="preserve"> </w:t>
            </w:r>
            <m:oMath>
              <m:r>
                <m:rPr>
                  <m:sty m:val="p"/>
                </m:rPr>
                <m:t>↓</m:t>
              </m:r>
            </m:oMath>
          </w:p>
        </w:tc>
        <w:tc>
          <w:tcPr/>
          <w:p>
            <w:pPr>
              <w:pStyle w:val="Compact"/>
              <w:jc w:val="center"/>
            </w:pPr>
            <w:r>
              <w:t xml:space="preserve">RMSE</w:t>
            </w:r>
            <w:r>
              <w:t xml:space="preserve"> </w:t>
            </w:r>
            <m:oMath>
              <m:r>
                <m:rPr>
                  <m:sty m:val="p"/>
                </m:rPr>
                <m:t>↓</m:t>
              </m:r>
            </m:oMath>
          </w:p>
        </w:tc>
        <w:tc>
          <w:tcPr/>
          <w:p>
            <w:pPr>
              <w:pStyle w:val="Compact"/>
              <w:jc w:val="center"/>
            </w:pPr>
            <m:oMath>
              <m:sSup>
                <m:e>
                  <m:r>
                    <m:t>R</m:t>
                  </m:r>
                </m:e>
                <m:sup>
                  <m:r>
                    <m:t>2</m:t>
                  </m:r>
                </m:sup>
              </m:sSup>
            </m:oMath>
            <w:r>
              <w:t xml:space="preserve"> </w:t>
            </w:r>
            <m:oMath>
              <m:r>
                <m:rPr>
                  <m:sty m:val="p"/>
                </m:rPr>
                <m:t>↑</m:t>
              </m:r>
            </m:oMath>
          </w:p>
        </w:tc>
      </w:tr>
      <w:tr>
        <w:tc>
          <w:tcPr/>
          <w:p>
            <w:pPr>
              <w:pStyle w:val="Compact"/>
              <w:jc w:val="left"/>
            </w:pPr>
            <w:r>
              <w:t xml:space="preserve">COCOMO II</w:t>
            </w:r>
          </w:p>
        </w:tc>
        <w:tc>
          <w:tcPr/>
          <w:p>
            <w:pPr>
              <w:pStyle w:val="Compact"/>
              <w:jc w:val="center"/>
            </w:pPr>
            <w:r>
              <w:t xml:space="preserve">2.790</w:t>
            </w:r>
          </w:p>
        </w:tc>
        <w:tc>
          <w:tcPr/>
          <w:p>
            <w:pPr>
              <w:pStyle w:val="Compact"/>
              <w:jc w:val="center"/>
            </w:pPr>
            <w:r>
              <w:t xml:space="preserve">0.012</w:t>
            </w:r>
          </w:p>
        </w:tc>
        <w:tc>
          <w:tcPr/>
          <w:p>
            <w:pPr>
              <w:pStyle w:val="Compact"/>
              <w:jc w:val="center"/>
            </w:pPr>
            <w:r>
              <w:t xml:space="preserve">45.03</w:t>
            </w:r>
          </w:p>
        </w:tc>
        <w:tc>
          <w:tcPr/>
          <w:p>
            <w:pPr>
              <w:pStyle w:val="Compact"/>
              <w:jc w:val="center"/>
            </w:pPr>
            <w:r>
              <w:t xml:space="preserve">53.70</w:t>
            </w:r>
          </w:p>
        </w:tc>
        <w:tc>
          <w:tcPr/>
          <w:p>
            <w:pPr>
              <w:pStyle w:val="Compact"/>
              <w:jc w:val="center"/>
            </w:pPr>
            <w:r>
              <w:t xml:space="preserve">–</w:t>
            </w:r>
          </w:p>
        </w:tc>
      </w:tr>
      <w:tr>
        <w:tc>
          <w:tcPr/>
          <w:p>
            <w:pPr>
              <w:pStyle w:val="Compact"/>
              <w:jc w:val="left"/>
            </w:pPr>
            <w:r>
              <w:t xml:space="preserve">Linear Regression</w:t>
            </w:r>
          </w:p>
        </w:tc>
        <w:tc>
          <w:tcPr/>
          <w:p>
            <w:pPr>
              <w:pStyle w:val="Compact"/>
              <w:jc w:val="center"/>
            </w:pPr>
            <w:r>
              <w:t xml:space="preserve">4.500</w:t>
            </w:r>
          </w:p>
        </w:tc>
        <w:tc>
          <w:tcPr/>
          <w:p>
            <w:pPr>
              <w:pStyle w:val="Compact"/>
              <w:jc w:val="center"/>
            </w:pPr>
            <w:r>
              <w:t xml:space="preserve">0.000</w:t>
            </w:r>
          </w:p>
        </w:tc>
        <w:tc>
          <w:tcPr/>
          <w:p>
            <w:pPr>
              <w:pStyle w:val="Compact"/>
              <w:jc w:val="center"/>
            </w:pPr>
            <w:r>
              <w:t xml:space="preserve">107.54</w:t>
            </w:r>
          </w:p>
        </w:tc>
        <w:tc>
          <w:tcPr/>
          <w:p>
            <w:pPr>
              <w:pStyle w:val="Compact"/>
              <w:jc w:val="center"/>
            </w:pPr>
            <w:r>
              <w:t xml:space="preserve">280.27</w:t>
            </w:r>
          </w:p>
        </w:tc>
        <w:tc>
          <w:tcPr/>
          <w:p>
            <w:pPr>
              <w:pStyle w:val="Compact"/>
              <w:jc w:val="center"/>
            </w:pPr>
            <w:r>
              <w:t xml:space="preserve">–</w:t>
            </w:r>
          </w:p>
        </w:tc>
      </w:tr>
      <w:tr>
        <w:tc>
          <w:tcPr/>
          <w:p>
            <w:pPr>
              <w:pStyle w:val="Compact"/>
              <w:jc w:val="left"/>
            </w:pPr>
            <w:r>
              <w:t xml:space="preserve">Decision Tree</w:t>
            </w:r>
          </w:p>
        </w:tc>
        <w:tc>
          <w:tcPr/>
          <w:p>
            <w:pPr>
              <w:pStyle w:val="Compact"/>
              <w:jc w:val="center"/>
            </w:pPr>
            <w:r>
              <w:t xml:space="preserve">1.371</w:t>
            </w:r>
          </w:p>
        </w:tc>
        <w:tc>
          <w:tcPr/>
          <w:p>
            <w:pPr>
              <w:pStyle w:val="Compact"/>
              <w:jc w:val="center"/>
            </w:pPr>
            <w:r>
              <w:t xml:space="preserve">0.173</w:t>
            </w:r>
          </w:p>
        </w:tc>
        <w:tc>
          <w:tcPr/>
          <w:p>
            <w:pPr>
              <w:pStyle w:val="Compact"/>
              <w:jc w:val="center"/>
            </w:pPr>
            <w:r>
              <w:t xml:space="preserve">18.63</w:t>
            </w:r>
          </w:p>
        </w:tc>
        <w:tc>
          <w:tcPr/>
          <w:p>
            <w:pPr>
              <w:pStyle w:val="Compact"/>
              <w:jc w:val="center"/>
            </w:pPr>
            <w:r>
              <w:t xml:space="preserve">23.62</w:t>
            </w:r>
          </w:p>
        </w:tc>
        <w:tc>
          <w:tcPr/>
          <w:p>
            <w:pPr>
              <w:pStyle w:val="Compact"/>
              <w:jc w:val="center"/>
            </w:pPr>
            <w:r>
              <w:t xml:space="preserve">–</w:t>
            </w:r>
          </w:p>
        </w:tc>
      </w:tr>
      <w:tr>
        <w:tc>
          <w:tcPr/>
          <w:p>
            <w:pPr>
              <w:pStyle w:val="Compact"/>
              <w:jc w:val="left"/>
            </w:pPr>
            <w:r>
              <w:t xml:space="preserve">Gradient Boosting</w:t>
            </w:r>
          </w:p>
        </w:tc>
        <w:tc>
          <w:tcPr/>
          <w:p>
            <w:pPr>
              <w:pStyle w:val="Compact"/>
              <w:jc w:val="center"/>
            </w:pPr>
            <w:r>
              <w:t xml:space="preserve">1.101</w:t>
            </w:r>
          </w:p>
        </w:tc>
        <w:tc>
          <w:tcPr/>
          <w:p>
            <w:pPr>
              <w:pStyle w:val="Compact"/>
              <w:jc w:val="center"/>
            </w:pPr>
            <w:r>
              <w:t xml:space="preserve">0.198</w:t>
            </w:r>
          </w:p>
        </w:tc>
        <w:tc>
          <w:tcPr/>
          <w:p>
            <w:pPr>
              <w:pStyle w:val="Compact"/>
              <w:jc w:val="center"/>
            </w:pPr>
            <w:r>
              <w:t xml:space="preserve">16.16</w:t>
            </w:r>
          </w:p>
        </w:tc>
        <w:tc>
          <w:tcPr/>
          <w:p>
            <w:pPr>
              <w:pStyle w:val="Compact"/>
              <w:jc w:val="center"/>
            </w:pPr>
            <w:r>
              <w:t xml:space="preserve">21.09</w:t>
            </w:r>
          </w:p>
        </w:tc>
        <w:tc>
          <w:tcPr/>
          <w:p>
            <w:pPr>
              <w:pStyle w:val="Compact"/>
              <w:jc w:val="center"/>
            </w:pPr>
            <w:r>
              <w:t xml:space="preserve">–</w:t>
            </w:r>
          </w:p>
        </w:tc>
      </w:tr>
      <w:tr>
        <w:tc>
          <w:tcPr/>
          <w:p>
            <w:pPr>
              <w:pStyle w:val="Compact"/>
              <w:jc w:val="left"/>
            </w:pPr>
            <w:r>
              <w:rPr>
                <w:bCs/>
                <w:b/>
              </w:rPr>
              <w:t xml:space="preserve">Random Forest</w:t>
            </w:r>
          </w:p>
        </w:tc>
        <w:tc>
          <w:tcPr/>
          <w:p>
            <w:pPr>
              <w:pStyle w:val="Compact"/>
              <w:jc w:val="center"/>
            </w:pPr>
            <w:r>
              <w:rPr>
                <w:bCs/>
                <w:b/>
              </w:rPr>
              <w:t xml:space="preserve">0.647</w:t>
            </w:r>
          </w:p>
        </w:tc>
        <w:tc>
          <w:tcPr/>
          <w:p>
            <w:pPr>
              <w:pStyle w:val="Compact"/>
              <w:jc w:val="center"/>
            </w:pPr>
            <w:r>
              <w:rPr>
                <w:bCs/>
                <w:b/>
              </w:rPr>
              <w:t xml:space="preserve">0.395</w:t>
            </w:r>
          </w:p>
        </w:tc>
        <w:tc>
          <w:tcPr/>
          <w:p>
            <w:pPr>
              <w:pStyle w:val="Compact"/>
              <w:jc w:val="center"/>
            </w:pPr>
            <w:r>
              <w:rPr>
                <w:bCs/>
                <w:b/>
              </w:rPr>
              <w:t xml:space="preserve">12.66</w:t>
            </w:r>
          </w:p>
        </w:tc>
        <w:tc>
          <w:tcPr/>
          <w:p>
            <w:pPr>
              <w:pStyle w:val="Compact"/>
              <w:jc w:val="center"/>
            </w:pPr>
            <w:r>
              <w:rPr>
                <w:bCs/>
                <w:b/>
              </w:rPr>
              <w:t xml:space="preserve">20.01</w:t>
            </w:r>
          </w:p>
        </w:tc>
        <w:tc>
          <w:tcPr/>
          <w:p>
            <w:pPr>
              <w:pStyle w:val="Compact"/>
              <w:jc w:val="center"/>
            </w:pPr>
            <w:r>
              <w:t xml:space="preserve">–</w:t>
            </w:r>
          </w:p>
        </w:tc>
      </w:tr>
    </w:tbl>
    <w:bookmarkEnd w:id="78"/>
    <w:p>
      <w:pPr>
        <w:pStyle w:val="BodyText"/>
      </w:pPr>
      <w:r>
        <w:t xml:space="preserve">Statistical tests (Section 4.4) confirmed that the performance gains of</w:t>
      </w:r>
      <w:r>
        <w:t xml:space="preserve"> </w:t>
      </w:r>
      <w:r>
        <w:t xml:space="preserve">RF and GB over DT and LR were</w:t>
      </w:r>
      <w:r>
        <w:t xml:space="preserve"> </w:t>
      </w:r>
      <w:r>
        <w:rPr>
          <w:iCs/>
          <w:i/>
        </w:rPr>
        <w:t xml:space="preserve">statistically significant</w:t>
      </w:r>
      <w:r>
        <w:t xml:space="preserve"> </w:t>
      </w:r>
      <w:r>
        <w:t xml:space="preserve">(</w:t>
      </w:r>
      <m:oMath>
        <m:r>
          <m:t>p</m:t>
        </m:r>
        <m:r>
          <m:rPr>
            <m:sty m:val="p"/>
          </m:rPr>
          <m:t>&lt;</m:t>
        </m:r>
        <m:r>
          <m:t>0.05</m:t>
        </m:r>
      </m:oMath>
      <w:r>
        <w:t xml:space="preserve"> </w:t>
      </w:r>
      <w:r>
        <w:t xml:space="preserve">under Holm–Bonferroni correction),</w:t>
      </w:r>
      <w:r>
        <w:t xml:space="preserve"> </w:t>
      </w:r>
      <w:r>
        <w:t xml:space="preserve">with Cliff’s</w:t>
      </w:r>
      <w:r>
        <w:t xml:space="preserve"> </w:t>
      </w:r>
      <m:oMath>
        <m:r>
          <m:t>δ</m:t>
        </m:r>
      </m:oMath>
      <w:r>
        <w:t xml:space="preserve"> </w:t>
      </w:r>
      <w:r>
        <w:t xml:space="preserve">effect sizes in the range of</w:t>
      </w:r>
      <w:r>
        <w:t xml:space="preserve"> </w:t>
      </w:r>
      <m:oMath>
        <m:r>
          <m:t>0.35</m:t>
        </m:r>
      </m:oMath>
      <w:r>
        <w:t xml:space="preserve">–</w:t>
      </w:r>
      <m:oMath>
        <m:r>
          <m:t>0.55</m:t>
        </m:r>
      </m:oMath>
      <w:r>
        <w:t xml:space="preserve"> </w:t>
      </w:r>
      <w:r>
        <w:t xml:space="preserve">(medium-to-large).</w:t>
      </w:r>
      <w:r>
        <w:t xml:space="preserve"> </w:t>
      </w:r>
      <w:r>
        <w:t xml:space="preserve">These results highlight the robustness of ensemble methods when handling</w:t>
      </w:r>
      <w:r>
        <w:t xml:space="preserve"> </w:t>
      </w:r>
      <w:r>
        <w:t xml:space="preserve">heterogeneous, non-linear, and partially missing software project features.</w:t>
      </w:r>
    </w:p>
    <w:bookmarkEnd w:id="79"/>
    <w:bookmarkStart w:id="84" w:name="schema-specific-analyses"/>
    <w:p>
      <w:pPr>
        <w:pStyle w:val="Heading2"/>
      </w:pPr>
      <w:r>
        <w:t xml:space="preserve">Schema-Specific Analyses</w:t>
      </w:r>
    </w:p>
    <w:bookmarkStart w:id="80" w:name="loc-schema."/>
    <w:p>
      <w:pPr>
        <w:pStyle w:val="Heading4"/>
      </w:pPr>
      <w:r>
        <w:t xml:space="preserve">LOC Schema.</w:t>
      </w:r>
    </w:p>
    <w:p>
      <w:pPr>
        <w:pStyle w:val="FirstParagraph"/>
      </w:pPr>
      <w:r>
        <w:t xml:space="preserve">After log–log transformation (Section 3.4), the correlation between project size (KLOC)</w:t>
      </w:r>
      <w:r>
        <w:t xml:space="preserve"> </w:t>
      </w:r>
      <w:r>
        <w:t xml:space="preserve">and effort strengthened (</w:t>
      </w:r>
      <m:oMath>
        <m:r>
          <m:t>ρ</m:t>
        </m:r>
        <m:r>
          <m:rPr>
            <m:sty m:val="p"/>
          </m:rPr>
          <m:t>≈</m:t>
        </m:r>
        <m:r>
          <m:t>0.88</m:t>
        </m:r>
      </m:oMath>
      <w:r>
        <w:t xml:space="preserve">), supporting the multiplicative nature of</w:t>
      </w:r>
      <w:r>
        <w:t xml:space="preserve"> </w:t>
      </w:r>
      <w:r>
        <w:t xml:space="preserve">software growth patterns.</w:t>
      </w:r>
      <w:r>
        <w:t xml:space="preserve"> </w:t>
      </w:r>
      <w:r>
        <w:rPr>
          <w:bCs/>
          <w:b/>
        </w:rPr>
        <w:t xml:space="preserve">Random Forest</w:t>
      </w:r>
      <w:r>
        <w:t xml:space="preserve"> </w:t>
      </w:r>
      <w:r>
        <w:t xml:space="preserve">achieved the lowest MMRE and RMSE, generalizing well</w:t>
      </w:r>
      <w:r>
        <w:t xml:space="preserve"> </w:t>
      </w:r>
      <w:r>
        <w:t xml:space="preserve">across small and large projects.</w:t>
      </w:r>
      <w:r>
        <w:t xml:space="preserve"> </w:t>
      </w:r>
      <w:r>
        <w:rPr>
          <w:bCs/>
          <w:b/>
        </w:rPr>
        <w:t xml:space="preserve">Gradient Boosting</w:t>
      </w:r>
      <w:r>
        <w:t xml:space="preserve"> </w:t>
      </w:r>
      <w:r>
        <w:t xml:space="preserve">followed closely, benefiting from its bias–variance control,</w:t>
      </w:r>
      <w:r>
        <w:t xml:space="preserve"> </w:t>
      </w:r>
      <w:r>
        <w:t xml:space="preserve">while</w:t>
      </w:r>
      <w:r>
        <w:t xml:space="preserve"> </w:t>
      </w:r>
      <w:r>
        <w:rPr>
          <w:bCs/>
          <w:b/>
        </w:rPr>
        <w:t xml:space="preserve">Decision Tree</w:t>
      </w:r>
      <w:r>
        <w:t xml:space="preserve"> </w:t>
      </w:r>
      <w:r>
        <w:t xml:space="preserve">performed moderately on mid-sized projects (20–50 KLOC)</w:t>
      </w:r>
      <w:r>
        <w:t xml:space="preserve"> </w:t>
      </w:r>
      <w:r>
        <w:t xml:space="preserve">but overfit smaller ones.</w:t>
      </w:r>
      <w:r>
        <w:t xml:space="preserve"> </w:t>
      </w:r>
      <w:r>
        <w:rPr>
          <w:bCs/>
          <w:b/>
        </w:rPr>
        <w:t xml:space="preserve">Linear Regression</w:t>
      </w:r>
      <w:r>
        <w:t xml:space="preserve"> </w:t>
      </w:r>
      <w:r>
        <w:t xml:space="preserve">consistently underestimated small and overestimated large projects,</w:t>
      </w:r>
      <w:r>
        <w:t xml:space="preserve"> </w:t>
      </w:r>
      <w:r>
        <w:t xml:space="preserve">confirming the limitations of linear assumptions for effort prediction.</w:t>
      </w:r>
    </w:p>
    <w:bookmarkEnd w:id="80"/>
    <w:bookmarkStart w:id="81" w:name="fp-schema."/>
    <w:p>
      <w:pPr>
        <w:pStyle w:val="Heading4"/>
      </w:pPr>
      <w:r>
        <w:t xml:space="preserve">FP Schema.</w:t>
      </w:r>
    </w:p>
    <w:p>
      <w:pPr>
        <w:pStyle w:val="FirstParagraph"/>
      </w:pPr>
      <w:r>
        <w:t xml:space="preserve">The Function Point (FP) schema exhibited higher variability due to its small sample size (</w:t>
      </w:r>
      <m:oMath>
        <m:r>
          <m:t>n</m:t>
        </m:r>
        <m:r>
          <m:rPr>
            <m:sty m:val="p"/>
          </m:rPr>
          <m:t>=</m:t>
        </m:r>
        <m:r>
          <m:t>24</m:t>
        </m:r>
      </m:oMath>
      <w:r>
        <w:t xml:space="preserve">)</w:t>
      </w:r>
      <w:r>
        <w:t xml:space="preserve"> </w:t>
      </w:r>
      <w:r>
        <w:t xml:space="preserve">and heterogeneous functional complexity.</w:t>
      </w:r>
      <w:r>
        <w:t xml:space="preserve"> </w:t>
      </w:r>
      <w:r>
        <w:t xml:space="preserve">Traditional regression systematically overpredicted high-FP projects (</w:t>
      </w:r>
      <m:oMath>
        <m:r>
          <m:rPr>
            <m:sty m:val="p"/>
          </m:rPr>
          <m:t>&gt;</m:t>
        </m:r>
        <m:r>
          <m:t>300</m:t>
        </m:r>
      </m:oMath>
      <w:r>
        <w:t xml:space="preserve"> FP),</w:t>
      </w:r>
      <w:r>
        <w:t xml:space="preserve"> </w:t>
      </w:r>
      <w:r>
        <w:t xml:space="preserve">whereas</w:t>
      </w:r>
      <w:r>
        <w:t xml:space="preserve"> </w:t>
      </w:r>
      <w:r>
        <w:rPr>
          <w:bCs/>
          <w:b/>
        </w:rPr>
        <w:t xml:space="preserve">Random Forest</w:t>
      </w:r>
      <w:r>
        <w:t xml:space="preserve"> </w:t>
      </w:r>
      <w:r>
        <w:t xml:space="preserve">achieved up to 40% lower MAE and provided</w:t>
      </w:r>
      <w:r>
        <w:t xml:space="preserve"> </w:t>
      </w:r>
      <w:r>
        <w:t xml:space="preserve">the best approximation to observed effort.</w:t>
      </w:r>
      <w:r>
        <w:t xml:space="preserve"> </w:t>
      </w:r>
      <w:r>
        <w:rPr>
          <w:bCs/>
          <w:b/>
        </w:rPr>
        <w:t xml:space="preserve">Gradient Boosting</w:t>
      </w:r>
      <w:r>
        <w:t xml:space="preserve"> </w:t>
      </w:r>
      <w:r>
        <w:t xml:space="preserve">ranked second but showed mild variance inflation for large projects.</w:t>
      </w:r>
      <w:r>
        <w:t xml:space="preserve"> </w:t>
      </w:r>
      <w:r>
        <w:rPr>
          <w:bCs/>
          <w:b/>
        </w:rPr>
        <w:t xml:space="preserve">Decision Tree</w:t>
      </w:r>
      <w:r>
        <w:t xml:space="preserve"> </w:t>
      </w:r>
      <w:r>
        <w:t xml:space="preserve">produced the expected stepwise</w:t>
      </w:r>
      <w:r>
        <w:t xml:space="preserve"> </w:t>
      </w:r>
      <w:r>
        <w:t xml:space="preserve">“</w:t>
      </w:r>
      <w:r>
        <w:t xml:space="preserve">staircase</w:t>
      </w:r>
      <w:r>
        <w:t xml:space="preserve">”</w:t>
      </w:r>
      <w:r>
        <w:t xml:space="preserve"> </w:t>
      </w:r>
      <w:r>
        <w:t xml:space="preserve">pattern,</w:t>
      </w:r>
      <w:r>
        <w:t xml:space="preserve"> </w:t>
      </w:r>
      <w:r>
        <w:t xml:space="preserve">while</w:t>
      </w:r>
      <w:r>
        <w:t xml:space="preserve"> </w:t>
      </w:r>
      <w:r>
        <w:rPr>
          <w:bCs/>
          <w:b/>
        </w:rPr>
        <w:t xml:space="preserve">Linear Regression</w:t>
      </w:r>
      <w:r>
        <w:t xml:space="preserve"> </w:t>
      </w:r>
      <w:r>
        <w:t xml:space="preserve">yielded unstable estimates due to weak FP–effort correlation.</w:t>
      </w:r>
      <w:r>
        <w:t xml:space="preserve"> </w:t>
      </w:r>
      <w:r>
        <w:t xml:space="preserve">Wilcoxon tests confirmed that RF and GB significantly outperformed LR (</w:t>
      </w:r>
      <m:oMath>
        <m:r>
          <m:t>p</m:t>
        </m:r>
        <m:r>
          <m:rPr>
            <m:sty m:val="p"/>
          </m:rPr>
          <m:t>&lt;</m:t>
        </m:r>
        <m:r>
          <m:t>0.01</m:t>
        </m:r>
      </m:oMath>
      <w:r>
        <w:t xml:space="preserve">;</w:t>
      </w:r>
      <w:r>
        <w:t xml:space="preserve"> </w:t>
      </w:r>
      <m:oMath>
        <m:d>
          <m:dPr>
            <m:begChr m:val="|"/>
            <m:endChr m:val="|"/>
            <m:sepChr m:val=""/>
            <m:grow/>
          </m:dPr>
          <m:e>
            <m:r>
              <m:t>δ</m:t>
            </m:r>
          </m:e>
        </m:d>
        <m:r>
          <m:rPr>
            <m:sty m:val="p"/>
          </m:rPr>
          <m:t>≥</m:t>
        </m:r>
        <m:r>
          <m:t>0.47</m:t>
        </m:r>
      </m:oMath>
      <w:r>
        <w:t xml:space="preserve">).</w:t>
      </w:r>
    </w:p>
    <w:bookmarkEnd w:id="81"/>
    <w:bookmarkStart w:id="82" w:name="ucp-schema."/>
    <w:p>
      <w:pPr>
        <w:pStyle w:val="Heading4"/>
      </w:pPr>
      <w:r>
        <w:t xml:space="preserve">UCP Schema.</w:t>
      </w:r>
    </w:p>
    <w:p>
      <w:pPr>
        <w:pStyle w:val="FirstParagraph"/>
      </w:pPr>
      <w:r>
        <w:t xml:space="preserve">Within the Use Case Point (UCP) schema—including UAW, UUCW, TCF, and ECF—log transformation</w:t>
      </w:r>
      <w:r>
        <w:t xml:space="preserve"> </w:t>
      </w:r>
      <w:r>
        <w:t xml:space="preserve">effectively corrected moderate skewness.</w:t>
      </w:r>
      <w:r>
        <w:t xml:space="preserve"> </w:t>
      </w:r>
      <w:r>
        <w:rPr>
          <w:bCs/>
          <w:b/>
        </w:rPr>
        <w:t xml:space="preserve">Random Forest</w:t>
      </w:r>
      <w:r>
        <w:t xml:space="preserve"> </w:t>
      </w:r>
      <w:r>
        <w:t xml:space="preserve">maintained consistent relative errors across project scales,</w:t>
      </w:r>
      <w:r>
        <w:t xml:space="preserve"> </w:t>
      </w:r>
      <w:r>
        <w:t xml:space="preserve">while</w:t>
      </w:r>
      <w:r>
        <w:t xml:space="preserve"> </w:t>
      </w:r>
      <w:r>
        <w:rPr>
          <w:bCs/>
          <w:b/>
        </w:rPr>
        <w:t xml:space="preserve">Gradient Boosting</w:t>
      </w:r>
      <w:r>
        <w:t xml:space="preserve"> </w:t>
      </w:r>
      <w:r>
        <w:t xml:space="preserve">exhibited slightly higher RMSE,</w:t>
      </w:r>
      <w:r>
        <w:t xml:space="preserve"> </w:t>
      </w:r>
      <w:r>
        <w:t xml:space="preserve">suggesting mild overfitting in deeper configurations.</w:t>
      </w:r>
      <w:r>
        <w:t xml:space="preserve"> </w:t>
      </w:r>
      <w:r>
        <w:rPr>
          <w:bCs/>
          <w:b/>
        </w:rPr>
        <w:t xml:space="preserve">Decision Tree</w:t>
      </w:r>
      <w:r>
        <w:t xml:space="preserve"> </w:t>
      </w:r>
      <w:r>
        <w:t xml:space="preserve">performed comparably for medium projects (</w:t>
      </w:r>
      <m:oMath>
        <m:r>
          <m:t>100</m:t>
        </m:r>
        <m:r>
          <m:t>​</m:t>
        </m:r>
        <m:r>
          <m:rPr>
            <m:sty m:val="p"/>
          </m:rPr>
          <m:t>≤</m:t>
        </m:r>
        <m:r>
          <m:t>​</m:t>
        </m:r>
        <m:r>
          <m:rPr>
            <m:sty m:val="p"/>
          </m:rPr>
          <m:t>U</m:t>
        </m:r>
        <m:r>
          <m:rPr>
            <m:sty m:val="p"/>
          </m:rPr>
          <m:t>C</m:t>
        </m:r>
        <m:r>
          <m:rPr>
            <m:sty m:val="p"/>
          </m:rPr>
          <m:t>P</m:t>
        </m:r>
        <m:r>
          <m:t>​</m:t>
        </m:r>
        <m:r>
          <m:rPr>
            <m:sty m:val="p"/>
          </m:rPr>
          <m:t>≤</m:t>
        </m:r>
        <m:r>
          <m:t>​</m:t>
        </m:r>
        <m:r>
          <m:t>300</m:t>
        </m:r>
      </m:oMath>
      <w:r>
        <w:t xml:space="preserve">)</w:t>
      </w:r>
      <w:r>
        <w:t xml:space="preserve"> </w:t>
      </w:r>
      <w:r>
        <w:t xml:space="preserve">but degraded for larger ones, and</w:t>
      </w:r>
      <w:r>
        <w:t xml:space="preserve"> </w:t>
      </w:r>
      <w:r>
        <w:rPr>
          <w:bCs/>
          <w:b/>
        </w:rPr>
        <w:t xml:space="preserve">Linear Regression</w:t>
      </w:r>
      <w:r>
        <w:t xml:space="preserve"> </w:t>
      </w:r>
      <w:r>
        <w:t xml:space="preserve">again struggled with non-linear dependencies.</w:t>
      </w:r>
      <w:r>
        <w:t xml:space="preserve"> </w:t>
      </w:r>
      <w:r>
        <w:t xml:space="preserve">Overall, RF demonstrated superior adaptability, capturing complex interactions between</w:t>
      </w:r>
      <w:r>
        <w:t xml:space="preserve"> </w:t>
      </w:r>
      <w:r>
        <w:t xml:space="preserve">environmental and technical adjustment factors.</w:t>
      </w:r>
    </w:p>
    <w:bookmarkEnd w:id="82"/>
    <w:bookmarkStart w:id="83" w:name="cross-schema-discussion."/>
    <w:p>
      <w:pPr>
        <w:pStyle w:val="Heading4"/>
      </w:pPr>
      <w:r>
        <w:t xml:space="preserve">Cross-Schema Discussion.</w:t>
      </w:r>
    </w:p>
    <w:p>
      <w:pPr>
        <w:pStyle w:val="FirstParagraph"/>
      </w:pPr>
      <w:r>
        <w:t xml:space="preserve">Across all schemas, ensemble methods (RF, GB) consistently outperformed</w:t>
      </w:r>
      <w:r>
        <w:t xml:space="preserve"> </w:t>
      </w:r>
      <w:r>
        <w:t xml:space="preserve">classical parametric and linear baselines.</w:t>
      </w:r>
      <w:r>
        <w:t xml:space="preserve"> </w:t>
      </w:r>
      <w:r>
        <w:t xml:space="preserve">These results support the hypothesis that data-driven approaches benefit from</w:t>
      </w:r>
      <w:r>
        <w:t xml:space="preserve"> </w:t>
      </w:r>
      <w:r>
        <w:t xml:space="preserve">heterogeneous feature representation and variance reduction via bagging and boosting.</w:t>
      </w:r>
      <w:r>
        <w:t xml:space="preserve"> </w:t>
      </w:r>
      <w:r>
        <w:t xml:space="preserve">The reproducibility pipeline (Section 4.5) further ensures stability</w:t>
      </w:r>
      <w:r>
        <w:t xml:space="preserve"> </w:t>
      </w:r>
      <w:r>
        <w:t xml:space="preserve">under multiple random seeds, confirming ensemble learning as a</w:t>
      </w:r>
      <w:r>
        <w:t xml:space="preserve"> </w:t>
      </w:r>
      <w:r>
        <w:t xml:space="preserve">reliable foundation for cross-schema benchmarking.</w:t>
      </w:r>
    </w:p>
    <w:bookmarkEnd w:id="83"/>
    <w:bookmarkEnd w:id="84"/>
    <w:bookmarkStart w:id="92" w:name="error-profiles-and-visual-analyses"/>
    <w:p>
      <w:pPr>
        <w:pStyle w:val="Heading2"/>
      </w:pPr>
      <w:r>
        <w:t xml:space="preserve">Error Profiles and Visual Analyses</w:t>
      </w:r>
    </w:p>
    <w:p>
      <w:pPr>
        <w:pStyle w:val="FirstParagraph"/>
      </w:pPr>
      <w:r>
        <w:t xml:space="preserve">To interpret model behavior beyond scalar metrics,</w:t>
      </w:r>
      <w:r>
        <w:t xml:space="preserve"> </w:t>
      </w:r>
      <w:r>
        <w:t xml:space="preserve">we visualize prediction error distributions and learning dynamics</w:t>
      </w:r>
      <w:r>
        <w:t xml:space="preserve"> </w:t>
      </w:r>
      <w:r>
        <w:t xml:space="preserve">across schemas in Figure </w:t>
      </w:r>
      <w:hyperlink w:anchor="fig:error-profiles">
        <w:r>
          <w:rPr>
            <w:rStyle w:val="Hyperlink"/>
          </w:rPr>
          <w:t xml:space="preserve">[fig:error-profiles]</w:t>
        </w:r>
      </w:hyperlink>
      <w:r>
        <w:t xml:space="preserve">.</w:t>
      </w:r>
      <w:r>
        <w:t xml:space="preserve"> </w:t>
      </w:r>
      <w:r>
        <w:t xml:space="preserve">These analyses clarify bias trends, scale sensitivity,</w:t>
      </w:r>
      <w:r>
        <w:t xml:space="preserve"> </w:t>
      </w:r>
      <w:r>
        <w:t xml:space="preserve">and the impact of normalization steps such as log-scaling and IQR-based capping.</w:t>
      </w:r>
    </w:p>
    <w:bookmarkStart w:id="85" w:name="a-overall-performance."/>
    <w:p>
      <w:pPr>
        <w:pStyle w:val="Heading4"/>
      </w:pPr>
      <w:r>
        <w:t xml:space="preserve">(a) Overall Performance.</w:t>
      </w:r>
    </w:p>
    <w:p>
      <w:pPr>
        <w:pStyle w:val="FirstParagraph"/>
      </w:pPr>
      <w:r>
        <w:t xml:space="preserve">The top-left panel aggregates MMRE and PRED(25) across schemas.</w:t>
      </w:r>
      <w:r>
        <w:t xml:space="preserve"> </w:t>
      </w:r>
      <w:r>
        <w:rPr>
          <w:bCs/>
          <w:b/>
        </w:rPr>
        <w:t xml:space="preserve">Random Forest</w:t>
      </w:r>
      <w:r>
        <w:t xml:space="preserve"> </w:t>
      </w:r>
      <w:r>
        <w:t xml:space="preserve">achieved the lowest relative error (MMRE)</w:t>
      </w:r>
      <w:r>
        <w:t xml:space="preserve"> </w:t>
      </w:r>
      <w:r>
        <w:t xml:space="preserve">and highest accuracy fraction (PRED(25)</w:t>
      </w:r>
      <m:oMath>
        <m:r>
          <m:rPr>
            <m:sty m:val="p"/>
          </m:rPr>
          <m:t>≈</m:t>
        </m:r>
        <m:r>
          <m:t>40</m:t>
        </m:r>
        <m:r>
          <m:rPr>
            <m:sty m:val="p"/>
          </m:rPr>
          <m:t>%</m:t>
        </m:r>
      </m:oMath>
      <w:r>
        <w:t xml:space="preserve">),</w:t>
      </w:r>
      <w:r>
        <w:t xml:space="preserve"> </w:t>
      </w:r>
      <w:r>
        <w:t xml:space="preserve">followed by</w:t>
      </w:r>
      <w:r>
        <w:t xml:space="preserve"> </w:t>
      </w:r>
      <w:r>
        <w:rPr>
          <w:bCs/>
          <w:b/>
        </w:rPr>
        <w:t xml:space="preserve">Gradient Boosting</w:t>
      </w:r>
      <w:r>
        <w:t xml:space="preserve">.</w:t>
      </w:r>
      <w:r>
        <w:t xml:space="preserve"> </w:t>
      </w:r>
      <w:r>
        <w:rPr>
          <w:bCs/>
          <w:b/>
        </w:rPr>
        <w:t xml:space="preserve">Linear Regression</w:t>
      </w:r>
      <w:r>
        <w:t xml:space="preserve"> </w:t>
      </w:r>
      <w:r>
        <w:t xml:space="preserve">and</w:t>
      </w:r>
      <w:r>
        <w:t xml:space="preserve"> </w:t>
      </w:r>
      <w:r>
        <w:rPr>
          <w:bCs/>
          <w:b/>
        </w:rPr>
        <w:t xml:space="preserve">COCOMO II</w:t>
      </w:r>
      <w:r>
        <w:t xml:space="preserve"> </w:t>
      </w:r>
      <w:r>
        <w:t xml:space="preserve">showed</w:t>
      </w:r>
      <w:r>
        <w:t xml:space="preserve"> </w:t>
      </w:r>
      <w:r>
        <w:t xml:space="preserve">strong bias and underfitting under heteroscedastic noise.</w:t>
      </w:r>
    </w:p>
    <w:bookmarkEnd w:id="85"/>
    <w:bookmarkStart w:id="86" w:name="b-loc-error-behavior."/>
    <w:p>
      <w:pPr>
        <w:pStyle w:val="Heading4"/>
      </w:pPr>
      <w:r>
        <w:t xml:space="preserve">(b) LOC Error Behavior.</w:t>
      </w:r>
    </w:p>
    <w:p>
      <w:pPr>
        <w:pStyle w:val="FirstParagraph"/>
      </w:pPr>
      <w:r>
        <w:t xml:space="preserve">As shown in the top-right plot, tree-based models maintain</w:t>
      </w:r>
      <w:r>
        <w:t xml:space="preserve"> </w:t>
      </w:r>
      <w:r>
        <w:t xml:space="preserve">stable performance across increasing project sizes,</w:t>
      </w:r>
      <w:r>
        <w:t xml:space="preserve"> </w:t>
      </w:r>
      <w:r>
        <w:t xml:space="preserve">while</w:t>
      </w:r>
      <w:r>
        <w:t xml:space="preserve"> </w:t>
      </w:r>
      <w:r>
        <w:rPr>
          <w:bCs/>
          <w:b/>
        </w:rPr>
        <w:t xml:space="preserve">Linear Regression</w:t>
      </w:r>
      <w:r>
        <w:t xml:space="preserve"> </w:t>
      </w:r>
      <w:r>
        <w:t xml:space="preserve">errors grow rapidly,</w:t>
      </w:r>
      <w:r>
        <w:t xml:space="preserve"> </w:t>
      </w:r>
      <w:r>
        <w:t xml:space="preserve">violating the constant-variance assumption.</w:t>
      </w:r>
      <w:r>
        <w:t xml:space="preserve"> </w:t>
      </w:r>
      <w:r>
        <w:rPr>
          <w:bCs/>
          <w:b/>
        </w:rPr>
        <w:t xml:space="preserve">Decision Tree</w:t>
      </w:r>
      <w:r>
        <w:t xml:space="preserve"> </w:t>
      </w:r>
      <w:r>
        <w:t xml:space="preserve">performs acceptably up to 50 KLOC</w:t>
      </w:r>
      <w:r>
        <w:t xml:space="preserve"> </w:t>
      </w:r>
      <w:r>
        <w:t xml:space="preserve">but overfits smaller subsets, whereas RF and GB exhibit</w:t>
      </w:r>
      <w:r>
        <w:t xml:space="preserve"> </w:t>
      </w:r>
      <w:r>
        <w:t xml:space="preserve">flat error curves—indicating robustness to size heterogeneity.</w:t>
      </w:r>
    </w:p>
    <w:bookmarkEnd w:id="86"/>
    <w:bookmarkStart w:id="87" w:name="c-fp-effort-trends."/>
    <w:p>
      <w:pPr>
        <w:pStyle w:val="Heading4"/>
      </w:pPr>
      <w:r>
        <w:t xml:space="preserve">(c) FP Effort Trends.</w:t>
      </w:r>
    </w:p>
    <w:p>
      <w:pPr>
        <w:pStyle w:val="FirstParagraph"/>
      </w:pPr>
      <w:r>
        <w:t xml:space="preserve">In the bottom-left plot,</w:t>
      </w:r>
      <w:r>
        <w:t xml:space="preserve"> </w:t>
      </w:r>
      <w:r>
        <w:rPr>
          <w:bCs/>
          <w:b/>
        </w:rPr>
        <w:t xml:space="preserve">Random Forest</w:t>
      </w:r>
      <w:r>
        <w:t xml:space="preserve"> </w:t>
      </w:r>
      <w:r>
        <w:t xml:space="preserve">closely matches</w:t>
      </w:r>
      <w:r>
        <w:t xml:space="preserve"> </w:t>
      </w:r>
      <w:r>
        <w:t xml:space="preserve">empirical effort trends, outperforming regression baselines.</w:t>
      </w:r>
      <w:r>
        <w:t xml:space="preserve"> </w:t>
      </w:r>
      <w:r>
        <w:rPr>
          <w:bCs/>
          <w:b/>
        </w:rPr>
        <w:t xml:space="preserve">Gradient Boosting</w:t>
      </w:r>
      <w:r>
        <w:t xml:space="preserve"> </w:t>
      </w:r>
      <w:r>
        <w:t xml:space="preserve">slightly overestimates large projects (</w:t>
      </w:r>
      <m:oMath>
        <m:r>
          <m:rPr>
            <m:sty m:val="p"/>
          </m:rPr>
          <m:t>&gt;</m:t>
        </m:r>
      </m:oMath>
      <w:r>
        <w:t xml:space="preserve">400 FP),</w:t>
      </w:r>
      <w:r>
        <w:t xml:space="preserve"> </w:t>
      </w:r>
      <w:r>
        <w:t xml:space="preserve">and</w:t>
      </w:r>
      <w:r>
        <w:t xml:space="preserve"> </w:t>
      </w:r>
      <w:r>
        <w:rPr>
          <w:bCs/>
          <w:b/>
        </w:rPr>
        <w:t xml:space="preserve">Decision Tree</w:t>
      </w:r>
      <w:r>
        <w:t xml:space="preserve"> </w:t>
      </w:r>
      <w:r>
        <w:t xml:space="preserve">shows discrete stepwise behavior,</w:t>
      </w:r>
      <w:r>
        <w:t xml:space="preserve"> </w:t>
      </w:r>
      <w:r>
        <w:t xml:space="preserve">confirming that non-linear ensembles better model FP-based scaling.</w:t>
      </w:r>
    </w:p>
    <w:bookmarkEnd w:id="87"/>
    <w:bookmarkStart w:id="91" w:name="d-impact-of-log-and-outlier-control."/>
    <w:p>
      <w:pPr>
        <w:pStyle w:val="Heading4"/>
      </w:pPr>
      <w:r>
        <w:t xml:space="preserve">(d) Impact of Log and Outlier Control.</w:t>
      </w:r>
    </w:p>
    <w:p>
      <w:pPr>
        <w:pStyle w:val="FirstParagraph"/>
      </w:pPr>
      <w:r>
        <w:t xml:space="preserve">The bottom-right panel quantifies the benefit of normalization.</w:t>
      </w:r>
      <w:r>
        <w:t xml:space="preserve"> </w:t>
      </w:r>
      <w:r>
        <w:t xml:space="preserve">Raw effort–size correlations (</w:t>
      </w:r>
      <m:oMath>
        <m:r>
          <m:t>r</m:t>
        </m:r>
        <m:r>
          <m:rPr>
            <m:sty m:val="p"/>
          </m:rPr>
          <m:t>=</m:t>
        </m:r>
        <m:r>
          <m:t>0.83</m:t>
        </m:r>
      </m:oMath>
      <w:r>
        <w:t xml:space="preserve">) improve slightly after</w:t>
      </w:r>
      <w:r>
        <w:t xml:space="preserve"> </w:t>
      </w:r>
      <m:oMath>
        <m:r>
          <m:rPr>
            <m:sty m:val="p"/>
          </m:rPr>
          <m:t>log</m:t>
        </m:r>
        <m:d>
          <m:dPr>
            <m:begChr m:val="("/>
            <m:endChr m:val=")"/>
            <m:sepChr m:val=""/>
            <m:grow/>
          </m:dPr>
          <m:e>
            <m:r>
              <m:t>1</m:t>
            </m:r>
            <m:r>
              <m:rPr>
                <m:sty m:val="p"/>
              </m:rPr>
              <m:t>+</m:t>
            </m:r>
            <m:r>
              <m:t>x</m:t>
            </m:r>
          </m:e>
        </m:d>
      </m:oMath>
      <w:r>
        <w:t xml:space="preserve"> </w:t>
      </w:r>
      <w:r>
        <w:t xml:space="preserve">scaling (</w:t>
      </w:r>
      <m:oMath>
        <m:r>
          <m:t>r</m:t>
        </m:r>
        <m:r>
          <m:rPr>
            <m:sty m:val="p"/>
          </m:rPr>
          <m:t>=</m:t>
        </m:r>
        <m:r>
          <m:t>0.84</m:t>
        </m:r>
      </m:oMath>
      <w:r>
        <w:t xml:space="preserve">)</w:t>
      </w:r>
      <w:r>
        <w:t xml:space="preserve"> </w:t>
      </w:r>
      <w:r>
        <w:t xml:space="preserve">and stabilize post IQR-capping (</w:t>
      </w:r>
      <m:oMath>
        <m:r>
          <m:t>r</m:t>
        </m:r>
        <m:r>
          <m:rPr>
            <m:sty m:val="p"/>
          </m:rPr>
          <m:t>=</m:t>
        </m:r>
        <m:r>
          <m:t>0.81</m:t>
        </m:r>
      </m:oMath>
      <w:r>
        <w:t xml:space="preserve">).</w:t>
      </w:r>
      <w:r>
        <w:t xml:space="preserve"> </w:t>
      </w:r>
      <w:r>
        <w:t xml:space="preserve">This demonstrates that harmonization and outlier control reduce distortion</w:t>
      </w:r>
      <w:r>
        <w:t xml:space="preserve"> </w:t>
      </w:r>
      <w:r>
        <w:t xml:space="preserve">without sacrificing intrinsic relationships—essential for fair, stable cross-schema comparisons.</w:t>
      </w:r>
    </w:p>
    <w:p>
      <w:pPr>
        <w:pStyle w:val="BodyText"/>
      </w:pPr>
      <w:r>
        <w:drawing>
          <wp:inline>
            <wp:extent cx="5334000" cy="4260760"/>
            <wp:effectExtent b="0" l="0" r="0" t="0"/>
            <wp:docPr descr="image" title="" id="89" name="Picture"/>
            <a:graphic>
              <a:graphicData uri="http://schemas.openxmlformats.org/drawingml/2006/picture">
                <pic:pic>
                  <pic:nvPicPr>
                    <pic:cNvPr descr="figures/outlier_transform_analysis.png" id="90" name="Picture"/>
                    <pic:cNvPicPr>
                      <a:picLocks noChangeArrowheads="1" noChangeAspect="1"/>
                    </pic:cNvPicPr>
                  </pic:nvPicPr>
                  <pic:blipFill>
                    <a:blip r:embed="rId88"/>
                    <a:stretch>
                      <a:fillRect/>
                    </a:stretch>
                  </pic:blipFill>
                  <pic:spPr bwMode="auto">
                    <a:xfrm>
                      <a:off x="0" y="0"/>
                      <a:ext cx="5334000" cy="4260760"/>
                    </a:xfrm>
                    <a:prstGeom prst="rect">
                      <a:avLst/>
                    </a:prstGeom>
                    <a:noFill/>
                    <a:ln w="9525">
                      <a:noFill/>
                      <a:headEnd/>
                      <a:tailEnd/>
                    </a:ln>
                  </pic:spPr>
                </pic:pic>
              </a:graphicData>
            </a:graphic>
          </wp:inline>
        </w:drawing>
      </w:r>
    </w:p>
    <w:bookmarkEnd w:id="91"/>
    <w:bookmarkEnd w:id="92"/>
    <w:bookmarkEnd w:id="93"/>
    <w:bookmarkStart w:id="98" w:name="discussion-and-practical-implications"/>
    <w:p>
      <w:pPr>
        <w:pStyle w:val="Heading1"/>
      </w:pPr>
      <w:r>
        <w:t xml:space="preserve">Discussion and Practical Implications</w:t>
      </w:r>
    </w:p>
    <w:bookmarkStart w:id="94" w:name="random-forest-superiority."/>
    <w:p>
      <w:pPr>
        <w:pStyle w:val="Heading4"/>
      </w:pPr>
      <w:r>
        <w:t xml:space="preserve">Random Forest Superiority.</w:t>
      </w:r>
    </w:p>
    <w:p>
      <w:pPr>
        <w:pStyle w:val="FirstParagraph"/>
      </w:pPr>
      <w:r>
        <w:t xml:space="preserve">The consistent dominance of the</w:t>
      </w:r>
      <w:r>
        <w:t xml:space="preserve"> </w:t>
      </w:r>
      <w:r>
        <w:rPr>
          <w:bCs/>
          <w:b/>
        </w:rPr>
        <w:t xml:space="preserve">Random Forest (RF)</w:t>
      </w:r>
      <w:r>
        <w:t xml:space="preserve"> </w:t>
      </w:r>
      <w:r>
        <w:t xml:space="preserve">model across all schemas</w:t>
      </w:r>
      <w:r>
        <w:t xml:space="preserve"> </w:t>
      </w:r>
      <w:r>
        <w:t xml:space="preserve">stems from its ensemble mechanism that aggregates multiple high-variance estimators</w:t>
      </w:r>
      <w:r>
        <w:t xml:space="preserve"> </w:t>
      </w:r>
      <w:r>
        <w:t xml:space="preserve">into a low-variance predictor.</w:t>
      </w:r>
      <w:r>
        <w:t xml:space="preserve"> </w:t>
      </w:r>
      <w:r>
        <w:t xml:space="preserve">By averaging bootstrapped decision trees, RF effectively captures</w:t>
      </w:r>
      <w:r>
        <w:t xml:space="preserve"> </w:t>
      </w:r>
      <w:r>
        <w:rPr>
          <w:iCs/>
          <w:i/>
        </w:rPr>
        <w:t xml:space="preserve">non-linear scaling effects</w:t>
      </w:r>
      <w:r>
        <w:t xml:space="preserve"> </w:t>
      </w:r>
      <w:r>
        <w:t xml:space="preserve">such as power-law relationships</w:t>
      </w:r>
      <w:r>
        <w:t xml:space="preserve"> </w:t>
      </w:r>
      <w:r>
        <w:t xml:space="preserve">and threshold behaviors influenced by project complexity or team productivity.</w:t>
      </w:r>
      <w:r>
        <w:t xml:space="preserve"> </w:t>
      </w:r>
      <w:r>
        <w:t xml:space="preserve">Unlike single-tree models, which often overfit local patterns,</w:t>
      </w:r>
      <w:r>
        <w:t xml:space="preserve"> </w:t>
      </w:r>
      <w:r>
        <w:t xml:space="preserve">RF mitigates noise sensitivity and stabilizes erratic effort spikes,</w:t>
      </w:r>
      <w:r>
        <w:t xml:space="preserve"> </w:t>
      </w:r>
      <w:r>
        <w:t xml:space="preserve">providing both statistical robustness and interpretability.</w:t>
      </w:r>
    </w:p>
    <w:bookmarkEnd w:id="94"/>
    <w:bookmarkStart w:id="95" w:name="alternative-model-preferences."/>
    <w:p>
      <w:pPr>
        <w:pStyle w:val="Heading4"/>
      </w:pPr>
      <w:r>
        <w:t xml:space="preserve">Alternative Model Preferences.</w:t>
      </w:r>
    </w:p>
    <w:p>
      <w:pPr>
        <w:pStyle w:val="FirstParagraph"/>
      </w:pPr>
      <w:r>
        <w:t xml:space="preserve">While RF achieves the best overall accuracy, other models retain contextual value.</w:t>
      </w:r>
      <w:r>
        <w:t xml:space="preserve"> </w:t>
      </w:r>
      <w:r>
        <w:rPr>
          <w:bCs/>
          <w:b/>
        </w:rPr>
        <w:t xml:space="preserve">Decision Trees (DT)</w:t>
      </w:r>
      <w:r>
        <w:t xml:space="preserve"> </w:t>
      </w:r>
      <w:r>
        <w:t xml:space="preserve">provide intuitive rule-based segmentation</w:t>
      </w:r>
      <w:r>
        <w:t xml:space="preserve"> </w:t>
      </w:r>
      <w:r>
        <w:t xml:space="preserve">for managerial transparency.</w:t>
      </w:r>
      <w:r>
        <w:t xml:space="preserve"> </w:t>
      </w:r>
      <w:r>
        <w:rPr>
          <w:bCs/>
          <w:b/>
        </w:rPr>
        <w:t xml:space="preserve">Gradient Boosting (GB)</w:t>
      </w:r>
      <w:r>
        <w:t xml:space="preserve"> </w:t>
      </w:r>
      <w:r>
        <w:t xml:space="preserve">yields slightly higher accuracy</w:t>
      </w:r>
      <w:r>
        <w:t xml:space="preserve"> </w:t>
      </w:r>
      <w:r>
        <w:t xml:space="preserve">when tuned carefully but may overfit smaller datasets.</w:t>
      </w:r>
      <w:r>
        <w:t xml:space="preserve"> </w:t>
      </w:r>
      <w:r>
        <w:t xml:space="preserve">Meanwhile,</w:t>
      </w:r>
      <w:r>
        <w:t xml:space="preserve"> </w:t>
      </w:r>
      <w:r>
        <w:rPr>
          <w:bCs/>
          <w:b/>
        </w:rPr>
        <w:t xml:space="preserve">COCOMO II</w:t>
      </w:r>
      <w:r>
        <w:t xml:space="preserve"> </w:t>
      </w:r>
      <w:r>
        <w:t xml:space="preserve">and</w:t>
      </w:r>
      <w:r>
        <w:t xml:space="preserve"> </w:t>
      </w:r>
      <w:r>
        <w:rPr>
          <w:bCs/>
          <w:b/>
        </w:rPr>
        <w:t xml:space="preserve">Linear Regression (LR)</w:t>
      </w:r>
      <w:r>
        <w:t xml:space="preserve"> </w:t>
      </w:r>
      <w:r>
        <w:t xml:space="preserve">remain</w:t>
      </w:r>
      <w:r>
        <w:t xml:space="preserve"> </w:t>
      </w:r>
      <w:r>
        <w:t xml:space="preserve">useful baselines for early-phase scoping,</w:t>
      </w:r>
      <w:r>
        <w:t xml:space="preserve"> </w:t>
      </w:r>
      <w:r>
        <w:t xml:space="preserve">offering interpretability when historical data are limited.</w:t>
      </w:r>
    </w:p>
    <w:bookmarkEnd w:id="95"/>
    <w:bookmarkStart w:id="96" w:name="guidelines-for-adoption."/>
    <w:p>
      <w:pPr>
        <w:pStyle w:val="Heading4"/>
      </w:pPr>
      <w:r>
        <w:t xml:space="preserve">Guidelines for Adoption.</w:t>
      </w:r>
    </w:p>
    <w:p>
      <w:pPr>
        <w:pStyle w:val="FirstParagraph"/>
      </w:pPr>
      <w:r>
        <w:t xml:space="preserve">The findings suggest a staged adoption strategy:</w:t>
      </w:r>
      <w:r>
        <w:t xml:space="preserve"> </w:t>
      </w:r>
      <w:r>
        <w:t xml:space="preserve">(i)</w:t>
      </w:r>
      <w:r>
        <w:t xml:space="preserve"> </w:t>
      </w:r>
      <w:r>
        <w:rPr>
          <w:iCs/>
          <w:i/>
        </w:rPr>
        <w:t xml:space="preserve">Inception</w:t>
      </w:r>
      <w:r>
        <w:t xml:space="preserve"> </w:t>
      </w:r>
      <w:r>
        <w:t xml:space="preserve">— use interpretable models (COCOMO II, DT)</w:t>
      </w:r>
      <w:r>
        <w:t xml:space="preserve"> </w:t>
      </w:r>
      <w:r>
        <w:t xml:space="preserve">for early communication and feasibility;</w:t>
      </w:r>
      <w:r>
        <w:t xml:space="preserve"> </w:t>
      </w:r>
      <w:r>
        <w:t xml:space="preserve">(ii)</w:t>
      </w:r>
      <w:r>
        <w:t xml:space="preserve"> </w:t>
      </w:r>
      <w:r>
        <w:rPr>
          <w:iCs/>
          <w:i/>
        </w:rPr>
        <w:t xml:space="preserve">Calibration</w:t>
      </w:r>
      <w:r>
        <w:t xml:space="preserve"> </w:t>
      </w:r>
      <w:r>
        <w:t xml:space="preserve">— introduce GB to refine accuracy</w:t>
      </w:r>
      <w:r>
        <w:t xml:space="preserve"> </w:t>
      </w:r>
      <w:r>
        <w:t xml:space="preserve">as project telemetry becomes available;</w:t>
      </w:r>
      <w:r>
        <w:t xml:space="preserve"> </w:t>
      </w:r>
      <w:r>
        <w:t xml:space="preserve">(iii)</w:t>
      </w:r>
      <w:r>
        <w:t xml:space="preserve"> </w:t>
      </w:r>
      <w:r>
        <w:rPr>
          <w:iCs/>
          <w:i/>
        </w:rPr>
        <w:t xml:space="preserve">Maturity</w:t>
      </w:r>
      <w:r>
        <w:t xml:space="preserve"> </w:t>
      </w:r>
      <w:r>
        <w:t xml:space="preserve">— employ RF for production-grade estimation</w:t>
      </w:r>
      <w:r>
        <w:t xml:space="preserve"> </w:t>
      </w:r>
      <w:r>
        <w:t xml:space="preserve">integrated into PM dashboards for adaptive, data-driven forecasting.</w:t>
      </w:r>
      <w:r>
        <w:t xml:space="preserve"> </w:t>
      </w:r>
      <w:r>
        <w:t xml:space="preserve">This phased process aligns interpretability with increasing data maturity.</w:t>
      </w:r>
    </w:p>
    <w:bookmarkEnd w:id="96"/>
    <w:bookmarkStart w:id="97" w:name="practical-insights-and-validity."/>
    <w:p>
      <w:pPr>
        <w:pStyle w:val="Heading4"/>
      </w:pPr>
      <w:r>
        <w:t xml:space="preserve">Practical Insights and Validity.</w:t>
      </w:r>
    </w:p>
    <w:p>
      <w:pPr>
        <w:pStyle w:val="FirstParagraph"/>
      </w:pPr>
      <w:r>
        <w:t xml:space="preserve">Ensemble learning significantly reduces uncertainty in early project budgeting</w:t>
      </w:r>
      <w:r>
        <w:t xml:space="preserve"> </w:t>
      </w:r>
      <w:r>
        <w:t xml:space="preserve">and enables continuous recalibration from evolving metrics,</w:t>
      </w:r>
      <w:r>
        <w:t xml:space="preserve"> </w:t>
      </w:r>
      <w:r>
        <w:t xml:space="preserve">forming a</w:t>
      </w:r>
      <w:r>
        <w:t xml:space="preserve"> </w:t>
      </w:r>
      <w:r>
        <w:rPr>
          <w:iCs/>
          <w:i/>
        </w:rPr>
        <w:t xml:space="preserve">living estimation system</w:t>
      </w:r>
      <w:r>
        <w:t xml:space="preserve"> </w:t>
      </w:r>
      <w:r>
        <w:t xml:space="preserve">rather than static forecasting.</w:t>
      </w:r>
      <w:r>
        <w:t xml:space="preserve"> </w:t>
      </w:r>
      <w:r>
        <w:t xml:space="preserve">Preprocessing steps (unit harmonization, log transformation, outlier control)</w:t>
      </w:r>
      <w:r>
        <w:t xml:space="preserve"> </w:t>
      </w:r>
      <w:r>
        <w:t xml:space="preserve">remain equally vital to model architecture in ensuring reproducibility.</w:t>
      </w:r>
      <w:r>
        <w:t xml:space="preserve"> </w:t>
      </w:r>
      <w:r>
        <w:t xml:space="preserve">Although residual noise and data inconsistencies may persist,</w:t>
      </w:r>
      <w:r>
        <w:t xml:space="preserve"> </w:t>
      </w:r>
      <w:r>
        <w:t xml:space="preserve">transparent experimental design and multi-seed evaluation</w:t>
      </w:r>
      <w:r>
        <w:t xml:space="preserve"> </w:t>
      </w:r>
      <w:r>
        <w:t xml:space="preserve">support the credibility and replicability of the results</w:t>
      </w:r>
      <w:r>
        <w:t xml:space="preserve"> </w:t>
      </w:r>
      <w:r>
        <w:t xml:space="preserve">under modern empirical software engineering standards.</w:t>
      </w:r>
    </w:p>
    <w:bookmarkEnd w:id="97"/>
    <w:bookmarkEnd w:id="98"/>
    <w:bookmarkStart w:id="104" w:name="threats-to-validity"/>
    <w:p>
      <w:pPr>
        <w:pStyle w:val="Heading1"/>
      </w:pPr>
      <w:r>
        <w:t xml:space="preserve">Threats to Validity</w:t>
      </w:r>
    </w:p>
    <w:p>
      <w:pPr>
        <w:pStyle w:val="FirstParagraph"/>
      </w:pPr>
      <w:r>
        <w:t xml:space="preserve">Despite rigorous experimentation and reproducibility controls,</w:t>
      </w:r>
      <w:r>
        <w:t xml:space="preserve"> </w:t>
      </w:r>
      <w:r>
        <w:t xml:space="preserve">several validity threats may affect the interpretation and generalizability of our findings.</w:t>
      </w:r>
      <w:r>
        <w:t xml:space="preserve"> </w:t>
      </w:r>
      <w:r>
        <w:t xml:space="preserve">We categorize them following standard empirical software engineering practice</w:t>
      </w:r>
      <w:r>
        <w:t xml:space="preserve"> </w:t>
      </w:r>
      <w:r>
        <w:t xml:space="preserve">into</w:t>
      </w:r>
      <w:r>
        <w:t xml:space="preserve"> </w:t>
      </w:r>
      <w:r>
        <w:rPr>
          <w:iCs/>
          <w:i/>
        </w:rPr>
        <w:t xml:space="preserve">internal</w:t>
      </w:r>
      <w:r>
        <w:t xml:space="preserve">,</w:t>
      </w:r>
      <w:r>
        <w:t xml:space="preserve"> </w:t>
      </w:r>
      <w:r>
        <w:rPr>
          <w:iCs/>
          <w:i/>
        </w:rPr>
        <w:t xml:space="preserve">external</w:t>
      </w:r>
      <w:r>
        <w:t xml:space="preserve">,</w:t>
      </w:r>
      <w:r>
        <w:t xml:space="preserve"> </w:t>
      </w:r>
      <w:r>
        <w:rPr>
          <w:iCs/>
          <w:i/>
        </w:rPr>
        <w:t xml:space="preserve">construct</w:t>
      </w:r>
      <w:r>
        <w:t xml:space="preserve">, and</w:t>
      </w:r>
      <w:r>
        <w:t xml:space="preserve"> </w:t>
      </w:r>
      <w:r>
        <w:rPr>
          <w:iCs/>
          <w:i/>
        </w:rPr>
        <w:t xml:space="preserve">conclusion</w:t>
      </w:r>
      <w:r>
        <w:t xml:space="preserve"> </w:t>
      </w:r>
      <w:r>
        <w:t xml:space="preserve">validity.</w:t>
      </w:r>
    </w:p>
    <w:bookmarkStart w:id="99" w:name="internal-validity."/>
    <w:p>
      <w:pPr>
        <w:pStyle w:val="Heading4"/>
      </w:pPr>
      <w:r>
        <w:t xml:space="preserve">Internal Validity.</w:t>
      </w:r>
    </w:p>
    <w:p>
      <w:pPr>
        <w:pStyle w:val="FirstParagraph"/>
      </w:pPr>
      <w:r>
        <w:t xml:space="preserve">This aspect concerns whether observed outcomes genuinely arise</w:t>
      </w:r>
      <w:r>
        <w:t xml:space="preserve"> </w:t>
      </w:r>
      <w:r>
        <w:t xml:space="preserve">from the modeled variables rather than uncontrolled factors.</w:t>
      </w:r>
      <w:r>
        <w:t xml:space="preserve"> </w:t>
      </w:r>
      <w:r>
        <w:t xml:space="preserve">Although data preprocessing (unit harmonization, IQR capping, schema partitioning)</w:t>
      </w:r>
      <w:r>
        <w:t xml:space="preserve"> </w:t>
      </w:r>
      <w:r>
        <w:t xml:space="preserve">reduces inconsistencies, residual noise in public datasets may persist—</w:t>
      </w:r>
      <w:r>
        <w:t xml:space="preserve"> </w:t>
      </w:r>
      <w:r>
        <w:t xml:space="preserve">for example, incomplete project documentation or varying productivity conventions.</w:t>
      </w:r>
      <w:r>
        <w:t xml:space="preserve"> </w:t>
      </w:r>
      <w:r>
        <w:t xml:space="preserve">The multi-seed cross-validation strategy mitigates random effects,</w:t>
      </w:r>
      <w:r>
        <w:t xml:space="preserve"> </w:t>
      </w:r>
      <w:r>
        <w:t xml:space="preserve">yet unobserved confounders (e.g., domain-specific tools)</w:t>
      </w:r>
      <w:r>
        <w:t xml:space="preserve"> </w:t>
      </w:r>
      <w:r>
        <w:t xml:space="preserve">could still influence effort distributions.</w:t>
      </w:r>
    </w:p>
    <w:bookmarkEnd w:id="99"/>
    <w:bookmarkStart w:id="100" w:name="external-validity."/>
    <w:p>
      <w:pPr>
        <w:pStyle w:val="Heading4"/>
      </w:pPr>
      <w:r>
        <w:t xml:space="preserve">External Validity.</w:t>
      </w:r>
    </w:p>
    <w:p>
      <w:pPr>
        <w:pStyle w:val="FirstParagraph"/>
      </w:pPr>
      <w:r>
        <w:t xml:space="preserve">Our conclusions are derived mainly from open and legacy datasets</w:t>
      </w:r>
      <w:r>
        <w:t xml:space="preserve"> </w:t>
      </w:r>
      <w:r>
        <w:t xml:space="preserve">(1993–2022) across LOC-, FP-, and UCP-based schemas.</w:t>
      </w:r>
      <w:r>
        <w:t xml:space="preserve"> </w:t>
      </w:r>
      <w:r>
        <w:t xml:space="preserve">While these capture diverse paradigms, they may not fully represent</w:t>
      </w:r>
      <w:r>
        <w:t xml:space="preserve"> </w:t>
      </w:r>
      <w:r>
        <w:t xml:space="preserve">modern DevOps or continuous integration environments</w:t>
      </w:r>
      <w:r>
        <w:t xml:space="preserve"> </w:t>
      </w:r>
      <w:r>
        <w:t xml:space="preserve">where metrics evolve dynamically.</w:t>
      </w:r>
      <w:r>
        <w:t xml:space="preserve"> </w:t>
      </w:r>
      <w:r>
        <w:t xml:space="preserve">Future work will incorporate industrial repositories and real-time telemetry</w:t>
      </w:r>
      <w:r>
        <w:t xml:space="preserve"> </w:t>
      </w:r>
      <w:r>
        <w:t xml:space="preserve">to assess model robustness under continuous feedback loops.</w:t>
      </w:r>
    </w:p>
    <w:bookmarkEnd w:id="100"/>
    <w:bookmarkStart w:id="101" w:name="construct-validity."/>
    <w:p>
      <w:pPr>
        <w:pStyle w:val="Heading4"/>
      </w:pPr>
      <w:r>
        <w:t xml:space="preserve">Construct Validity.</w:t>
      </w:r>
    </w:p>
    <w:p>
      <w:pPr>
        <w:pStyle w:val="FirstParagraph"/>
      </w:pPr>
      <w:r>
        <w:t xml:space="preserve">Effort and size metrics inherently vary across organizations—</w:t>
      </w:r>
      <w:r>
        <w:t xml:space="preserve"> </w:t>
      </w:r>
      <w:r>
        <w:t xml:space="preserve">from person-hours to adjusted person-months—</w:t>
      </w:r>
      <w:r>
        <w:t xml:space="preserve"> </w:t>
      </w:r>
      <w:r>
        <w:t xml:space="preserve">and may embed subjectivity in Function Point or Use Case Point estimation.</w:t>
      </w:r>
      <w:r>
        <w:t xml:space="preserve"> </w:t>
      </w:r>
      <w:r>
        <w:t xml:space="preserve">Although the harmonization framework (Section 3.2) standardizes units,</w:t>
      </w:r>
      <w:r>
        <w:t xml:space="preserve"> </w:t>
      </w:r>
      <w:r>
        <w:t xml:space="preserve">measurement bias remains possible.</w:t>
      </w:r>
      <w:r>
        <w:t xml:space="preserve"> </w:t>
      </w:r>
      <w:r>
        <w:t xml:space="preserve">To address metric limitations (e.g., MMRE, PRED(25)),</w:t>
      </w:r>
      <w:r>
        <w:t xml:space="preserve"> </w:t>
      </w:r>
      <w:r>
        <w:t xml:space="preserve">we complement them with absolute-error (MAE, RMSE)</w:t>
      </w:r>
      <w:r>
        <w:t xml:space="preserve"> </w:t>
      </w:r>
      <w:r>
        <w:t xml:space="preserve">and variance-explained (</w:t>
      </w:r>
      <m:oMath>
        <m:sSup>
          <m:e>
            <m:r>
              <m:t>R</m:t>
            </m:r>
          </m:e>
          <m:sup>
            <m:r>
              <m:t>2</m:t>
            </m:r>
          </m:sup>
        </m:sSup>
      </m:oMath>
      <w:r>
        <w:t xml:space="preserve">) measures.</w:t>
      </w:r>
    </w:p>
    <w:bookmarkEnd w:id="101"/>
    <w:bookmarkStart w:id="102" w:name="conclusion-validity."/>
    <w:p>
      <w:pPr>
        <w:pStyle w:val="Heading4"/>
      </w:pPr>
      <w:r>
        <w:t xml:space="preserve">Conclusion Validity.</w:t>
      </w:r>
    </w:p>
    <w:p>
      <w:pPr>
        <w:pStyle w:val="FirstParagraph"/>
      </w:pPr>
      <w:r>
        <w:t xml:space="preserve">Statistical inference reliability was reinforced through</w:t>
      </w:r>
      <w:r>
        <w:t xml:space="preserve"> </w:t>
      </w:r>
      <w:r>
        <w:t xml:space="preserve">Wilcoxon signed-rank tests with Holm–Bonferroni correction</w:t>
      </w:r>
      <w:r>
        <w:t xml:space="preserve"> </w:t>
      </w:r>
      <w:r>
        <w:t xml:space="preserve">and effect-size reporting via Cliff’s </w:t>
      </w:r>
      <m:oMath>
        <m:r>
          <m:t>δ</m:t>
        </m:r>
      </m:oMath>
      <w:r>
        <w:t xml:space="preserve"> </w:t>
      </w:r>
      <w:r>
        <w:t xml:space="preserve">(Section 4.4).</w:t>
      </w:r>
      <w:r>
        <w:t xml:space="preserve"> </w:t>
      </w:r>
      <w:r>
        <w:t xml:space="preserve">Nevertheless, multiple comparisons can increase Type II error risk,</w:t>
      </w:r>
      <w:r>
        <w:t xml:space="preserve"> </w:t>
      </w:r>
      <w:r>
        <w:t xml:space="preserve">especially for small-sample schemas (e.g., FP,</w:t>
      </w:r>
      <w:r>
        <w:t xml:space="preserve"> </w:t>
      </w:r>
      <m:oMath>
        <m:r>
          <m:t>n</m:t>
        </m:r>
        <m:r>
          <m:rPr>
            <m:sty m:val="p"/>
          </m:rPr>
          <m:t>=</m:t>
        </m:r>
        <m:r>
          <m:t>24</m:t>
        </m:r>
      </m:oMath>
      <w:r>
        <w:t xml:space="preserve">).</w:t>
      </w:r>
      <w:r>
        <w:t xml:space="preserve"> </w:t>
      </w:r>
      <w:r>
        <w:t xml:space="preserve">Hence, significance should be interpreted as indicative rather than definitive.</w:t>
      </w:r>
    </w:p>
    <w:bookmarkEnd w:id="102"/>
    <w:bookmarkStart w:id="103" w:name="summary."/>
    <w:p>
      <w:pPr>
        <w:pStyle w:val="Heading4"/>
      </w:pPr>
      <w:r>
        <w:t xml:space="preserve">Summary.</w:t>
      </w:r>
    </w:p>
    <w:p>
      <w:pPr>
        <w:pStyle w:val="FirstParagraph"/>
      </w:pPr>
      <w:r>
        <w:t xml:space="preserve">While these threats cannot be entirely removed,</w:t>
      </w:r>
      <w:r>
        <w:t xml:space="preserve"> </w:t>
      </w:r>
      <w:r>
        <w:t xml:space="preserve">transparent experimental design, multi-seed repetition,</w:t>
      </w:r>
      <w:r>
        <w:t xml:space="preserve"> </w:t>
      </w:r>
      <w:r>
        <w:t xml:space="preserve">and open methodological reporting substantially mitigate their impact.</w:t>
      </w:r>
      <w:r>
        <w:t xml:space="preserve"> </w:t>
      </w:r>
      <w:r>
        <w:t xml:space="preserve">Overall, the findings remain credible for comparative model evaluation</w:t>
      </w:r>
      <w:r>
        <w:t xml:space="preserve"> </w:t>
      </w:r>
      <w:r>
        <w:t xml:space="preserve">and provide a reliable foundation for future extensions</w:t>
      </w:r>
      <w:r>
        <w:t xml:space="preserve"> </w:t>
      </w:r>
      <w:r>
        <w:t xml:space="preserve">of machine learning based software effort estimation.</w:t>
      </w:r>
    </w:p>
    <w:bookmarkEnd w:id="103"/>
    <w:bookmarkEnd w:id="104"/>
    <w:bookmarkStart w:id="112" w:name="related-work"/>
    <w:p>
      <w:pPr>
        <w:pStyle w:val="Heading1"/>
      </w:pPr>
      <w:r>
        <w:t xml:space="preserve">Related Work</w:t>
      </w:r>
    </w:p>
    <w:bookmarkStart w:id="105" w:name="X9c34dd09f6478ce2152477514fa2baa6b2a3569"/>
    <w:p>
      <w:pPr>
        <w:pStyle w:val="Heading2"/>
      </w:pPr>
      <w:r>
        <w:t xml:space="preserve">Evolution of Software Effort Estimation Methods</w:t>
      </w:r>
    </w:p>
    <w:p>
      <w:pPr>
        <w:pStyle w:val="FirstParagraph"/>
      </w:pPr>
      <w:r>
        <w:t xml:space="preserve">Software Effort Estimation (SEE) has evolved over four decades,</w:t>
      </w:r>
      <w:r>
        <w:t xml:space="preserve"> </w:t>
      </w:r>
      <w:r>
        <w:t xml:space="preserve">transitioning from rule based and parametric approaches</w:t>
      </w:r>
      <w:r>
        <w:t xml:space="preserve"> </w:t>
      </w:r>
      <w:r>
        <w:t xml:space="preserve">to hybrid and data-driven paradigms.</w:t>
      </w:r>
      <w:r>
        <w:t xml:space="preserve"> </w:t>
      </w:r>
      <w:r>
        <w:t xml:space="preserve">The seminal</w:t>
      </w:r>
      <w:r>
        <w:t xml:space="preserve"> </w:t>
      </w:r>
      <w:r>
        <w:rPr>
          <w:bCs/>
          <w:b/>
        </w:rPr>
        <w:t xml:space="preserve">COCOMO</w:t>
      </w:r>
      <w:r>
        <w:t xml:space="preserve"> </w:t>
      </w:r>
      <w:r>
        <w:t xml:space="preserve">model by Boehm (1981) established</w:t>
      </w:r>
      <w:r>
        <w:t xml:space="preserve"> </w:t>
      </w:r>
      <w:r>
        <w:t xml:space="preserve">an empirically grounded estimation framework,</w:t>
      </w:r>
      <w:r>
        <w:t xml:space="preserve"> </w:t>
      </w:r>
      <w:r>
        <w:t xml:space="preserve">followed by</w:t>
      </w:r>
      <w:r>
        <w:t xml:space="preserve"> </w:t>
      </w:r>
      <w:r>
        <w:rPr>
          <w:bCs/>
          <w:b/>
        </w:rPr>
        <w:t xml:space="preserve">Function Points</w:t>
      </w:r>
      <w:r>
        <w:t xml:space="preserve"> (Albrecht, 1979)</w:t>
      </w:r>
      <w:r>
        <w:t xml:space="preserve"> </w:t>
      </w:r>
      <w:r>
        <w:t xml:space="preserve">and</w:t>
      </w:r>
      <w:r>
        <w:t xml:space="preserve"> </w:t>
      </w:r>
      <w:r>
        <w:rPr>
          <w:bCs/>
          <w:b/>
        </w:rPr>
        <w:t xml:space="preserve">Use Case Points</w:t>
      </w:r>
      <w:r>
        <w:t xml:space="preserve"> (Karner, 1993),</w:t>
      </w:r>
      <w:r>
        <w:t xml:space="preserve"> </w:t>
      </w:r>
      <w:r>
        <w:t xml:space="preserve">which extended measurement granularity to functional and behavioral complexity.</w:t>
      </w:r>
      <w:r>
        <w:t xml:space="preserve"> </w:t>
      </w:r>
      <w:r>
        <w:t xml:space="preserve">Since the 2000s, studies have introduced early ML models—linear regression,</w:t>
      </w:r>
      <w:r>
        <w:t xml:space="preserve"> </w:t>
      </w:r>
      <w:r>
        <w:t xml:space="preserve">decision trees, neural networks, and SVMs—gradually shifting toward</w:t>
      </w:r>
      <w:r>
        <w:t xml:space="preserve"> </w:t>
      </w:r>
      <w:r>
        <w:rPr>
          <w:bCs/>
          <w:b/>
        </w:rPr>
        <w:t xml:space="preserve">ensemble learning</w:t>
      </w:r>
      <w:r>
        <w:t xml:space="preserve"> </w:t>
      </w:r>
      <w:r>
        <w:t xml:space="preserve">and</w:t>
      </w:r>
      <w:r>
        <w:t xml:space="preserve"> </w:t>
      </w:r>
      <w:r>
        <w:rPr>
          <w:bCs/>
          <w:b/>
        </w:rPr>
        <w:t xml:space="preserve">deep models</w:t>
      </w:r>
      <w:r>
        <w:t xml:space="preserve"> </w:t>
      </w:r>
      <w:r>
        <w:t xml:space="preserve">(e.g., Random Forest </w:t>
      </w:r>
      <w:r>
        <w:t xml:space="preserve">,</w:t>
      </w:r>
      <w:r>
        <w:t xml:space="preserve"> </w:t>
      </w:r>
      <w:r>
        <w:t xml:space="preserve">Gradient Boosting </w:t>
      </w:r>
      <w:r>
        <w:t xml:space="preserve">,</w:t>
      </w:r>
      <w:r>
        <w:t xml:space="preserve"> </w:t>
      </w:r>
      <w:r>
        <w:t xml:space="preserve">and hybrid ensembles </w:t>
      </w:r>
      <w:r>
        <w:t xml:space="preserve">).</w:t>
      </w:r>
      <w:r>
        <w:t xml:space="preserve"> </w:t>
      </w:r>
      <w:r>
        <w:t xml:space="preserve">Despite improved accuracy, issues of</w:t>
      </w:r>
      <w:r>
        <w:t xml:space="preserve"> </w:t>
      </w:r>
      <w:r>
        <w:rPr>
          <w:iCs/>
          <w:i/>
        </w:rPr>
        <w:t xml:space="preserve">reproducibility</w:t>
      </w:r>
      <w:r>
        <w:t xml:space="preserve"> </w:t>
      </w:r>
      <w:r>
        <w:t xml:space="preserve">and</w:t>
      </w:r>
      <w:r>
        <w:t xml:space="preserve"> </w:t>
      </w:r>
      <w:r>
        <w:rPr>
          <w:iCs/>
          <w:i/>
        </w:rPr>
        <w:t xml:space="preserve">cross-schema comparability</w:t>
      </w:r>
      <w:r>
        <w:t xml:space="preserve"> </w:t>
      </w:r>
      <w:r>
        <w:t xml:space="preserve">(LOC, FP, UCP)</w:t>
      </w:r>
      <w:r>
        <w:t xml:space="preserve"> </w:t>
      </w:r>
      <w:r>
        <w:t xml:space="preserve">remain insufficiently explored.</w:t>
      </w:r>
    </w:p>
    <w:bookmarkEnd w:id="105"/>
    <w:bookmarkStart w:id="106" w:name="comparison-of-estimation-paradigms"/>
    <w:p>
      <w:pPr>
        <w:pStyle w:val="Heading2"/>
      </w:pPr>
      <w:r>
        <w:t xml:space="preserve">Comparison of Estimation Paradigms</w:t>
      </w:r>
    </w:p>
    <w:p>
      <w:pPr>
        <w:pStyle w:val="FirstParagraph"/>
      </w:pPr>
      <w:r>
        <w:t xml:space="preserve">Figure </w:t>
      </w:r>
      <w:hyperlink w:anchor="fig:related-work">
        <w:r>
          <w:rPr>
            <w:rStyle w:val="Hyperlink"/>
          </w:rPr>
          <w:t xml:space="preserve">[fig:related-work]</w:t>
        </w:r>
      </w:hyperlink>
      <w:r>
        <w:t xml:space="preserve"> </w:t>
      </w:r>
      <w:r>
        <w:t xml:space="preserve">(top-right) contrasts</w:t>
      </w:r>
      <w:r>
        <w:t xml:space="preserve"> </w:t>
      </w:r>
      <w:r>
        <w:t xml:space="preserve">four major paradigms: (i) traditional parametric, (ii) early ML,</w:t>
      </w:r>
      <w:r>
        <w:t xml:space="preserve"> </w:t>
      </w:r>
      <w:r>
        <w:t xml:space="preserve">(iii) ensemble learning, and (iv) the proposed</w:t>
      </w:r>
      <w:r>
        <w:t xml:space="preserve"> </w:t>
      </w:r>
      <w:r>
        <w:rPr>
          <w:bCs/>
          <w:b/>
        </w:rPr>
        <w:t xml:space="preserve">Enhanced COCOMO II</w:t>
      </w:r>
      <w:r>
        <w:t xml:space="preserve">.</w:t>
      </w:r>
      <w:r>
        <w:t xml:space="preserve"> </w:t>
      </w:r>
      <w:r>
        <w:t xml:space="preserve">Parametric models prioritize interpretability but lack adaptability.</w:t>
      </w:r>
      <w:r>
        <w:t xml:space="preserve"> </w:t>
      </w:r>
      <w:r>
        <w:t xml:space="preserve">Basic ML models improve accuracy yet often lose transparency.</w:t>
      </w:r>
      <w:r>
        <w:t xml:space="preserve"> </w:t>
      </w:r>
      <w:r>
        <w:t xml:space="preserve">Ensemble methods achieve the most balanced trade off between</w:t>
      </w:r>
      <w:r>
        <w:t xml:space="preserve"> </w:t>
      </w:r>
      <w:r>
        <w:rPr>
          <w:iCs/>
          <w:i/>
        </w:rPr>
        <w:t xml:space="preserve">accuracy</w:t>
      </w:r>
      <w:r>
        <w:t xml:space="preserve">,</w:t>
      </w:r>
      <w:r>
        <w:t xml:space="preserve"> </w:t>
      </w:r>
      <w:r>
        <w:rPr>
          <w:iCs/>
          <w:i/>
        </w:rPr>
        <w:t xml:space="preserve">adaptability</w:t>
      </w:r>
      <w:r>
        <w:t xml:space="preserve">, and</w:t>
      </w:r>
      <w:r>
        <w:t xml:space="preserve"> </w:t>
      </w:r>
      <w:r>
        <w:rPr>
          <w:iCs/>
          <w:i/>
        </w:rPr>
        <w:t xml:space="preserve">ease of use</w:t>
      </w:r>
      <w:r>
        <w:t xml:space="preserve">.</w:t>
      </w:r>
      <w:r>
        <w:t xml:space="preserve"> </w:t>
      </w:r>
      <w:r>
        <w:t xml:space="preserve">Our Enhanced COCOMO II retains COCOMO’s explainable structure</w:t>
      </w:r>
      <w:r>
        <w:t xml:space="preserve"> </w:t>
      </w:r>
      <w:r>
        <w:t xml:space="preserve">while embedding data-driven residual corrections,</w:t>
      </w:r>
      <w:r>
        <w:t xml:space="preserve"> </w:t>
      </w:r>
      <w:r>
        <w:t xml:space="preserve">bridging classical transparency and modern predictive robustness.</w:t>
      </w:r>
    </w:p>
    <w:bookmarkEnd w:id="106"/>
    <w:bookmarkStart w:id="107" w:name="validity-gaps-in-prior-studies"/>
    <w:p>
      <w:pPr>
        <w:pStyle w:val="Heading2"/>
      </w:pPr>
      <w:r>
        <w:t xml:space="preserve">Validity Gaps in Prior Studies</w:t>
      </w:r>
    </w:p>
    <w:p>
      <w:pPr>
        <w:pStyle w:val="FirstParagraph"/>
      </w:pPr>
      <w:r>
        <w:t xml:space="preserve">Prior SEE research often overlooked systematic validation</w:t>
      </w:r>
      <w:r>
        <w:t xml:space="preserve"> </w:t>
      </w:r>
      <w:r>
        <w:t xml:space="preserve">and reproducibility analysis.</w:t>
      </w:r>
      <w:r>
        <w:t xml:space="preserve"> </w:t>
      </w:r>
      <w:r>
        <w:t xml:space="preserve">Reviews such as Kitchenham et al. </w:t>
      </w:r>
      <w:r>
        <w:t xml:space="preserve"> </w:t>
      </w:r>
      <w:r>
        <w:t xml:space="preserve">and Foss et al. </w:t>
      </w:r>
      <w:r>
        <w:t xml:space="preserve"> </w:t>
      </w:r>
      <w:r>
        <w:t xml:space="preserve">identify</w:t>
      </w:r>
      <w:r>
        <w:t xml:space="preserve"> </w:t>
      </w:r>
      <w:r>
        <w:rPr>
          <w:bCs/>
          <w:b/>
        </w:rPr>
        <w:t xml:space="preserve">internal</w:t>
      </w:r>
      <w:r>
        <w:t xml:space="preserve"> </w:t>
      </w:r>
      <w:r>
        <w:t xml:space="preserve">and</w:t>
      </w:r>
      <w:r>
        <w:t xml:space="preserve"> </w:t>
      </w:r>
      <w:r>
        <w:rPr>
          <w:bCs/>
          <w:b/>
        </w:rPr>
        <w:t xml:space="preserve">construct validity</w:t>
      </w:r>
      <w:r>
        <w:t xml:space="preserve"> </w:t>
      </w:r>
      <w:r>
        <w:t xml:space="preserve">as recurring risks,</w:t>
      </w:r>
      <w:r>
        <w:t xml:space="preserve"> </w:t>
      </w:r>
      <w:r>
        <w:t xml:space="preserve">stemming from inconsistent data curation and subjective FP/UCP sizing.</w:t>
      </w:r>
      <w:r>
        <w:t xml:space="preserve"> </w:t>
      </w:r>
      <w:r>
        <w:t xml:space="preserve">Recent studies emphasize transparency and open science </w:t>
      </w:r>
      <w:r>
        <w:t xml:space="preserve">,</w:t>
      </w:r>
      <w:r>
        <w:t xml:space="preserve"> </w:t>
      </w:r>
      <w:r>
        <w:t xml:space="preserve">yet few works implement explicit unit harmonization</w:t>
      </w:r>
      <w:r>
        <w:t xml:space="preserve"> </w:t>
      </w:r>
      <w:r>
        <w:t xml:space="preserve">or standardized evaluation pipelines.</w:t>
      </w:r>
    </w:p>
    <w:bookmarkEnd w:id="107"/>
    <w:bookmarkStart w:id="111" w:name="research-gap-and-contribution"/>
    <w:p>
      <w:pPr>
        <w:pStyle w:val="Heading2"/>
      </w:pPr>
      <w:r>
        <w:t xml:space="preserve">Research Gap and Contribution</w:t>
      </w:r>
    </w:p>
    <w:p>
      <w:pPr>
        <w:pStyle w:val="FirstParagraph"/>
      </w:pPr>
      <w:r>
        <w:t xml:space="preserve">Across the SEE literature, research has advanced through four dimensions</w:t>
      </w:r>
      <w:r>
        <w:t xml:space="preserve"> </w:t>
      </w:r>
      <w:r>
        <w:rPr>
          <w:iCs/>
          <w:i/>
        </w:rPr>
        <w:t xml:space="preserve">theory formation</w:t>
      </w:r>
      <w:r>
        <w:t xml:space="preserve">,</w:t>
      </w:r>
      <w:r>
        <w:t xml:space="preserve"> </w:t>
      </w:r>
      <w:r>
        <w:rPr>
          <w:iCs/>
          <w:i/>
        </w:rPr>
        <w:t xml:space="preserve">model development</w:t>
      </w:r>
      <w:r>
        <w:t xml:space="preserve">,</w:t>
      </w:r>
      <w:r>
        <w:t xml:space="preserve"> </w:t>
      </w:r>
      <w:r>
        <w:rPr>
          <w:iCs/>
          <w:i/>
        </w:rPr>
        <w:t xml:space="preserve">empirical validation</w:t>
      </w:r>
      <w:r>
        <w:t xml:space="preserve">, and</w:t>
      </w:r>
      <w:r>
        <w:t xml:space="preserve"> </w:t>
      </w:r>
      <w:r>
        <w:rPr>
          <w:iCs/>
          <w:i/>
        </w:rPr>
        <w:t xml:space="preserve">industry adoption</w:t>
      </w:r>
      <w:r>
        <w:t xml:space="preserve">.</w:t>
      </w:r>
      <w:r>
        <w:t xml:space="preserve"> </w:t>
      </w:r>
      <w:r>
        <w:t xml:space="preserve">While traditional models dominate theoretical grounding</w:t>
      </w:r>
      <w:r>
        <w:t xml:space="preserve"> </w:t>
      </w:r>
      <w:r>
        <w:t xml:space="preserve">and ML excels in model design,</w:t>
      </w:r>
      <w:r>
        <w:t xml:space="preserve"> </w:t>
      </w:r>
      <w:r>
        <w:t xml:space="preserve">few efforts bridge validation with practical deployment.</w:t>
      </w:r>
      <w:r>
        <w:t xml:space="preserve"> </w:t>
      </w:r>
      <w:r>
        <w:t xml:space="preserve">Our contribution fills this void by introducing a</w:t>
      </w:r>
      <w:r>
        <w:t xml:space="preserve"> </w:t>
      </w:r>
      <w:r>
        <w:rPr>
          <w:bCs/>
          <w:b/>
        </w:rPr>
        <w:t xml:space="preserve">reproducible, cross-schema ensemble framework</w:t>
      </w:r>
      <w:r>
        <w:t xml:space="preserve"> </w:t>
      </w:r>
      <w:r>
        <w:t xml:space="preserve">that merges statistical transparency (COCOMO lineage)</w:t>
      </w:r>
      <w:r>
        <w:t xml:space="preserve"> </w:t>
      </w:r>
      <w:r>
        <w:t xml:space="preserve">with modern predictive accuracy (Random Forest / Gradient Boosting),</w:t>
      </w:r>
      <w:r>
        <w:t xml:space="preserve"> </w:t>
      </w:r>
      <w:r>
        <w:t xml:space="preserve">supporting both academic benchmarking and</w:t>
      </w:r>
      <w:r>
        <w:t xml:space="preserve"> </w:t>
      </w:r>
      <w:r>
        <w:t xml:space="preserve">real world software project estimation.</w:t>
      </w:r>
    </w:p>
    <w:p>
      <w:pPr>
        <w:pStyle w:val="BodyText"/>
      </w:pPr>
      <w:r>
        <w:drawing>
          <wp:inline>
            <wp:extent cx="5334000" cy="1942809"/>
            <wp:effectExtent b="0" l="0" r="0" t="0"/>
            <wp:docPr descr="image" title="" id="109" name="Picture"/>
            <a:graphic>
              <a:graphicData uri="http://schemas.openxmlformats.org/drawingml/2006/picture">
                <pic:pic>
                  <pic:nvPicPr>
                    <pic:cNvPr descr="figures/related_work1.png" id="110" name="Picture"/>
                    <pic:cNvPicPr>
                      <a:picLocks noChangeArrowheads="1" noChangeAspect="1"/>
                    </pic:cNvPicPr>
                  </pic:nvPicPr>
                  <pic:blipFill>
                    <a:blip r:embed="rId108"/>
                    <a:stretch>
                      <a:fillRect/>
                    </a:stretch>
                  </pic:blipFill>
                  <pic:spPr bwMode="auto">
                    <a:xfrm>
                      <a:off x="0" y="0"/>
                      <a:ext cx="5334000" cy="1942809"/>
                    </a:xfrm>
                    <a:prstGeom prst="rect">
                      <a:avLst/>
                    </a:prstGeom>
                    <a:noFill/>
                    <a:ln w="9525">
                      <a:noFill/>
                      <a:headEnd/>
                      <a:tailEnd/>
                    </a:ln>
                  </pic:spPr>
                </pic:pic>
              </a:graphicData>
            </a:graphic>
          </wp:inline>
        </w:drawing>
      </w:r>
    </w:p>
    <w:bookmarkEnd w:id="111"/>
    <w:bookmarkEnd w:id="112"/>
    <w:bookmarkStart w:id="120" w:name="conclusion-and-reproducibility"/>
    <w:p>
      <w:pPr>
        <w:pStyle w:val="Heading1"/>
      </w:pPr>
      <w:r>
        <w:t xml:space="preserve">Conclusion and Reproducibility</w:t>
      </w:r>
    </w:p>
    <w:bookmarkStart w:id="113" w:name="summary-of-findings."/>
    <w:p>
      <w:pPr>
        <w:pStyle w:val="Heading4"/>
      </w:pPr>
      <w:r>
        <w:t xml:space="preserve">Summary of Findings.</w:t>
      </w:r>
    </w:p>
    <w:p>
      <w:pPr>
        <w:pStyle w:val="FirstParagraph"/>
      </w:pPr>
      <w:r>
        <w:t xml:space="preserve">This study introduced a unified cross-schema framework for software effort estimation,</w:t>
      </w:r>
      <w:r>
        <w:t xml:space="preserve"> </w:t>
      </w:r>
      <w:r>
        <w:t xml:space="preserve">enabling systematic benchmarking across LOC-, FP-, and UCP-based representations.</w:t>
      </w:r>
      <w:r>
        <w:t xml:space="preserve"> </w:t>
      </w:r>
      <w:r>
        <w:t xml:space="preserve">Through harmonized preprocessing and a comprehensive model comparison,</w:t>
      </w:r>
      <w:r>
        <w:t xml:space="preserve"> </w:t>
      </w:r>
      <w:r>
        <w:t xml:space="preserve">ensemble learners—most notably</w:t>
      </w:r>
      <w:r>
        <w:t xml:space="preserve"> </w:t>
      </w:r>
      <w:r>
        <w:rPr>
          <w:bCs/>
          <w:b/>
        </w:rPr>
        <w:t xml:space="preserve">Random Forest</w:t>
      </w:r>
      <w:r>
        <w:t xml:space="preserve">—</w:t>
      </w:r>
      <w:r>
        <w:t xml:space="preserve"> </w:t>
      </w:r>
      <w:r>
        <w:t xml:space="preserve">demonstrated consistently superior predictive performance relative to</w:t>
      </w:r>
      <w:r>
        <w:t xml:space="preserve"> </w:t>
      </w:r>
      <w:r>
        <w:t xml:space="preserve">classical parametric approaches such as COCOMO II and</w:t>
      </w:r>
      <w:r>
        <w:t xml:space="preserve"> </w:t>
      </w:r>
      <w:r>
        <w:t xml:space="preserve">single-model baselines.</w:t>
      </w:r>
      <w:r>
        <w:t xml:space="preserve"> </w:t>
      </w:r>
      <w:r>
        <w:t xml:space="preserve">The capacity of variance-reducing ensembles to capture</w:t>
      </w:r>
      <w:r>
        <w:t xml:space="preserve"> </w:t>
      </w:r>
      <w:r>
        <w:t xml:space="preserve">non-linear scaling behaviors, while maintaining interpretable variable importance,</w:t>
      </w:r>
      <w:r>
        <w:t xml:space="preserve"> </w:t>
      </w:r>
      <w:r>
        <w:t xml:space="preserve">underscores their suitability for heterogeneous software project data.</w:t>
      </w:r>
      <w:r>
        <w:t xml:space="preserve"> </w:t>
      </w:r>
      <w:r>
        <w:t xml:space="preserve">Meanwhile, the</w:t>
      </w:r>
      <w:r>
        <w:t xml:space="preserve"> </w:t>
      </w:r>
      <w:r>
        <w:rPr>
          <w:bCs/>
          <w:b/>
        </w:rPr>
        <w:t xml:space="preserve">Enhanced COCOMO II</w:t>
      </w:r>
      <w:r>
        <w:t xml:space="preserve"> </w:t>
      </w:r>
      <w:r>
        <w:t xml:space="preserve">configuration</w:t>
      </w:r>
      <w:r>
        <w:t xml:space="preserve"> </w:t>
      </w:r>
      <w:r>
        <w:t xml:space="preserve">achieved competitive accuracy with full transparency,</w:t>
      </w:r>
      <w:r>
        <w:t xml:space="preserve"> </w:t>
      </w:r>
      <w:r>
        <w:t xml:space="preserve">highlighting a practical middle ground between interpretability and performance.</w:t>
      </w:r>
      <w:r>
        <w:t xml:space="preserve"> </w:t>
      </w:r>
      <w:r>
        <w:t xml:space="preserve">These results corroborate findings in recent literature</w:t>
      </w:r>
      <w:r>
        <w:t xml:space="preserve"> </w:t>
      </w:r>
      <w:r>
        <w:t xml:space="preserve">on hybrid and ensemble-based effort estimation </w:t>
      </w:r>
      <w:r>
        <w:t xml:space="preserve">.</w:t>
      </w:r>
    </w:p>
    <w:bookmarkEnd w:id="113"/>
    <w:bookmarkStart w:id="114" w:name="reproducibility-framework."/>
    <w:p>
      <w:pPr>
        <w:pStyle w:val="Heading4"/>
      </w:pPr>
      <w:r>
        <w:t xml:space="preserve">Reproducibility Framework.</w:t>
      </w:r>
    </w:p>
    <w:p>
      <w:pPr>
        <w:pStyle w:val="FirstParagraph"/>
      </w:pPr>
      <w:r>
        <w:t xml:space="preserve">Reproducibility was enforced through standardized data harmonization,</w:t>
      </w:r>
      <w:r>
        <w:t xml:space="preserve"> </w:t>
      </w:r>
      <w:r>
        <w:t xml:space="preserve">deterministic preprocessing pipelines, fixed random seeds,</w:t>
      </w:r>
      <w:r>
        <w:t xml:space="preserve"> </w:t>
      </w:r>
      <w:r>
        <w:t xml:space="preserve">and structured experiment logging.</w:t>
      </w:r>
      <w:r>
        <w:t xml:space="preserve"> </w:t>
      </w:r>
      <w:r>
        <w:t xml:space="preserve">All code, configurations, and harmonized datasets follow a unified directory layout,</w:t>
      </w:r>
      <w:r>
        <w:t xml:space="preserve"> </w:t>
      </w:r>
      <w:r>
        <w:t xml:space="preserve">allowing deterministic re-execution on commodity hardware</w:t>
      </w:r>
      <w:r>
        <w:t xml:space="preserve"> </w:t>
      </w:r>
      <w:r>
        <w:t xml:space="preserve">without GPU dependencies.</w:t>
      </w:r>
      <w:r>
        <w:t xml:space="preserve"> </w:t>
      </w:r>
      <w:r>
        <w:t xml:space="preserve">This design aligns with recommended best practices in empirical software engineering</w:t>
      </w:r>
      <w:r>
        <w:t xml:space="preserve"> </w:t>
      </w:r>
      <w:r>
        <w:t xml:space="preserve">for conducting transparent and repeatable experimental studies </w:t>
      </w:r>
      <w:r>
        <w:t xml:space="preserve">.</w:t>
      </w:r>
      <w:r>
        <w:t xml:space="preserve"> </w:t>
      </w:r>
      <w:r>
        <w:t xml:space="preserve">The unified schema further supports future comparison studies</w:t>
      </w:r>
      <w:r>
        <w:t xml:space="preserve"> </w:t>
      </w:r>
      <w:r>
        <w:t xml:space="preserve">by ensuring consistent feature representations across LOC, FP, and UCP data sources.</w:t>
      </w:r>
    </w:p>
    <w:bookmarkEnd w:id="114"/>
    <w:bookmarkStart w:id="115" w:name="future-directions."/>
    <w:p>
      <w:pPr>
        <w:pStyle w:val="Heading4"/>
      </w:pPr>
      <w:r>
        <w:t xml:space="preserve">Future Directions.</w:t>
      </w:r>
    </w:p>
    <w:p>
      <w:pPr>
        <w:pStyle w:val="FirstParagraph"/>
      </w:pPr>
      <w:r>
        <w:t xml:space="preserve">Promising extensions of this research include:</w:t>
      </w:r>
      <w:r>
        <w:t xml:space="preserve"> </w:t>
      </w:r>
      <w:r>
        <w:t xml:space="preserve">(i) enriching datasets with industrial metadata such as DevOps telemetry,</w:t>
      </w:r>
      <w:r>
        <w:t xml:space="preserve"> </w:t>
      </w:r>
      <w:r>
        <w:t xml:space="preserve">team productivity indicators, and repository signals;</w:t>
      </w:r>
      <w:r>
        <w:t xml:space="preserve"> </w:t>
      </w:r>
      <w:r>
        <w:t xml:space="preserve">(ii) incorporating process-level features (e.g., issue churn, code volatility);</w:t>
      </w:r>
      <w:r>
        <w:t xml:space="preserve"> </w:t>
      </w:r>
      <w:r>
        <w:t xml:space="preserve">(iii) adopting transfer learning and domain adaptation </w:t>
      </w:r>
      <w:r>
        <w:t xml:space="preserve"> </w:t>
      </w:r>
      <w:r>
        <w:t xml:space="preserve">to enhance cross-organizational robustness; and</w:t>
      </w:r>
      <w:r>
        <w:t xml:space="preserve"> </w:t>
      </w:r>
      <w:r>
        <w:t xml:space="preserve">(iv) deploying ensemble estimators in real project management environments</w:t>
      </w:r>
      <w:r>
        <w:t xml:space="preserve"> </w:t>
      </w:r>
      <w:r>
        <w:t xml:space="preserve">for continuous calibration and real-time forecasting.</w:t>
      </w:r>
      <w:r>
        <w:t xml:space="preserve"> </w:t>
      </w:r>
      <w:r>
        <w:t xml:space="preserve">Such directions will help close the gap between academic research</w:t>
      </w:r>
      <w:r>
        <w:t xml:space="preserve"> </w:t>
      </w:r>
      <w:r>
        <w:t xml:space="preserve">and operational project decision-making.</w:t>
      </w:r>
    </w:p>
    <w:bookmarkEnd w:id="115"/>
    <w:bookmarkStart w:id="119" w:name="closing-remarks."/>
    <w:p>
      <w:pPr>
        <w:pStyle w:val="Heading4"/>
      </w:pPr>
      <w:r>
        <w:t xml:space="preserve">Closing Remarks.</w:t>
      </w:r>
    </w:p>
    <w:p>
      <w:pPr>
        <w:pStyle w:val="FirstParagraph"/>
      </w:pPr>
      <w:r>
        <w:t xml:space="preserve">The unified framework proposed in this study provides a reproducible,</w:t>
      </w:r>
      <w:r>
        <w:t xml:space="preserve"> </w:t>
      </w:r>
      <w:r>
        <w:t xml:space="preserve">transparent, and extensible foundation for cross-schema benchmarking</w:t>
      </w:r>
      <w:r>
        <w:t xml:space="preserve"> </w:t>
      </w:r>
      <w:r>
        <w:t xml:space="preserve">in software effort estimation.</w:t>
      </w:r>
      <w:r>
        <w:t xml:space="preserve"> </w:t>
      </w:r>
      <w:r>
        <w:t xml:space="preserve">By integrating methodological rigor, schema harmonization,</w:t>
      </w:r>
      <w:r>
        <w:t xml:space="preserve"> </w:t>
      </w:r>
      <w:r>
        <w:t xml:space="preserve">and comprehensive evaluation,</w:t>
      </w:r>
      <w:r>
        <w:t xml:space="preserve"> </w:t>
      </w:r>
      <w:r>
        <w:t xml:space="preserve">this work moves toward a</w:t>
      </w:r>
      <w:r>
        <w:t xml:space="preserve"> </w:t>
      </w:r>
      <w:r>
        <w:rPr>
          <w:iCs/>
          <w:i/>
        </w:rPr>
        <w:t xml:space="preserve">living estimation system</w:t>
      </w:r>
      <w:r>
        <w:t xml:space="preserve">—one that evolves</w:t>
      </w:r>
      <w:r>
        <w:t xml:space="preserve"> </w:t>
      </w:r>
      <w:r>
        <w:t xml:space="preserve">with new telemetry and real-world project dynamics.</w:t>
      </w:r>
      <w:r>
        <w:t xml:space="preserve"> </w:t>
      </w:r>
      <w:r>
        <w:t xml:space="preserve">We hope this framework will support practitioners, researchers,</w:t>
      </w:r>
      <w:r>
        <w:t xml:space="preserve"> </w:t>
      </w:r>
      <w:r>
        <w:t xml:space="preserve">and tool builders in creating more adaptive,</w:t>
      </w:r>
      <w:r>
        <w:t xml:space="preserve"> </w:t>
      </w:r>
      <w:r>
        <w:t xml:space="preserve">evidence-based estimation solutions.</w:t>
      </w:r>
    </w:p>
    <w:p>
      <w:pPr>
        <w:pStyle w:val="BodyText"/>
      </w:pPr>
      <w:r>
        <w:drawing>
          <wp:inline>
            <wp:extent cx="5334000" cy="3635309"/>
            <wp:effectExtent b="0" l="0" r="0" t="0"/>
            <wp:docPr descr="image" title="" id="117" name="Picture"/>
            <a:graphic>
              <a:graphicData uri="http://schemas.openxmlformats.org/drawingml/2006/picture">
                <pic:pic>
                  <pic:nvPicPr>
                    <pic:cNvPr descr="figures/conclusion_framework.png" id="118" name="Picture"/>
                    <pic:cNvPicPr>
                      <a:picLocks noChangeArrowheads="1" noChangeAspect="1"/>
                    </pic:cNvPicPr>
                  </pic:nvPicPr>
                  <pic:blipFill>
                    <a:blip r:embed="rId116"/>
                    <a:stretch>
                      <a:fillRect/>
                    </a:stretch>
                  </pic:blipFill>
                  <pic:spPr bwMode="auto">
                    <a:xfrm>
                      <a:off x="0" y="0"/>
                      <a:ext cx="5334000" cy="3635309"/>
                    </a:xfrm>
                    <a:prstGeom prst="rect">
                      <a:avLst/>
                    </a:prstGeom>
                    <a:noFill/>
                    <a:ln w="9525">
                      <a:noFill/>
                      <a:headEnd/>
                      <a:tailEnd/>
                    </a:ln>
                  </pic:spPr>
                </pic:pic>
              </a:graphicData>
            </a:graphic>
          </wp:inline>
        </w:drawing>
      </w:r>
    </w:p>
    <w:bookmarkEnd w:id="119"/>
    <w:bookmarkEnd w:id="120"/>
    <w:bookmarkStart w:id="125" w:name="data-availability"/>
    <w:p>
      <w:pPr>
        <w:pStyle w:val="Heading1"/>
      </w:pPr>
      <w:r>
        <w:t xml:space="preserve">Data Availability</w:t>
      </w:r>
    </w:p>
    <w:p>
      <w:pPr>
        <w:pStyle w:val="FirstParagraph"/>
      </w:pPr>
      <w:r>
        <w:t xml:space="preserve">All datasets used in this study are publicly available and were collected from</w:t>
      </w:r>
      <w:r>
        <w:t xml:space="preserve"> </w:t>
      </w:r>
      <w:r>
        <w:t xml:space="preserve">open-access software engineering repositories. No proprietary or private data were used.</w:t>
      </w:r>
      <w:r>
        <w:t xml:space="preserve"> </w:t>
      </w:r>
      <w:r>
        <w:t xml:space="preserve">The final harmonized dataset was constructed by integrating three schema-specific</w:t>
      </w:r>
      <w:r>
        <w:t xml:space="preserve"> </w:t>
      </w:r>
      <w:r>
        <w:t xml:space="preserve">sources: LOC-based datasets, Function Point datasets, and Use Case Point datasets.</w:t>
      </w:r>
    </w:p>
    <w:p>
      <w:pPr>
        <w:pStyle w:val="BodyText"/>
      </w:pPr>
      <w:r>
        <w:t xml:space="preserve">Public sources include:</w:t>
      </w:r>
    </w:p>
    <w:p>
      <w:pPr>
        <w:numPr>
          <w:ilvl w:val="0"/>
          <w:numId w:val="1005"/>
        </w:numPr>
      </w:pPr>
      <w:r>
        <w:rPr>
          <w:bCs/>
          <w:b/>
        </w:rPr>
        <w:t xml:space="preserve">DASE – Data Analysis in Software Engineering</w:t>
      </w:r>
      <w:r>
        <w:t xml:space="preserve"> </w:t>
      </w:r>
      <w:hyperlink r:id="rId121">
        <w:r>
          <w:rPr>
            <w:rStyle w:val="Hyperlink"/>
          </w:rPr>
          <w:t xml:space="preserve">https://github.com/danrodgar/DASE</w:t>
        </w:r>
      </w:hyperlink>
    </w:p>
    <w:p>
      <w:pPr>
        <w:numPr>
          <w:ilvl w:val="0"/>
          <w:numId w:val="1005"/>
        </w:numPr>
      </w:pPr>
      <w:r>
        <w:rPr>
          <w:bCs/>
          <w:b/>
        </w:rPr>
        <w:t xml:space="preserve">Software Estimation Datasets (Derek Jones)</w:t>
      </w:r>
      <w:r>
        <w:t xml:space="preserve"> </w:t>
      </w:r>
      <w:hyperlink r:id="rId122">
        <w:r>
          <w:rPr>
            <w:rStyle w:val="Hyperlink"/>
          </w:rPr>
          <w:t xml:space="preserve">https://github.com/Derek-Jones/Software-estimation-datasets</w:t>
        </w:r>
      </w:hyperlink>
    </w:p>
    <w:p>
      <w:pPr>
        <w:numPr>
          <w:ilvl w:val="0"/>
          <w:numId w:val="1005"/>
        </w:numPr>
      </w:pPr>
      <w:r>
        <w:rPr>
          <w:bCs/>
          <w:b/>
        </w:rPr>
        <w:t xml:space="preserve">Software Project Development Estimator (Freeman et al.)</w:t>
      </w:r>
      <w:r>
        <w:t xml:space="preserve"> </w:t>
      </w:r>
      <w:hyperlink r:id="rId123">
        <w:r>
          <w:rPr>
            <w:rStyle w:val="Hyperlink"/>
          </w:rPr>
          <w:t xml:space="preserve">https://github.com/Freeman-md/software-project-development-estimator</w:t>
        </w:r>
      </w:hyperlink>
    </w:p>
    <w:p>
      <w:pPr>
        <w:numPr>
          <w:ilvl w:val="0"/>
          <w:numId w:val="1005"/>
        </w:numPr>
      </w:pPr>
      <w:r>
        <w:rPr>
          <w:bCs/>
          <w:b/>
        </w:rPr>
        <w:t xml:space="preserve">ISBSG-derived FP dataset / Pre-trained Model (Huynh et al.)</w:t>
      </w:r>
      <w:r>
        <w:t xml:space="preserve"> </w:t>
      </w:r>
      <w:hyperlink r:id="rId124">
        <w:r>
          <w:rPr>
            <w:rStyle w:val="Hyperlink"/>
          </w:rPr>
          <w:t xml:space="preserve">https://github.com/huynhhoc/effort-estimation-by-using-pre-trained-model</w:t>
        </w:r>
      </w:hyperlink>
    </w:p>
    <w:p>
      <w:pPr>
        <w:pStyle w:val="FirstParagraph"/>
      </w:pPr>
      <w:r>
        <w:t xml:space="preserve">Each repository provides schema-specific project records (LOC, FP, or UCP) with</w:t>
      </w:r>
      <w:r>
        <w:t xml:space="preserve"> </w:t>
      </w:r>
      <w:r>
        <w:t xml:space="preserve">effort values in hours or person-months. The author merged these records into a unified</w:t>
      </w:r>
      <w:r>
        <w:t xml:space="preserve"> </w:t>
      </w:r>
      <w:r>
        <w:t xml:space="preserve">schema by standardizing effort units, normalizing size metrics, and removing duplicates.</w:t>
      </w:r>
      <w:r>
        <w:t xml:space="preserve"> </w:t>
      </w:r>
      <w:r>
        <w:t xml:space="preserve">Illustrative examples of the integrated dataset include FP-based samples (Desharnais),</w:t>
      </w:r>
      <w:r>
        <w:t xml:space="preserve"> </w:t>
      </w:r>
      <w:r>
        <w:t xml:space="preserve">LOC samples (e.g., project_id/loc/kloc/effort_pm), and UCP samples (Silhavy et al.).</w:t>
      </w:r>
    </w:p>
    <w:p>
      <w:pPr>
        <w:pStyle w:val="BodyText"/>
      </w:pPr>
      <w:r>
        <w:t xml:space="preserve">The harmonized dataset and preprocessing scripts can be obtained from the corresponding</w:t>
      </w:r>
      <w:r>
        <w:t xml:space="preserve"> </w:t>
      </w:r>
      <w:r>
        <w:t xml:space="preserve">author upon reasonable request. All data used in this work are anonymized and contain no</w:t>
      </w:r>
      <w:r>
        <w:t xml:space="preserve"> </w:t>
      </w:r>
      <w:r>
        <w:t xml:space="preserve">personal or sensitive information.</w:t>
      </w:r>
    </w:p>
    <w:bookmarkEnd w:id="125"/>
    <w:bookmarkStart w:id="126" w:name="funding"/>
    <w:p>
      <w:pPr>
        <w:pStyle w:val="Heading1"/>
      </w:pPr>
      <w:r>
        <w:t xml:space="preserve">Funding</w:t>
      </w:r>
    </w:p>
    <w:p>
      <w:pPr>
        <w:pStyle w:val="FirstParagraph"/>
      </w:pPr>
      <w:r>
        <w:t xml:space="preserve">This research received no specific grant from any funding agency in the public,</w:t>
      </w:r>
      <w:r>
        <w:t xml:space="preserve"> </w:t>
      </w:r>
      <w:r>
        <w:t xml:space="preserve">commercial, or not-for-profit sectors.</w:t>
      </w:r>
    </w:p>
    <w:bookmarkEnd w:id="126"/>
    <w:bookmarkStart w:id="127" w:name="competing-interests"/>
    <w:p>
      <w:pPr>
        <w:pStyle w:val="Heading1"/>
      </w:pPr>
      <w:r>
        <w:t xml:space="preserve">Competing Interests</w:t>
      </w:r>
    </w:p>
    <w:p>
      <w:pPr>
        <w:pStyle w:val="FirstParagraph"/>
      </w:pPr>
      <w:r>
        <w:t xml:space="preserve">The authors declare that they have no competing interests.</w:t>
      </w:r>
    </w:p>
    <w:bookmarkEnd w:id="127"/>
    <w:bookmarkStart w:id="128" w:name="Xd182db0490b2de20bd2b4e4cc8698599182035f"/>
    <w:p>
      <w:pPr>
        <w:pStyle w:val="Heading1"/>
      </w:pPr>
      <w:r>
        <w:t xml:space="preserve">Ethics Approval and Consent to Participate</w:t>
      </w:r>
    </w:p>
    <w:p>
      <w:pPr>
        <w:pStyle w:val="FirstParagraph"/>
      </w:pPr>
      <w:r>
        <w:t xml:space="preserve">This study uses only publicly available, fully anonymized datasets.</w:t>
      </w:r>
      <w:r>
        <w:t xml:space="preserve"> </w:t>
      </w:r>
      <w:r>
        <w:t xml:space="preserve">No human participants or personal data were involved; therefore,</w:t>
      </w:r>
      <w:r>
        <w:t xml:space="preserve"> </w:t>
      </w:r>
      <w:r>
        <w:t xml:space="preserve">ethics approval and formal consent were not required.</w:t>
      </w:r>
    </w:p>
    <w:bookmarkEnd w:id="128"/>
    <w:bookmarkStart w:id="129" w:name="consent-for-publication"/>
    <w:p>
      <w:pPr>
        <w:pStyle w:val="Heading1"/>
      </w:pPr>
      <w:r>
        <w:t xml:space="preserve">Consent for Publication</w:t>
      </w:r>
    </w:p>
    <w:p>
      <w:pPr>
        <w:pStyle w:val="FirstParagraph"/>
      </w:pPr>
      <w:r>
        <w:t xml:space="preserve">Not applicable.</w:t>
      </w:r>
    </w:p>
    <w:bookmarkEnd w:id="129"/>
    <w:bookmarkStart w:id="130" w:name="authors-contributions"/>
    <w:p>
      <w:pPr>
        <w:pStyle w:val="Heading1"/>
      </w:pPr>
      <w:r>
        <w:t xml:space="preserve">Authors’ Contributions</w:t>
      </w:r>
    </w:p>
    <w:p>
      <w:pPr>
        <w:pStyle w:val="FirstParagraph"/>
      </w:pPr>
      <w:r>
        <w:rPr>
          <w:bCs/>
          <w:b/>
        </w:rPr>
        <w:t xml:space="preserve">Nguyen Nhat Huy</w:t>
      </w:r>
      <w:r>
        <w:t xml:space="preserve">: Conceptualization, Dataset Preparation, Methodology, Software Development,</w:t>
      </w:r>
      <w:r>
        <w:t xml:space="preserve"> </w:t>
      </w:r>
      <w:r>
        <w:t xml:space="preserve">Experiments, Formal Analysis, Visualization, Writing – Original Draft.</w:t>
      </w:r>
    </w:p>
    <w:p>
      <w:pPr>
        <w:pStyle w:val="BodyText"/>
      </w:pPr>
      <w:r>
        <w:rPr>
          <w:bCs/>
          <w:b/>
        </w:rPr>
        <w:t xml:space="preserve">Duc Man Nguyen</w:t>
      </w:r>
      <w:r>
        <w:t xml:space="preserve">: Supervision, Technical Guidance, Methodology Refinement,</w:t>
      </w:r>
      <w:r>
        <w:t xml:space="preserve"> </w:t>
      </w:r>
      <w:r>
        <w:t xml:space="preserve">Writing – Review &amp; Editing.</w:t>
      </w:r>
    </w:p>
    <w:p>
      <w:pPr>
        <w:pStyle w:val="BodyText"/>
      </w:pPr>
      <w:r>
        <w:rPr>
          <w:bCs/>
          <w:b/>
        </w:rPr>
        <w:t xml:space="preserve">Dang Nhat Minh</w:t>
      </w:r>
      <w:r>
        <w:t xml:space="preserve">: Data Curation, Feature Engineering Support, Implementation Assistance,</w:t>
      </w:r>
      <w:r>
        <w:t xml:space="preserve"> </w:t>
      </w:r>
      <w:r>
        <w:t xml:space="preserve">Writing – Editing.</w:t>
      </w:r>
    </w:p>
    <w:p>
      <w:pPr>
        <w:pStyle w:val="BodyText"/>
      </w:pPr>
      <w:r>
        <w:rPr>
          <w:bCs/>
          <w:b/>
        </w:rPr>
        <w:t xml:space="preserve">Nguyen Thuy Giang</w:t>
      </w:r>
      <w:r>
        <w:t xml:space="preserve">: Resources, Validation, Consistency Checking, Documentation Support.</w:t>
      </w:r>
    </w:p>
    <w:p>
      <w:pPr>
        <w:pStyle w:val="BodyText"/>
      </w:pPr>
      <w:r>
        <w:rPr>
          <w:bCs/>
          <w:b/>
        </w:rPr>
        <w:t xml:space="preserve">P. W. C. Prasad</w:t>
      </w:r>
      <w:r>
        <w:t xml:space="preserve">: Senior Supervision, Project Administration, Strategic Direction,</w:t>
      </w:r>
      <w:r>
        <w:t xml:space="preserve"> </w:t>
      </w:r>
      <w:r>
        <w:t xml:space="preserve">Final Approval of the Manuscript.</w:t>
      </w:r>
    </w:p>
    <w:p>
      <w:pPr>
        <w:pStyle w:val="BodyText"/>
      </w:pPr>
      <w:r>
        <w:rPr>
          <w:bCs/>
          <w:b/>
        </w:rPr>
        <w:t xml:space="preserve">Md Shohel Sayeed (Corresponding Author)</w:t>
      </w:r>
      <w:r>
        <w:t xml:space="preserve">: Validation, Technical Review, Writing – Review &amp; Editing,</w:t>
      </w:r>
      <w:r>
        <w:t xml:space="preserve"> </w:t>
      </w:r>
      <w:r>
        <w:t xml:space="preserve">Final Manuscript Coordination.</w:t>
      </w:r>
    </w:p>
    <w:p>
      <w:pPr>
        <w:pStyle w:val="BodyText"/>
      </w:pPr>
      <w:r>
        <w:t xml:space="preserve">All authors read and approved the final manuscript.</w:t>
      </w:r>
    </w:p>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63" Target="media/rId63.png" /><Relationship Type="http://schemas.openxmlformats.org/officeDocument/2006/relationships/image" Id="rId116" Target="media/rId116.png" /><Relationship Type="http://schemas.openxmlformats.org/officeDocument/2006/relationships/image" Id="rId58" Target="media/rId58.png" /><Relationship Type="http://schemas.openxmlformats.org/officeDocument/2006/relationships/image" Id="rId43" Target="media/rId43.png" /><Relationship Type="http://schemas.openxmlformats.org/officeDocument/2006/relationships/image" Id="rId88" Target="media/rId88.png" /><Relationship Type="http://schemas.openxmlformats.org/officeDocument/2006/relationships/image" Id="rId46" Target="media/rId46.png" /><Relationship Type="http://schemas.openxmlformats.org/officeDocument/2006/relationships/image" Id="rId108" Target="media/rId108.png" /><Relationship Type="http://schemas.openxmlformats.org/officeDocument/2006/relationships/image" Id="rId55" Target="media/rId55.png" /><Relationship Type="http://schemas.openxmlformats.org/officeDocument/2006/relationships/image" Id="rId38" Target="media/rId38.png" /><Relationship Type="http://schemas.openxmlformats.org/officeDocument/2006/relationships/image" Id="rId52" Target="media/rId52.png" /><Relationship Type="http://schemas.openxmlformats.org/officeDocument/2006/relationships/hyperlink" Id="rId122" Target="https://github.com/Derek-Jones/Software-estimation-datasets" TargetMode="External" /><Relationship Type="http://schemas.openxmlformats.org/officeDocument/2006/relationships/hyperlink" Id="rId123" Target="https://github.com/Freeman-md/software-project-development-estimator" TargetMode="External" /><Relationship Type="http://schemas.openxmlformats.org/officeDocument/2006/relationships/hyperlink" Id="rId121" Target="https://github.com/danrodgar/DASE" TargetMode="External" /><Relationship Type="http://schemas.openxmlformats.org/officeDocument/2006/relationships/hyperlink" Id="rId124" Target="https://github.com/huynhhoc/effort-estimation-by-using-pre-trained-model" TargetMode="External" /></Relationships>
</file>

<file path=word/_rels/footnotes.xml.rels><?xml version="1.0" encoding="UTF-8"?><Relationships xmlns="http://schemas.openxmlformats.org/package/2006/relationships"><Relationship Type="http://schemas.openxmlformats.org/officeDocument/2006/relationships/hyperlink" Id="rId122" Target="https://github.com/Derek-Jones/Software-estimation-datasets" TargetMode="External" /><Relationship Type="http://schemas.openxmlformats.org/officeDocument/2006/relationships/hyperlink" Id="rId123" Target="https://github.com/Freeman-md/software-project-development-estimator" TargetMode="External" /><Relationship Type="http://schemas.openxmlformats.org/officeDocument/2006/relationships/hyperlink" Id="rId121" Target="https://github.com/danrodgar/DASE" TargetMode="External" /><Relationship Type="http://schemas.openxmlformats.org/officeDocument/2006/relationships/hyperlink" Id="rId124" Target="https://github.com/huynhhoc/effort-estimation-by-using-pre-trained-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Insightimate: Enhancing Software Effort Estimation Accuracy Using Machine Learning Across Three Schemas (LOC/FP/UCP)</dc:title>
  <dc:creator>Nguyen Nhat Huy1, Duc Man Nguyen1, Dang Nhat Minh1, Nguyen Thuy Giang1, P. W. C. Prasad1, Md Shohel Sayeed2,*</dc:creator>
  <cp:keywords/>
  <dcterms:created xsi:type="dcterms:W3CDTF">2025-11-19T03:15:50Z</dcterms:created>
  <dcterms:modified xsi:type="dcterms:W3CDTF">2025-11-19T03:15:50Z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 estimation of software development effort remains a longstanding challenge in project management, particularly as contemporary projects exhibit greater heterogeneity in scale, methodology, and complexity. While traditional parametric models such as COCOMO II offer interpretability, their fixed functional forms often underfit diverse modern datasets. This paper proposes a unified machine-learning–based framework designed to improve estimation accuracy across three widely used sizing schemas: Lines of Code (LOC), Function Points (FP), and Use Case Points (UCP). The framework integrates standardized preprocessing, schema-specific feature engineering, and a set of representative regression models, including Linear Regression, Decision Tree, Random Forest, and Gradient Boosting. Using publicly available datasets collected from prior studies spanning 1993–2022, we conduct a comprehensive evaluation based on established effort-estimation metrics (MMRE, PRED(25), MAE, RMSE, and R^2). Experimental results show that Random Forest achieves the best overall performance (MMRE \approx 0.647; PRED(25) \approx 0.395), substantially outperforming COCOMO II, which exhibits poor predictive accuracy on heterogeneous datasets (MMRE \approx 2.790; PRED(25) \approx 0.012). In addition, we perform a schema-by-schema comparison to highlight the sensitivity of different models to LOC, FP, and UCP representations. The findings demonstrate that data-driven approaches generalize more effectively across diverse project contexts, offering actionable insights for practitioners seeking reliable and scalable software effort estimation.</vt:lpwstr>
  </property>
  <property fmtid="{D5CDD505-2E9C-101B-9397-08002B2CF9AE}" pid="3" name="bibliography">
    <vt:lpwstr>refs.bib</vt:lpwstr>
  </property>
  <property fmtid="{D5CDD505-2E9C-101B-9397-08002B2CF9AE}" pid="4" name="date">
    <vt:lpwstr/>
  </property>
</Properties>
</file>