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A29C4" w14:textId="77777777" w:rsidR="008F2E23" w:rsidRPr="00035C3B" w:rsidRDefault="00B55C08" w:rsidP="00035C3B">
      <w:pPr>
        <w:pStyle w:val="Title"/>
      </w:pPr>
      <w:r>
        <w:t>How the 2022–23 Budget is investing in cancer prevention</w:t>
      </w:r>
      <w:r w:rsidR="00404A5E">
        <w:t>, diagnosis</w:t>
      </w:r>
      <w:r>
        <w:t xml:space="preserve"> and treatment</w:t>
      </w:r>
    </w:p>
    <w:p w14:paraId="5490E7F1" w14:textId="1CDA8E6C" w:rsidR="00B55C08" w:rsidRPr="00413995" w:rsidRDefault="00B55C08" w:rsidP="00B55C08">
      <w:pPr>
        <w:pStyle w:val="IntroPara"/>
        <w:rPr>
          <w:rFonts w:eastAsia="MS Mincho"/>
        </w:rPr>
      </w:pPr>
      <w:r w:rsidRPr="00403E5A">
        <w:rPr>
          <w:rFonts w:eastAsia="MS Mincho"/>
          <w:lang w:val="en-US"/>
        </w:rPr>
        <w:t xml:space="preserve">The Australian Government </w:t>
      </w:r>
      <w:r>
        <w:rPr>
          <w:rFonts w:eastAsia="MS Mincho"/>
          <w:lang w:val="en-US"/>
        </w:rPr>
        <w:t>is</w:t>
      </w:r>
      <w:r w:rsidRPr="00403E5A">
        <w:rPr>
          <w:rFonts w:eastAsia="MS Mincho"/>
          <w:lang w:val="en-US"/>
        </w:rPr>
        <w:t xml:space="preserve"> </w:t>
      </w:r>
      <w:r w:rsidRPr="00413995">
        <w:rPr>
          <w:rFonts w:eastAsia="MS Mincho"/>
          <w:lang w:val="en-US"/>
        </w:rPr>
        <w:t>investing $</w:t>
      </w:r>
      <w:r w:rsidR="00AC3F7E" w:rsidRPr="00413995">
        <w:rPr>
          <w:rFonts w:eastAsia="MS Mincho"/>
          <w:lang w:val="en-US"/>
        </w:rPr>
        <w:t>893.5</w:t>
      </w:r>
      <w:r w:rsidR="00C20E4B" w:rsidRPr="00413995">
        <w:rPr>
          <w:rFonts w:eastAsia="MS Mincho"/>
          <w:lang w:val="en-US"/>
        </w:rPr>
        <w:t xml:space="preserve"> </w:t>
      </w:r>
      <w:r w:rsidRPr="00413995">
        <w:rPr>
          <w:rFonts w:eastAsia="MS Mincho"/>
          <w:lang w:val="en-US"/>
        </w:rPr>
        <w:t xml:space="preserve">million in services that will improve the health outcomes and survival rates of Australians from a range of life-threatening cancers, by building state-of-the-art cancer treatment </w:t>
      </w:r>
      <w:proofErr w:type="spellStart"/>
      <w:r w:rsidRPr="00413995">
        <w:rPr>
          <w:rFonts w:eastAsia="MS Mincho"/>
          <w:lang w:val="en-US"/>
        </w:rPr>
        <w:t>centres</w:t>
      </w:r>
      <w:proofErr w:type="spellEnd"/>
      <w:r w:rsidRPr="00413995">
        <w:rPr>
          <w:rFonts w:eastAsia="MS Mincho"/>
          <w:lang w:val="en-US"/>
        </w:rPr>
        <w:t xml:space="preserve"> and ensuring Australians catch up on</w:t>
      </w:r>
      <w:r w:rsidRPr="00413995">
        <w:rPr>
          <w:rFonts w:eastAsia="MS Mincho"/>
        </w:rPr>
        <w:t xml:space="preserve"> testing, screening and treatment of cancers impacted through the COVID-19 pandemic.</w:t>
      </w:r>
      <w:r w:rsidR="00BE378D" w:rsidRPr="00413995">
        <w:rPr>
          <w:rFonts w:eastAsia="MS Mincho"/>
        </w:rPr>
        <w:t xml:space="preserve"> </w:t>
      </w:r>
    </w:p>
    <w:p w14:paraId="561EFB0A" w14:textId="77777777" w:rsidR="00B55C08" w:rsidRPr="00413995" w:rsidRDefault="00B55C08" w:rsidP="00B55C08">
      <w:pPr>
        <w:pStyle w:val="IntroPara"/>
        <w:rPr>
          <w:rFonts w:eastAsia="MS Mincho"/>
        </w:rPr>
      </w:pPr>
      <w:r w:rsidRPr="00413995">
        <w:rPr>
          <w:rFonts w:eastAsia="MS Mincho"/>
        </w:rPr>
        <w:t xml:space="preserve">Early detection and intervention is a critical step in improving cancer survival rates, enabling earlier, more effective and less invasive treatments, and reducing long term costs on the health system. </w:t>
      </w:r>
    </w:p>
    <w:p w14:paraId="7D919D73" w14:textId="60873A5C" w:rsidR="00B55C08" w:rsidRDefault="00434B23" w:rsidP="00B55C08">
      <w:pPr>
        <w:pStyle w:val="IntroPara"/>
        <w:rPr>
          <w:rFonts w:eastAsia="MS Mincho" w:cs="Arial"/>
          <w:szCs w:val="23"/>
          <w:lang w:val="en-US"/>
        </w:rPr>
      </w:pPr>
      <w:r w:rsidRPr="00413995">
        <w:rPr>
          <w:rFonts w:eastAsia="MS Mincho" w:cs="Arial"/>
          <w:szCs w:val="23"/>
          <w:lang w:val="en-US"/>
        </w:rPr>
        <w:t>Since 2013</w:t>
      </w:r>
      <w:r w:rsidR="00B55C08" w:rsidRPr="00413995">
        <w:rPr>
          <w:rFonts w:eastAsia="MS Mincho" w:cs="Arial"/>
          <w:szCs w:val="23"/>
          <w:lang w:val="en-US"/>
        </w:rPr>
        <w:t>–1</w:t>
      </w:r>
      <w:r w:rsidRPr="00413995">
        <w:rPr>
          <w:rFonts w:eastAsia="MS Mincho" w:cs="Arial"/>
          <w:szCs w:val="23"/>
          <w:lang w:val="en-US"/>
        </w:rPr>
        <w:t>4</w:t>
      </w:r>
      <w:r w:rsidR="00B55C08" w:rsidRPr="00413995">
        <w:rPr>
          <w:rFonts w:eastAsia="MS Mincho" w:cs="Arial"/>
          <w:szCs w:val="23"/>
          <w:lang w:val="en-US"/>
        </w:rPr>
        <w:t xml:space="preserve">, the Australian Government’s commitment to addressing the impact of cancer has increased by </w:t>
      </w:r>
      <w:r w:rsidR="00AE532F" w:rsidRPr="00413995">
        <w:rPr>
          <w:rFonts w:eastAsia="MS Mincho" w:cs="Arial"/>
          <w:szCs w:val="23"/>
          <w:lang w:val="en-US"/>
        </w:rPr>
        <w:t>122</w:t>
      </w:r>
      <w:r w:rsidR="00B55C08" w:rsidRPr="00413995">
        <w:rPr>
          <w:rFonts w:eastAsia="MS Mincho" w:cs="Arial"/>
          <w:szCs w:val="23"/>
          <w:lang w:val="en-US"/>
        </w:rPr>
        <w:t>%, growing from $</w:t>
      </w:r>
      <w:r w:rsidRPr="00413995">
        <w:rPr>
          <w:rFonts w:eastAsia="MS Mincho" w:cs="Arial"/>
          <w:szCs w:val="23"/>
          <w:lang w:val="en-US"/>
        </w:rPr>
        <w:t>2.2 billion</w:t>
      </w:r>
      <w:r w:rsidR="00B55C08" w:rsidRPr="00413995">
        <w:rPr>
          <w:rFonts w:eastAsia="MS Mincho" w:cs="Arial"/>
          <w:szCs w:val="23"/>
          <w:lang w:val="en-US"/>
        </w:rPr>
        <w:t xml:space="preserve"> to more than $</w:t>
      </w:r>
      <w:r w:rsidR="00AE532F" w:rsidRPr="00413995">
        <w:rPr>
          <w:rFonts w:eastAsia="MS Mincho" w:cs="Arial"/>
          <w:szCs w:val="23"/>
          <w:lang w:val="en-US"/>
        </w:rPr>
        <w:t>4.9 b</w:t>
      </w:r>
      <w:r w:rsidR="00B55C08" w:rsidRPr="00413995">
        <w:rPr>
          <w:rFonts w:eastAsia="MS Mincho" w:cs="Arial"/>
          <w:szCs w:val="23"/>
          <w:lang w:val="en-US"/>
        </w:rPr>
        <w:t>illion in</w:t>
      </w:r>
      <w:r w:rsidR="00B55C08">
        <w:rPr>
          <w:rFonts w:eastAsia="MS Mincho" w:cs="Arial"/>
          <w:szCs w:val="23"/>
          <w:lang w:val="en-US"/>
        </w:rPr>
        <w:t xml:space="preserve"> </w:t>
      </w:r>
      <w:r w:rsidR="00AE532F">
        <w:rPr>
          <w:rFonts w:eastAsia="MS Mincho" w:cs="Arial"/>
          <w:szCs w:val="23"/>
          <w:lang w:val="en-US"/>
        </w:rPr>
        <w:t>2020-21</w:t>
      </w:r>
      <w:r w:rsidR="00B55C08">
        <w:rPr>
          <w:rFonts w:eastAsia="MS Mincho" w:cs="Arial"/>
          <w:szCs w:val="23"/>
          <w:lang w:val="en-US"/>
        </w:rPr>
        <w:t>.</w:t>
      </w:r>
    </w:p>
    <w:p w14:paraId="5652376B" w14:textId="77777777" w:rsidR="00B55C08" w:rsidRPr="0024177F" w:rsidRDefault="00B55C08" w:rsidP="00B55C08">
      <w:pPr>
        <w:pStyle w:val="IntroPara"/>
        <w:rPr>
          <w:rFonts w:cs="Arial"/>
          <w:szCs w:val="23"/>
        </w:rPr>
      </w:pPr>
      <w:r>
        <w:rPr>
          <w:rFonts w:cs="Arial"/>
          <w:szCs w:val="23"/>
        </w:rPr>
        <w:t>Over the past decade</w:t>
      </w:r>
      <w:r w:rsidR="00434B23">
        <w:rPr>
          <w:rFonts w:cs="Arial"/>
          <w:szCs w:val="23"/>
        </w:rPr>
        <w:t>,</w:t>
      </w:r>
      <w:r>
        <w:rPr>
          <w:rFonts w:cs="Arial"/>
          <w:szCs w:val="23"/>
        </w:rPr>
        <w:t xml:space="preserve"> significant developments in preventing and </w:t>
      </w:r>
      <w:r w:rsidRPr="00F178F1">
        <w:rPr>
          <w:rFonts w:cs="Arial"/>
          <w:szCs w:val="23"/>
        </w:rPr>
        <w:t>treating cancer</w:t>
      </w:r>
      <w:r>
        <w:rPr>
          <w:rFonts w:cs="Arial"/>
          <w:szCs w:val="23"/>
        </w:rPr>
        <w:t xml:space="preserve"> include</w:t>
      </w:r>
      <w:r w:rsidR="00434B23" w:rsidRPr="00434B23">
        <w:t xml:space="preserve"> </w:t>
      </w:r>
      <w:r w:rsidR="00434B23" w:rsidRPr="00434B23">
        <w:rPr>
          <w:rFonts w:cs="Arial"/>
          <w:szCs w:val="23"/>
        </w:rPr>
        <w:t>expanding Australia’s population based screening programs for br</w:t>
      </w:r>
      <w:r w:rsidR="00434B23">
        <w:rPr>
          <w:rFonts w:cs="Arial"/>
          <w:szCs w:val="23"/>
        </w:rPr>
        <w:t>east, cervical and bowel cancer,</w:t>
      </w:r>
      <w:r w:rsidR="00434B23" w:rsidRPr="00434B23">
        <w:rPr>
          <w:rFonts w:cs="Arial"/>
          <w:szCs w:val="23"/>
        </w:rPr>
        <w:t xml:space="preserve"> increasing access to publicly funded cancer diagnostic and treatment services through the </w:t>
      </w:r>
      <w:r w:rsidR="00434B23">
        <w:rPr>
          <w:rFonts w:cs="Arial"/>
          <w:szCs w:val="23"/>
        </w:rPr>
        <w:t>Medicare Benefits Schedule (MBS)</w:t>
      </w:r>
      <w:r w:rsidR="00434B23" w:rsidRPr="00434B23">
        <w:rPr>
          <w:rFonts w:cs="Arial"/>
          <w:szCs w:val="23"/>
        </w:rPr>
        <w:t xml:space="preserve"> and P</w:t>
      </w:r>
      <w:r w:rsidR="00434B23">
        <w:rPr>
          <w:rFonts w:cs="Arial"/>
          <w:szCs w:val="23"/>
        </w:rPr>
        <w:t>harmaceutical Benefits Scheme (PBS),</w:t>
      </w:r>
      <w:r w:rsidR="00434B23" w:rsidRPr="00434B23">
        <w:rPr>
          <w:rFonts w:cs="Arial"/>
          <w:szCs w:val="23"/>
        </w:rPr>
        <w:t xml:space="preserve"> and investing in cancer research through the Medical Research Future Fund</w:t>
      </w:r>
      <w:r w:rsidR="00434B23">
        <w:rPr>
          <w:rFonts w:cs="Arial"/>
          <w:szCs w:val="23"/>
        </w:rPr>
        <w:t xml:space="preserve">. </w:t>
      </w:r>
    </w:p>
    <w:p w14:paraId="2B24DA6A" w14:textId="77777777" w:rsidR="00B55C08" w:rsidRPr="00FB5100" w:rsidRDefault="00B55C08" w:rsidP="00B55C08">
      <w:pPr>
        <w:pStyle w:val="IntroPara"/>
        <w:rPr>
          <w:rFonts w:eastAsia="MS Mincho"/>
          <w:lang w:val="en-US"/>
        </w:rPr>
      </w:pPr>
      <w:r w:rsidRPr="00FB5100">
        <w:rPr>
          <w:rFonts w:eastAsia="MS Mincho"/>
        </w:rPr>
        <w:t xml:space="preserve">Through the </w:t>
      </w:r>
      <w:r w:rsidRPr="00FB5100">
        <w:rPr>
          <w:rFonts w:eastAsia="MS Mincho"/>
          <w:lang w:val="en-US"/>
        </w:rPr>
        <w:t xml:space="preserve">2022–23 Budget, the Australian Government will invest: </w:t>
      </w:r>
    </w:p>
    <w:p w14:paraId="3FDBE67B" w14:textId="3CE17292" w:rsidR="00B55C08" w:rsidRPr="00FB5100" w:rsidRDefault="00B55C08" w:rsidP="00B55C08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t>$375</w:t>
      </w:r>
      <w:r w:rsidR="00F91B51" w:rsidRPr="00FB5100">
        <w:rPr>
          <w:rFonts w:eastAsia="MS Mincho"/>
        </w:rPr>
        <w:t>.6</w:t>
      </w:r>
      <w:r w:rsidRPr="00FB5100">
        <w:rPr>
          <w:rFonts w:eastAsia="MS Mincho"/>
        </w:rPr>
        <w:t xml:space="preserve"> million </w:t>
      </w:r>
      <w:r w:rsidR="00FB5100">
        <w:rPr>
          <w:rFonts w:eastAsia="MS Mincho"/>
        </w:rPr>
        <w:t>over four</w:t>
      </w:r>
      <w:r w:rsidRPr="00FB5100">
        <w:rPr>
          <w:rFonts w:eastAsia="MS Mincho"/>
        </w:rPr>
        <w:t xml:space="preserve"> years to</w:t>
      </w:r>
      <w:r w:rsidR="00434B23" w:rsidRPr="00FB5100">
        <w:rPr>
          <w:rFonts w:eastAsia="MS Mincho"/>
        </w:rPr>
        <w:t xml:space="preserve"> contribute to the</w:t>
      </w:r>
      <w:r w:rsidRPr="00FB5100">
        <w:rPr>
          <w:rFonts w:eastAsia="MS Mincho"/>
        </w:rPr>
        <w:t xml:space="preserve"> </w:t>
      </w:r>
      <w:r w:rsidR="00434B23" w:rsidRPr="00FB5100">
        <w:rPr>
          <w:rFonts w:eastAsia="MS Mincho"/>
        </w:rPr>
        <w:t xml:space="preserve">establishment of </w:t>
      </w:r>
      <w:r w:rsidRPr="00FB5100">
        <w:rPr>
          <w:rFonts w:eastAsia="MS Mincho"/>
        </w:rPr>
        <w:t xml:space="preserve">a Western Australian Comprehensive </w:t>
      </w:r>
      <w:r w:rsidR="001F68A0" w:rsidRPr="00FB5100">
        <w:rPr>
          <w:rFonts w:eastAsia="MS Mincho"/>
        </w:rPr>
        <w:t xml:space="preserve">Cancer Centre </w:t>
      </w:r>
      <w:r w:rsidRPr="00FB5100">
        <w:rPr>
          <w:rFonts w:eastAsia="MS Mincho"/>
        </w:rPr>
        <w:t>in Perth</w:t>
      </w:r>
      <w:r w:rsidR="00434B23" w:rsidRPr="00FB5100">
        <w:rPr>
          <w:rFonts w:eastAsia="MS Mincho"/>
        </w:rPr>
        <w:t xml:space="preserve"> through a joint funding partnership with the Western Australian Government. The Centre will </w:t>
      </w:r>
      <w:r w:rsidRPr="00FB5100">
        <w:rPr>
          <w:rFonts w:eastAsia="MS Mincho"/>
          <w:lang w:val="en-US"/>
        </w:rPr>
        <w:t>improve access to our world-class cancer care and ensure better cancer outcomes for Western Australians.</w:t>
      </w:r>
      <w:r w:rsidR="001F68A0" w:rsidRPr="00FB5100">
        <w:rPr>
          <w:rFonts w:eastAsia="MS Mincho"/>
          <w:lang w:val="en-US"/>
        </w:rPr>
        <w:t xml:space="preserve"> The C</w:t>
      </w:r>
      <w:r w:rsidRPr="00FB5100">
        <w:rPr>
          <w:rFonts w:eastAsia="MS Mincho"/>
          <w:lang w:val="en-US"/>
        </w:rPr>
        <w:t xml:space="preserve">entre </w:t>
      </w:r>
      <w:r w:rsidR="00404A5E" w:rsidRPr="00FB5100">
        <w:rPr>
          <w:rFonts w:eastAsia="MS Mincho"/>
          <w:lang w:val="en-US"/>
        </w:rPr>
        <w:t>will</w:t>
      </w:r>
      <w:r w:rsidRPr="00FB5100">
        <w:rPr>
          <w:rFonts w:eastAsia="MS Mincho"/>
          <w:lang w:val="en-US"/>
        </w:rPr>
        <w:t xml:space="preserve"> co-locate a state-of-the-art treatment facility, including intensive care and emergency department facilities with dedicated research and clinical trial resources</w:t>
      </w:r>
    </w:p>
    <w:p w14:paraId="7225CB95" w14:textId="77777777" w:rsidR="00484F01" w:rsidRPr="00FB5100" w:rsidRDefault="00484F01" w:rsidP="00484F01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t>$32.6 million to introduce a new positron emission tomography (PET) scan for initial staging of patients with rare and uncommon cancers</w:t>
      </w:r>
    </w:p>
    <w:p w14:paraId="2EFFF73C" w14:textId="69D292DB" w:rsidR="0050596D" w:rsidRPr="00FB5100" w:rsidRDefault="00B55C08" w:rsidP="0050596D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lastRenderedPageBreak/>
        <w:t>$</w:t>
      </w:r>
      <w:r w:rsidR="00FB4D28" w:rsidRPr="00FB5100">
        <w:rPr>
          <w:rFonts w:eastAsia="MS Mincho"/>
        </w:rPr>
        <w:t>40.</w:t>
      </w:r>
      <w:r w:rsidR="00A60005" w:rsidRPr="00FB5100">
        <w:rPr>
          <w:rFonts w:eastAsia="MS Mincho"/>
        </w:rPr>
        <w:t>7</w:t>
      </w:r>
      <w:r w:rsidRPr="00FB5100">
        <w:rPr>
          <w:rFonts w:eastAsia="MS Mincho"/>
        </w:rPr>
        <w:t xml:space="preserve"> million to increase the availability of testing and screening services for </w:t>
      </w:r>
      <w:r w:rsidR="008304BD" w:rsidRPr="00FB5100">
        <w:rPr>
          <w:rFonts w:eastAsia="MS Mincho"/>
        </w:rPr>
        <w:t xml:space="preserve">a range of </w:t>
      </w:r>
      <w:r w:rsidRPr="00FB5100">
        <w:rPr>
          <w:rFonts w:eastAsia="MS Mincho"/>
        </w:rPr>
        <w:t>cancer</w:t>
      </w:r>
      <w:r w:rsidR="008304BD" w:rsidRPr="00FB5100">
        <w:rPr>
          <w:rFonts w:eastAsia="MS Mincho"/>
        </w:rPr>
        <w:t>s</w:t>
      </w:r>
      <w:r w:rsidRPr="00FB5100">
        <w:rPr>
          <w:rFonts w:eastAsia="MS Mincho"/>
        </w:rPr>
        <w:t xml:space="preserve"> to catch up on COVID-19 related delays, and facilitate appropriate referrals, early diagnosis and intervention</w:t>
      </w:r>
      <w:r w:rsidR="008304BD" w:rsidRPr="00FB5100">
        <w:rPr>
          <w:rFonts w:eastAsia="MS Mincho"/>
        </w:rPr>
        <w:t>, including</w:t>
      </w:r>
      <w:r w:rsidR="00FB5100">
        <w:rPr>
          <w:rFonts w:eastAsia="MS Mincho"/>
        </w:rPr>
        <w:t>:</w:t>
      </w:r>
    </w:p>
    <w:p w14:paraId="2CBC860D" w14:textId="77777777" w:rsidR="008304BD" w:rsidRPr="00FB5100" w:rsidRDefault="008304BD" w:rsidP="008304BD">
      <w:pPr>
        <w:pStyle w:val="IntroPara"/>
        <w:numPr>
          <w:ilvl w:val="1"/>
          <w:numId w:val="7"/>
        </w:numPr>
        <w:rPr>
          <w:rFonts w:eastAsia="MS Mincho"/>
        </w:rPr>
      </w:pPr>
      <w:r w:rsidRPr="00FB5100">
        <w:rPr>
          <w:rFonts w:eastAsia="MS Mincho"/>
        </w:rPr>
        <w:t>$9.7 million for breast cancer screening</w:t>
      </w:r>
    </w:p>
    <w:p w14:paraId="576F5E9D" w14:textId="77777777" w:rsidR="008304BD" w:rsidRPr="00FB5100" w:rsidRDefault="00434B23" w:rsidP="008304BD">
      <w:pPr>
        <w:pStyle w:val="IntroPara"/>
        <w:numPr>
          <w:ilvl w:val="1"/>
          <w:numId w:val="7"/>
        </w:numPr>
        <w:rPr>
          <w:rFonts w:eastAsia="MS Mincho"/>
        </w:rPr>
      </w:pPr>
      <w:r w:rsidRPr="00FB5100">
        <w:rPr>
          <w:rFonts w:eastAsia="MS Mincho"/>
        </w:rPr>
        <w:t>$20.2</w:t>
      </w:r>
      <w:r w:rsidR="008304BD" w:rsidRPr="00FB5100">
        <w:rPr>
          <w:rFonts w:eastAsia="MS Mincho"/>
        </w:rPr>
        <w:t xml:space="preserve"> million</w:t>
      </w:r>
      <w:r w:rsidRPr="00FB5100">
        <w:rPr>
          <w:rFonts w:eastAsia="MS Mincho"/>
        </w:rPr>
        <w:t xml:space="preserve"> for cervical cancer screening and associated promotion,</w:t>
      </w:r>
      <w:r w:rsidR="008304BD" w:rsidRPr="00FB5100">
        <w:rPr>
          <w:rFonts w:eastAsia="MS Mincho"/>
        </w:rPr>
        <w:t xml:space="preserve"> and </w:t>
      </w:r>
    </w:p>
    <w:p w14:paraId="668D8839" w14:textId="77777777" w:rsidR="008304BD" w:rsidRPr="00FB5100" w:rsidRDefault="008304BD" w:rsidP="008304BD">
      <w:pPr>
        <w:pStyle w:val="IntroPara"/>
        <w:numPr>
          <w:ilvl w:val="1"/>
          <w:numId w:val="7"/>
        </w:numPr>
        <w:rPr>
          <w:rFonts w:eastAsia="MS Mincho"/>
        </w:rPr>
      </w:pPr>
      <w:r w:rsidRPr="00FB5100">
        <w:rPr>
          <w:rFonts w:eastAsia="MS Mincho"/>
        </w:rPr>
        <w:t>$10.2 million for colonoscopy triage.</w:t>
      </w:r>
    </w:p>
    <w:p w14:paraId="5EAFCEB8" w14:textId="3E63D8F6" w:rsidR="004863A0" w:rsidRPr="00FB5100" w:rsidRDefault="00484F01" w:rsidP="004863A0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t>$66</w:t>
      </w:r>
      <w:r w:rsidR="00D34B0F" w:rsidRPr="00FB5100">
        <w:rPr>
          <w:rFonts w:eastAsia="MS Mincho"/>
        </w:rPr>
        <w:t xml:space="preserve"> </w:t>
      </w:r>
      <w:r w:rsidR="004863A0" w:rsidRPr="00FB5100">
        <w:rPr>
          <w:rFonts w:eastAsia="MS Mincho"/>
        </w:rPr>
        <w:t>million</w:t>
      </w:r>
      <w:r w:rsidR="00D34B0F" w:rsidRPr="00FB5100">
        <w:rPr>
          <w:rFonts w:eastAsia="MS Mincho"/>
        </w:rPr>
        <w:t xml:space="preserve"> over </w:t>
      </w:r>
      <w:r w:rsidR="00FB5100">
        <w:rPr>
          <w:rFonts w:eastAsia="MS Mincho"/>
        </w:rPr>
        <w:t>four</w:t>
      </w:r>
      <w:r w:rsidR="00D34B0F" w:rsidRPr="00FB5100">
        <w:rPr>
          <w:rFonts w:eastAsia="MS Mincho"/>
        </w:rPr>
        <w:t xml:space="preserve"> </w:t>
      </w:r>
      <w:r w:rsidR="004863A0" w:rsidRPr="00FB5100">
        <w:rPr>
          <w:rFonts w:eastAsia="MS Mincho"/>
        </w:rPr>
        <w:t>year</w:t>
      </w:r>
      <w:r w:rsidR="00D34B0F" w:rsidRPr="00FB5100">
        <w:rPr>
          <w:rFonts w:eastAsia="MS Mincho"/>
        </w:rPr>
        <w:t>s</w:t>
      </w:r>
      <w:r w:rsidR="004863A0" w:rsidRPr="00FB5100">
        <w:rPr>
          <w:rFonts w:eastAsia="MS Mincho"/>
        </w:rPr>
        <w:t>, to</w:t>
      </w:r>
      <w:r w:rsidR="00D34B0F" w:rsidRPr="00FB5100">
        <w:rPr>
          <w:rFonts w:eastAsia="MS Mincho"/>
        </w:rPr>
        <w:t xml:space="preserve"> deregulate and</w:t>
      </w:r>
      <w:r w:rsidR="004863A0" w:rsidRPr="00FB5100">
        <w:rPr>
          <w:rFonts w:eastAsia="MS Mincho"/>
        </w:rPr>
        <w:t xml:space="preserve"> expand access to Medicare funded magnetic resonance imaging (MRI) services in regional, rural and remote areas (Modified Monash Model (MMM) 2–7 areas) from 1 November 2022, providing critical diagnostic imaging services to more regional and rural Australians</w:t>
      </w:r>
    </w:p>
    <w:p w14:paraId="199A44C9" w14:textId="77777777" w:rsidR="004863A0" w:rsidRPr="00FB5100" w:rsidRDefault="004863A0" w:rsidP="004863A0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t>$10.</w:t>
      </w:r>
      <w:r w:rsidR="00484F01" w:rsidRPr="00FB5100">
        <w:rPr>
          <w:rFonts w:eastAsia="MS Mincho"/>
        </w:rPr>
        <w:t>6</w:t>
      </w:r>
      <w:r w:rsidRPr="00FB5100">
        <w:rPr>
          <w:rFonts w:eastAsia="MS Mincho"/>
        </w:rPr>
        <w:t xml:space="preserve"> million for an amendment to the current MRI of the breast item for patients at high risk of developing breast cancer, raising the age limit from 50 to 60</w:t>
      </w:r>
    </w:p>
    <w:p w14:paraId="4E4D81A0" w14:textId="2060D20D" w:rsidR="002E6671" w:rsidRPr="00FB5100" w:rsidRDefault="00C23A42" w:rsidP="0050596D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t>$</w:t>
      </w:r>
      <w:r w:rsidR="00031F7D" w:rsidRPr="00FB5100">
        <w:rPr>
          <w:rFonts w:eastAsia="MS Mincho"/>
        </w:rPr>
        <w:t>28.1</w:t>
      </w:r>
      <w:r w:rsidRPr="00FB5100">
        <w:rPr>
          <w:rFonts w:eastAsia="MS Mincho"/>
        </w:rPr>
        <w:t xml:space="preserve"> </w:t>
      </w:r>
      <w:r w:rsidR="002E6671" w:rsidRPr="00FB5100">
        <w:rPr>
          <w:rFonts w:eastAsia="MS Mincho"/>
        </w:rPr>
        <w:t>million</w:t>
      </w:r>
      <w:r w:rsidRPr="00FB5100">
        <w:rPr>
          <w:rFonts w:eastAsia="MS Mincho"/>
        </w:rPr>
        <w:t xml:space="preserve"> over </w:t>
      </w:r>
      <w:r w:rsidR="00FB5100">
        <w:rPr>
          <w:rFonts w:eastAsia="MS Mincho"/>
        </w:rPr>
        <w:t>three</w:t>
      </w:r>
      <w:r w:rsidRPr="00FB5100">
        <w:rPr>
          <w:rFonts w:eastAsia="MS Mincho"/>
        </w:rPr>
        <w:t xml:space="preserve"> years</w:t>
      </w:r>
      <w:r w:rsidR="002E6671" w:rsidRPr="00FB5100">
        <w:rPr>
          <w:rFonts w:eastAsia="MS Mincho"/>
        </w:rPr>
        <w:t xml:space="preserve"> for </w:t>
      </w:r>
      <w:r w:rsidR="004863A0" w:rsidRPr="00FB5100">
        <w:rPr>
          <w:rFonts w:eastAsia="MS Mincho"/>
        </w:rPr>
        <w:t xml:space="preserve">the establishment of </w:t>
      </w:r>
      <w:r w:rsidR="002E6671" w:rsidRPr="00FB5100">
        <w:rPr>
          <w:rFonts w:eastAsia="MS Mincho"/>
        </w:rPr>
        <w:t>Genomics Australia</w:t>
      </w:r>
      <w:r w:rsidR="004863A0" w:rsidRPr="00FB5100">
        <w:rPr>
          <w:rFonts w:eastAsia="MS Mincho"/>
        </w:rPr>
        <w:t xml:space="preserve"> to drive the integration of genomics-led diagnostics and medicine into health care, which will deliver more sensitive screening for cancer and more effective, personalised medicine</w:t>
      </w:r>
    </w:p>
    <w:p w14:paraId="6710B6E6" w14:textId="77777777" w:rsidR="00B55C08" w:rsidRPr="00FB5100" w:rsidRDefault="00B55C08" w:rsidP="00B55C08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</w:rPr>
        <w:t xml:space="preserve">$5.9 million to support priority populations, in particular Aboriginal and Torres Strait Islander peoples and culturally and linguistically diverse background (CALD) communities, to catch up on missed </w:t>
      </w:r>
      <w:r w:rsidR="00531F83" w:rsidRPr="00FB5100">
        <w:rPr>
          <w:rFonts w:eastAsia="MS Mincho"/>
        </w:rPr>
        <w:t xml:space="preserve">health </w:t>
      </w:r>
      <w:r w:rsidRPr="00FB5100">
        <w:rPr>
          <w:rFonts w:eastAsia="MS Mincho"/>
        </w:rPr>
        <w:t>screening opportunities</w:t>
      </w:r>
    </w:p>
    <w:p w14:paraId="07458667" w14:textId="77777777" w:rsidR="00B55C08" w:rsidRPr="00FB5100" w:rsidRDefault="00B55C08" w:rsidP="00B55C08">
      <w:pPr>
        <w:pStyle w:val="IntroPara"/>
        <w:numPr>
          <w:ilvl w:val="0"/>
          <w:numId w:val="7"/>
        </w:numPr>
        <w:rPr>
          <w:rFonts w:eastAsia="MS Mincho"/>
        </w:rPr>
      </w:pPr>
      <w:r w:rsidRPr="00FB5100">
        <w:rPr>
          <w:rFonts w:eastAsia="MS Mincho"/>
          <w:lang w:val="en-US"/>
        </w:rPr>
        <w:t xml:space="preserve">$700,000 for updated Prostate Specific Antigen (PSA) Testing and Early Management of Test-Detected Prostate Cancer clinical guidelines, to promote early detection and treatment of prostate cancer, as identified in the </w:t>
      </w:r>
      <w:r w:rsidRPr="00FB5100">
        <w:rPr>
          <w:rFonts w:eastAsia="MS Mincho"/>
          <w:i/>
          <w:lang w:val="en-US"/>
        </w:rPr>
        <w:t>National Men’s Health Strategy 2020–2030</w:t>
      </w:r>
      <w:r w:rsidRPr="00FB5100">
        <w:rPr>
          <w:rFonts w:eastAsia="MS Mincho"/>
          <w:lang w:val="en-US"/>
        </w:rPr>
        <w:t>, and improve the health outcomes for Australian men.</w:t>
      </w:r>
    </w:p>
    <w:p w14:paraId="1141BFAA" w14:textId="77777777" w:rsidR="006B48F0" w:rsidRDefault="004362AB" w:rsidP="00C04443">
      <w:pPr>
        <w:pStyle w:val="IntroPara"/>
        <w:numPr>
          <w:ilvl w:val="0"/>
          <w:numId w:val="7"/>
        </w:numPr>
        <w:rPr>
          <w:rFonts w:eastAsia="MS Mincho"/>
          <w:lang w:val="en-US"/>
        </w:rPr>
      </w:pPr>
      <w:r w:rsidRPr="00FB5100">
        <w:rPr>
          <w:rFonts w:eastAsia="MS Mincho"/>
          <w:lang w:val="en-US"/>
        </w:rPr>
        <w:t>$</w:t>
      </w:r>
      <w:r w:rsidR="006B0257" w:rsidRPr="00FB5100">
        <w:rPr>
          <w:rFonts w:eastAsia="MS Mincho"/>
          <w:lang w:val="en-US"/>
        </w:rPr>
        <w:t>329.4</w:t>
      </w:r>
      <w:r w:rsidRPr="00FB5100">
        <w:rPr>
          <w:rFonts w:eastAsia="MS Mincho"/>
          <w:lang w:val="en-US"/>
        </w:rPr>
        <w:t xml:space="preserve"> million t</w:t>
      </w:r>
      <w:r w:rsidR="006B48F0" w:rsidRPr="00FB5100">
        <w:rPr>
          <w:rFonts w:eastAsia="MS Mincho"/>
          <w:lang w:val="en-US"/>
        </w:rPr>
        <w:t>o include</w:t>
      </w:r>
      <w:r w:rsidR="006B48F0">
        <w:rPr>
          <w:rFonts w:eastAsia="MS Mincho"/>
          <w:lang w:val="en-US"/>
        </w:rPr>
        <w:t xml:space="preserve"> new cancer medication on the </w:t>
      </w:r>
      <w:r w:rsidR="00434B23">
        <w:rPr>
          <w:rFonts w:eastAsia="MS Mincho"/>
          <w:lang w:val="en-US"/>
        </w:rPr>
        <w:t>PBS</w:t>
      </w:r>
      <w:r w:rsidR="006B48F0">
        <w:rPr>
          <w:rFonts w:eastAsia="MS Mincho"/>
          <w:lang w:val="en-US"/>
        </w:rPr>
        <w:t xml:space="preserve"> including:</w:t>
      </w:r>
    </w:p>
    <w:p w14:paraId="2262909C" w14:textId="7E40D71E" w:rsidR="006B0257" w:rsidRDefault="00203F8F" w:rsidP="006B0257">
      <w:pPr>
        <w:pStyle w:val="IntroPara"/>
        <w:numPr>
          <w:ilvl w:val="1"/>
          <w:numId w:val="7"/>
        </w:numPr>
        <w:rPr>
          <w:rFonts w:eastAsia="MS Mincho"/>
        </w:rPr>
      </w:pPr>
      <w:proofErr w:type="spellStart"/>
      <w:r>
        <w:rPr>
          <w:rFonts w:eastAsia="MS Mincho"/>
        </w:rPr>
        <w:t>Tro</w:t>
      </w:r>
      <w:r w:rsidR="006B0257" w:rsidRPr="006B0257">
        <w:rPr>
          <w:rFonts w:eastAsia="MS Mincho"/>
        </w:rPr>
        <w:t>de</w:t>
      </w:r>
      <w:r>
        <w:rPr>
          <w:rFonts w:eastAsia="MS Mincho"/>
        </w:rPr>
        <w:t>l</w:t>
      </w:r>
      <w:bookmarkStart w:id="0" w:name="_GoBack"/>
      <w:bookmarkEnd w:id="0"/>
      <w:r w:rsidR="006B0257" w:rsidRPr="006B0257">
        <w:rPr>
          <w:rFonts w:eastAsia="MS Mincho"/>
        </w:rPr>
        <w:t>vy</w:t>
      </w:r>
      <w:proofErr w:type="spellEnd"/>
      <w:r w:rsidR="006B0257" w:rsidRPr="006B0257">
        <w:rPr>
          <w:rFonts w:eastAsia="MS Mincho"/>
        </w:rPr>
        <w:t>® (</w:t>
      </w:r>
      <w:proofErr w:type="spellStart"/>
      <w:r w:rsidR="006B0257" w:rsidRPr="006B0257">
        <w:rPr>
          <w:rFonts w:eastAsia="MS Mincho"/>
        </w:rPr>
        <w:t>sacituzumab</w:t>
      </w:r>
      <w:proofErr w:type="spellEnd"/>
      <w:r w:rsidR="006B0257" w:rsidRPr="006B0257">
        <w:rPr>
          <w:rFonts w:eastAsia="MS Mincho"/>
        </w:rPr>
        <w:t xml:space="preserve"> </w:t>
      </w:r>
      <w:proofErr w:type="spellStart"/>
      <w:r w:rsidR="006B0257" w:rsidRPr="006B0257">
        <w:rPr>
          <w:rFonts w:eastAsia="MS Mincho"/>
        </w:rPr>
        <w:t>govitecan</w:t>
      </w:r>
      <w:proofErr w:type="spellEnd"/>
      <w:r w:rsidR="006B0257" w:rsidRPr="006B0257">
        <w:rPr>
          <w:rFonts w:eastAsia="MS Mincho"/>
        </w:rPr>
        <w:t>) for the treatment of triple negative breast cancer, which will save an average of 580 patients each year $80,000 per course of treatment</w:t>
      </w:r>
      <w:r w:rsidR="006B0257">
        <w:rPr>
          <w:rFonts w:eastAsia="MS Mincho"/>
        </w:rPr>
        <w:t>, from May 2022</w:t>
      </w:r>
    </w:p>
    <w:p w14:paraId="3A527ED3" w14:textId="77777777" w:rsidR="006B0257" w:rsidRDefault="006B0257" w:rsidP="004863A0">
      <w:pPr>
        <w:pStyle w:val="IntroPara"/>
        <w:numPr>
          <w:ilvl w:val="1"/>
          <w:numId w:val="7"/>
        </w:numPr>
        <w:rPr>
          <w:rFonts w:eastAsia="MS Mincho"/>
        </w:rPr>
      </w:pPr>
      <w:proofErr w:type="spellStart"/>
      <w:r>
        <w:rPr>
          <w:rFonts w:eastAsia="MS Mincho"/>
        </w:rPr>
        <w:t>Lynparza</w:t>
      </w:r>
      <w:proofErr w:type="spellEnd"/>
      <w:r>
        <w:rPr>
          <w:rFonts w:eastAsia="MS Mincho"/>
        </w:rPr>
        <w:t>® (</w:t>
      </w:r>
      <w:proofErr w:type="spellStart"/>
      <w:r>
        <w:rPr>
          <w:rFonts w:eastAsia="MS Mincho"/>
        </w:rPr>
        <w:t>olaparib</w:t>
      </w:r>
      <w:proofErr w:type="spellEnd"/>
      <w:r>
        <w:rPr>
          <w:rFonts w:eastAsia="MS Mincho"/>
        </w:rPr>
        <w:t>) for the treatment of metastatic castration-resistant prostate cancer, which means around 200 patients will no longer pay more than $78,000 per course of treatment, from April 2022</w:t>
      </w:r>
    </w:p>
    <w:p w14:paraId="09D82971" w14:textId="77777777" w:rsidR="006B48F0" w:rsidRPr="004863A0" w:rsidRDefault="006B48F0" w:rsidP="004863A0">
      <w:pPr>
        <w:pStyle w:val="IntroPara"/>
        <w:numPr>
          <w:ilvl w:val="1"/>
          <w:numId w:val="7"/>
        </w:numPr>
        <w:rPr>
          <w:rFonts w:eastAsia="MS Mincho"/>
        </w:rPr>
      </w:pPr>
      <w:proofErr w:type="spellStart"/>
      <w:r w:rsidRPr="004863A0">
        <w:rPr>
          <w:rFonts w:eastAsia="MS Mincho"/>
        </w:rPr>
        <w:t>Mylotarg</w:t>
      </w:r>
      <w:proofErr w:type="spellEnd"/>
      <w:r w:rsidRPr="004863A0">
        <w:rPr>
          <w:rFonts w:eastAsia="MS Mincho"/>
        </w:rPr>
        <w:t>® (</w:t>
      </w:r>
      <w:proofErr w:type="spellStart"/>
      <w:r w:rsidRPr="004863A0">
        <w:rPr>
          <w:rFonts w:eastAsia="MS Mincho"/>
        </w:rPr>
        <w:t>gemtuzumab</w:t>
      </w:r>
      <w:proofErr w:type="spellEnd"/>
      <w:r w:rsidRPr="004863A0">
        <w:rPr>
          <w:rFonts w:eastAsia="MS Mincho"/>
        </w:rPr>
        <w:t xml:space="preserve"> </w:t>
      </w:r>
      <w:proofErr w:type="spellStart"/>
      <w:r w:rsidRPr="004863A0">
        <w:rPr>
          <w:rFonts w:eastAsia="MS Mincho"/>
        </w:rPr>
        <w:t>ozogamicin</w:t>
      </w:r>
      <w:proofErr w:type="spellEnd"/>
      <w:r w:rsidRPr="004863A0">
        <w:rPr>
          <w:rFonts w:eastAsia="MS Mincho"/>
        </w:rPr>
        <w:t xml:space="preserve">) for patients with acute myeloid leukaemia, which means they will no longer need to pay $18,000 per course of treatment, from March 2022 </w:t>
      </w:r>
    </w:p>
    <w:p w14:paraId="44BA7DC9" w14:textId="37A27249" w:rsidR="006B48F0" w:rsidRPr="004863A0" w:rsidRDefault="006B48F0" w:rsidP="004863A0">
      <w:pPr>
        <w:pStyle w:val="IntroPara"/>
        <w:numPr>
          <w:ilvl w:val="1"/>
          <w:numId w:val="7"/>
        </w:numPr>
        <w:rPr>
          <w:rFonts w:eastAsia="MS Mincho"/>
        </w:rPr>
      </w:pPr>
      <w:proofErr w:type="spellStart"/>
      <w:r w:rsidRPr="004863A0">
        <w:rPr>
          <w:rFonts w:eastAsia="MS Mincho"/>
        </w:rPr>
        <w:lastRenderedPageBreak/>
        <w:t>Calquence</w:t>
      </w:r>
      <w:proofErr w:type="spellEnd"/>
      <w:r w:rsidRPr="004863A0">
        <w:rPr>
          <w:rFonts w:eastAsia="MS Mincho"/>
        </w:rPr>
        <w:t>® (</w:t>
      </w:r>
      <w:proofErr w:type="spellStart"/>
      <w:r w:rsidRPr="004863A0">
        <w:rPr>
          <w:rFonts w:eastAsia="MS Mincho"/>
        </w:rPr>
        <w:t>acalabrutinib</w:t>
      </w:r>
      <w:proofErr w:type="spellEnd"/>
      <w:r w:rsidRPr="004863A0">
        <w:rPr>
          <w:rFonts w:eastAsia="MS Mincho"/>
        </w:rPr>
        <w:t>), for the treatment of approximately 350</w:t>
      </w:r>
      <w:r w:rsidR="002F0F99">
        <w:rPr>
          <w:rFonts w:eastAsia="MS Mincho"/>
        </w:rPr>
        <w:t> </w:t>
      </w:r>
      <w:r w:rsidRPr="004863A0">
        <w:rPr>
          <w:rFonts w:eastAsia="MS Mincho"/>
        </w:rPr>
        <w:t>patients with mantle cell lymphoma, which means they will no longer have costs of $8,200 per script, from February 2022, and</w:t>
      </w:r>
    </w:p>
    <w:p w14:paraId="41786887" w14:textId="4D94715A" w:rsidR="002E6671" w:rsidRDefault="006B48F0" w:rsidP="004863A0">
      <w:pPr>
        <w:pStyle w:val="IntroPara"/>
        <w:numPr>
          <w:ilvl w:val="1"/>
          <w:numId w:val="7"/>
        </w:numPr>
        <w:rPr>
          <w:rFonts w:eastAsia="MS Mincho"/>
        </w:rPr>
      </w:pPr>
      <w:proofErr w:type="spellStart"/>
      <w:r w:rsidRPr="004863A0">
        <w:rPr>
          <w:rFonts w:eastAsia="MS Mincho"/>
        </w:rPr>
        <w:t>Braftovi</w:t>
      </w:r>
      <w:proofErr w:type="spellEnd"/>
      <w:r w:rsidRPr="004863A0">
        <w:rPr>
          <w:rFonts w:eastAsia="MS Mincho"/>
        </w:rPr>
        <w:t>® (</w:t>
      </w:r>
      <w:proofErr w:type="spellStart"/>
      <w:r w:rsidRPr="004863A0">
        <w:rPr>
          <w:rFonts w:eastAsia="MS Mincho"/>
        </w:rPr>
        <w:t>encorafenib</w:t>
      </w:r>
      <w:proofErr w:type="spellEnd"/>
      <w:r w:rsidRPr="004863A0">
        <w:rPr>
          <w:rFonts w:eastAsia="MS Mincho"/>
        </w:rPr>
        <w:t xml:space="preserve">) in combination with PBS-listed </w:t>
      </w:r>
      <w:proofErr w:type="spellStart"/>
      <w:r w:rsidRPr="004863A0">
        <w:rPr>
          <w:rFonts w:eastAsia="MS Mincho"/>
        </w:rPr>
        <w:t>cetuximab</w:t>
      </w:r>
      <w:proofErr w:type="spellEnd"/>
      <w:r w:rsidRPr="004863A0">
        <w:rPr>
          <w:rFonts w:eastAsia="MS Mincho"/>
        </w:rPr>
        <w:t>, for which around 340 patients battling colorectal cancer (bowel cancer), they will no longer have costs of more than $33,600 per course of treatment, from January 2022.</w:t>
      </w:r>
    </w:p>
    <w:p w14:paraId="32966A85" w14:textId="7B569F78" w:rsidR="00FB5100" w:rsidRDefault="00FB5100" w:rsidP="00FB5100">
      <w:pPr>
        <w:pStyle w:val="IntroPara"/>
        <w:numPr>
          <w:ilvl w:val="0"/>
          <w:numId w:val="7"/>
        </w:numPr>
        <w:rPr>
          <w:rFonts w:eastAsia="MS Mincho"/>
        </w:rPr>
      </w:pPr>
      <w:r>
        <w:rPr>
          <w:rFonts w:eastAsia="MS Mincho"/>
        </w:rPr>
        <w:t>$20 million to improve outcomes and survival for people with pancreatic cancer, including:</w:t>
      </w:r>
    </w:p>
    <w:p w14:paraId="0596E82C" w14:textId="3B3832D6" w:rsidR="00FB5100" w:rsidRPr="00FB5100" w:rsidRDefault="00FB5100" w:rsidP="00FB5100">
      <w:pPr>
        <w:pStyle w:val="IntroPara"/>
        <w:numPr>
          <w:ilvl w:val="1"/>
          <w:numId w:val="7"/>
        </w:numPr>
        <w:rPr>
          <w:rFonts w:eastAsia="MS Mincho"/>
        </w:rPr>
      </w:pPr>
      <w:r>
        <w:rPr>
          <w:rFonts w:eastAsia="MS Mincho"/>
        </w:rPr>
        <w:t>$15</w:t>
      </w:r>
      <w:r w:rsidRPr="00FB5100">
        <w:rPr>
          <w:rFonts w:eastAsia="MS Mincho"/>
        </w:rPr>
        <w:t xml:space="preserve"> million </w:t>
      </w:r>
      <w:r>
        <w:rPr>
          <w:rFonts w:eastAsia="MS Mincho"/>
        </w:rPr>
        <w:t xml:space="preserve">($12 million from the Medical Research Future Fund) </w:t>
      </w:r>
      <w:r w:rsidRPr="00FB5100">
        <w:rPr>
          <w:rFonts w:eastAsia="MS Mincho"/>
        </w:rPr>
        <w:t>over five years to implement the National Pancreatic Cancer Roadmap with Cancer Australia</w:t>
      </w:r>
      <w:r>
        <w:rPr>
          <w:rFonts w:eastAsia="MS Mincho"/>
        </w:rPr>
        <w:t>,</w:t>
      </w:r>
      <w:r w:rsidRPr="00FB5100">
        <w:rPr>
          <w:rFonts w:eastAsia="MS Mincho"/>
        </w:rPr>
        <w:t xml:space="preserve"> and </w:t>
      </w:r>
    </w:p>
    <w:p w14:paraId="095597F6" w14:textId="0E985137" w:rsidR="00FB5100" w:rsidRPr="00FB5100" w:rsidRDefault="00FB5100" w:rsidP="00FB5100">
      <w:pPr>
        <w:pStyle w:val="IntroPara"/>
        <w:numPr>
          <w:ilvl w:val="1"/>
          <w:numId w:val="7"/>
        </w:numPr>
        <w:rPr>
          <w:rFonts w:eastAsia="MS Mincho"/>
        </w:rPr>
      </w:pPr>
      <w:r w:rsidRPr="00FB5100">
        <w:rPr>
          <w:rFonts w:eastAsia="MS Mincho"/>
        </w:rPr>
        <w:t xml:space="preserve">$5 million to </w:t>
      </w:r>
      <w:r>
        <w:rPr>
          <w:rFonts w:eastAsia="MS Mincho"/>
        </w:rPr>
        <w:t xml:space="preserve">support the </w:t>
      </w:r>
      <w:r w:rsidRPr="00FB5100">
        <w:rPr>
          <w:rFonts w:eastAsia="MS Mincho"/>
        </w:rPr>
        <w:t xml:space="preserve">Pancreatic Centre at Epworth </w:t>
      </w:r>
      <w:r>
        <w:rPr>
          <w:rFonts w:eastAsia="MS Mincho"/>
        </w:rPr>
        <w:t>in Victoria.</w:t>
      </w:r>
    </w:p>
    <w:p w14:paraId="1A669727" w14:textId="580502BB" w:rsidR="00B55C08" w:rsidRPr="008F2E23" w:rsidRDefault="00B55C08" w:rsidP="00B55C08">
      <w:pPr>
        <w:pStyle w:val="IntroPara"/>
        <w:rPr>
          <w:rFonts w:eastAsia="MS Mincho"/>
          <w:lang w:val="en-US"/>
        </w:rPr>
      </w:pPr>
      <w:r w:rsidRPr="00657934">
        <w:rPr>
          <w:rFonts w:eastAsia="MS Mincho"/>
          <w:lang w:val="en-US"/>
        </w:rPr>
        <w:t>This approach will encourage all Australians to return to screening and health checks, temporarily increase the availability of cancer screening to make up for COVID-19 related delays, and support priority populations to access screening</w:t>
      </w:r>
      <w:r>
        <w:rPr>
          <w:rFonts w:eastAsia="MS Mincho"/>
          <w:lang w:val="en-US"/>
        </w:rPr>
        <w:t xml:space="preserve"> and treatment</w:t>
      </w:r>
      <w:r w:rsidRPr="00657934">
        <w:rPr>
          <w:rFonts w:eastAsia="MS Mincho"/>
          <w:lang w:val="en-US"/>
        </w:rPr>
        <w:t xml:space="preserve"> services.</w:t>
      </w:r>
    </w:p>
    <w:p w14:paraId="6CC16059" w14:textId="77777777" w:rsidR="008F2E23" w:rsidRPr="00724B94" w:rsidRDefault="008F2E23" w:rsidP="00035C3B">
      <w:pPr>
        <w:pStyle w:val="Heading1"/>
      </w:pPr>
      <w:r w:rsidRPr="00724B94">
        <w:t xml:space="preserve">Why is this </w:t>
      </w:r>
      <w:r w:rsidRPr="00035C3B">
        <w:t>important</w:t>
      </w:r>
      <w:r w:rsidRPr="00724B94">
        <w:t>?</w:t>
      </w:r>
    </w:p>
    <w:p w14:paraId="519A247A" w14:textId="77777777" w:rsidR="00B55C08" w:rsidRPr="00FB5100" w:rsidRDefault="00B55C08" w:rsidP="00B55C08">
      <w:pPr>
        <w:rPr>
          <w:rFonts w:eastAsia="MS Mincho"/>
          <w:lang w:val="en-US"/>
        </w:rPr>
      </w:pPr>
      <w:r w:rsidRPr="00B55C08">
        <w:rPr>
          <w:rFonts w:eastAsia="MS Mincho"/>
          <w:lang w:val="en-US"/>
        </w:rPr>
        <w:t xml:space="preserve">Cancer is the leading cause of death by disease in adults and children in Australia, exceeding </w:t>
      </w:r>
      <w:proofErr w:type="spellStart"/>
      <w:r w:rsidRPr="00B55C08">
        <w:rPr>
          <w:rFonts w:eastAsia="MS Mincho"/>
          <w:lang w:val="en-US"/>
        </w:rPr>
        <w:t>ischaemic</w:t>
      </w:r>
      <w:proofErr w:type="spellEnd"/>
      <w:r w:rsidRPr="00B55C08">
        <w:rPr>
          <w:rFonts w:eastAsia="MS Mincho"/>
          <w:lang w:val="en-US"/>
        </w:rPr>
        <w:t xml:space="preserve"> heart disease, dementia and cerebral vascular disease. According to </w:t>
      </w:r>
      <w:r w:rsidR="00434B23">
        <w:rPr>
          <w:rFonts w:eastAsia="MS Mincho"/>
          <w:lang w:val="en-US"/>
        </w:rPr>
        <w:t xml:space="preserve">Australian Institute </w:t>
      </w:r>
      <w:r w:rsidR="00434B23" w:rsidRPr="00FB5100">
        <w:rPr>
          <w:rFonts w:eastAsia="MS Mincho"/>
          <w:lang w:val="en-US"/>
        </w:rPr>
        <w:t xml:space="preserve">of Health and Welfare </w:t>
      </w:r>
      <w:r w:rsidRPr="00FB5100">
        <w:rPr>
          <w:rFonts w:eastAsia="MS Mincho"/>
          <w:lang w:val="en-US"/>
        </w:rPr>
        <w:t>statistics, in 2020:</w:t>
      </w:r>
    </w:p>
    <w:p w14:paraId="217636C3" w14:textId="77777777" w:rsidR="00B55C08" w:rsidRPr="00FB5100" w:rsidRDefault="00B55C08" w:rsidP="00B55C08">
      <w:pPr>
        <w:pStyle w:val="ListParagraph"/>
        <w:numPr>
          <w:ilvl w:val="0"/>
          <w:numId w:val="9"/>
        </w:numPr>
        <w:rPr>
          <w:rFonts w:eastAsia="MS Mincho"/>
          <w:lang w:val="en-US"/>
        </w:rPr>
      </w:pPr>
      <w:r w:rsidRPr="00FB5100">
        <w:rPr>
          <w:rFonts w:eastAsia="MS Mincho"/>
          <w:lang w:val="en-US"/>
        </w:rPr>
        <w:t>over 145,000 Australians were diagnosed with cancer and cancer accounted for nearly 50,000 deaths, and</w:t>
      </w:r>
    </w:p>
    <w:p w14:paraId="4F1F9388" w14:textId="74B42CD1" w:rsidR="00B55C08" w:rsidRPr="00B55C08" w:rsidRDefault="00FB5100" w:rsidP="00B55C08">
      <w:pPr>
        <w:pStyle w:val="ListParagraph"/>
        <w:numPr>
          <w:ilvl w:val="0"/>
          <w:numId w:val="9"/>
        </w:numPr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three</w:t>
      </w:r>
      <w:proofErr w:type="gramEnd"/>
      <w:r w:rsidR="00B55C08" w:rsidRPr="00FB5100">
        <w:rPr>
          <w:rFonts w:eastAsia="MS Mincho"/>
          <w:lang w:val="en-US"/>
        </w:rPr>
        <w:t xml:space="preserve"> in every 10 deaths was due to cancer</w:t>
      </w:r>
      <w:r w:rsidR="00B55C08" w:rsidRPr="00B55C08">
        <w:rPr>
          <w:rFonts w:eastAsia="MS Mincho"/>
          <w:lang w:val="en-US"/>
        </w:rPr>
        <w:t xml:space="preserve">. </w:t>
      </w:r>
    </w:p>
    <w:p w14:paraId="096BA732" w14:textId="0354DDEE" w:rsidR="00B55C08" w:rsidRPr="00B55C08" w:rsidRDefault="00B55C08" w:rsidP="00B55C08">
      <w:pPr>
        <w:rPr>
          <w:rFonts w:eastAsia="MS Mincho"/>
          <w:lang w:val="en-US"/>
        </w:rPr>
      </w:pPr>
      <w:r w:rsidRPr="0024177F">
        <w:rPr>
          <w:rFonts w:eastAsia="MS Mincho"/>
          <w:lang w:val="en-US"/>
        </w:rPr>
        <w:t xml:space="preserve">Australia has some of the best cancer survival rates in the world, driven by our excellent research and clinical care. </w:t>
      </w:r>
      <w:r w:rsidRPr="00B55C08">
        <w:rPr>
          <w:rFonts w:eastAsia="MS Mincho"/>
          <w:lang w:val="en-US"/>
        </w:rPr>
        <w:t xml:space="preserve">The Australian Government has invested </w:t>
      </w:r>
      <w:r w:rsidR="00434B23">
        <w:rPr>
          <w:rFonts w:eastAsia="MS Mincho"/>
          <w:lang w:val="en-US"/>
        </w:rPr>
        <w:t>almost</w:t>
      </w:r>
      <w:r w:rsidRPr="00B55C08">
        <w:rPr>
          <w:rFonts w:eastAsia="MS Mincho"/>
          <w:lang w:val="en-US"/>
        </w:rPr>
        <w:t xml:space="preserve"> </w:t>
      </w:r>
      <w:r w:rsidRPr="00FB5100">
        <w:rPr>
          <w:rFonts w:eastAsia="MS Mincho"/>
          <w:lang w:val="en-US"/>
        </w:rPr>
        <w:t>$27 billion on</w:t>
      </w:r>
      <w:r w:rsidRPr="00B55C08">
        <w:rPr>
          <w:rFonts w:eastAsia="MS Mincho"/>
          <w:lang w:val="en-US"/>
        </w:rPr>
        <w:t xml:space="preserve"> cancer care, research and treatment since 2013</w:t>
      </w:r>
      <w:r w:rsidR="00FB5100">
        <w:rPr>
          <w:rFonts w:eastAsia="MS Mincho"/>
          <w:lang w:val="en-US"/>
        </w:rPr>
        <w:t>–</w:t>
      </w:r>
      <w:r w:rsidRPr="00B55C08">
        <w:rPr>
          <w:rFonts w:eastAsia="MS Mincho"/>
          <w:lang w:val="en-US"/>
        </w:rPr>
        <w:t xml:space="preserve">14. </w:t>
      </w:r>
    </w:p>
    <w:p w14:paraId="01F9D407" w14:textId="6BF91480" w:rsidR="00B55C08" w:rsidRPr="0024177F" w:rsidRDefault="00B55C08" w:rsidP="00B55C08">
      <w:pPr>
        <w:rPr>
          <w:rFonts w:eastAsia="MS Mincho"/>
          <w:lang w:val="en-US"/>
        </w:rPr>
      </w:pPr>
      <w:r w:rsidRPr="00B55C08">
        <w:rPr>
          <w:rFonts w:eastAsia="MS Mincho"/>
          <w:lang w:val="en-US"/>
        </w:rPr>
        <w:t xml:space="preserve">The burden of disease from cancer in Australia is forecast to grow, with one in every </w:t>
      </w:r>
      <w:r w:rsidR="00FB5100">
        <w:rPr>
          <w:rFonts w:eastAsia="MS Mincho"/>
          <w:lang w:val="en-US"/>
        </w:rPr>
        <w:t>two</w:t>
      </w:r>
      <w:r w:rsidRPr="00B55C08">
        <w:rPr>
          <w:rFonts w:eastAsia="MS Mincho"/>
          <w:lang w:val="en-US"/>
        </w:rPr>
        <w:t xml:space="preserve"> Australians forecast to be diagnosed with cancer by the age of 85 years.</w:t>
      </w:r>
    </w:p>
    <w:p w14:paraId="6847C01F" w14:textId="77777777" w:rsidR="00B55C08" w:rsidRPr="0024177F" w:rsidRDefault="00B55C08" w:rsidP="00B55C08">
      <w:pPr>
        <w:rPr>
          <w:rFonts w:eastAsia="MS Mincho"/>
          <w:lang w:val="en-US"/>
        </w:rPr>
      </w:pPr>
      <w:r w:rsidRPr="0024177F">
        <w:rPr>
          <w:rFonts w:eastAsia="MS Mincho"/>
          <w:lang w:val="en-US"/>
        </w:rPr>
        <w:t xml:space="preserve">During the COVID-19 pandemic, many Australians have delayed vital cancer screening, routine health checks and diagnostic tests. During extended lockdowns and health system preparations for COVID-19 management, many screening services were closed and Australians avoided routine check-ups for fear of potential exposure to COVID-19. In addition to a drop off in preventive health MBS claims, uptake of items for cancer diagnosis and treatment also fell, with more than 150,000 fewer </w:t>
      </w:r>
      <w:proofErr w:type="spellStart"/>
      <w:r w:rsidRPr="0024177F">
        <w:rPr>
          <w:rFonts w:eastAsia="MS Mincho"/>
          <w:lang w:val="en-US"/>
        </w:rPr>
        <w:t>BreastScreen</w:t>
      </w:r>
      <w:proofErr w:type="spellEnd"/>
      <w:r w:rsidRPr="0024177F">
        <w:rPr>
          <w:rFonts w:eastAsia="MS Mincho"/>
          <w:lang w:val="en-US"/>
        </w:rPr>
        <w:t xml:space="preserve"> Australia mammograms completed in 2020.</w:t>
      </w:r>
    </w:p>
    <w:p w14:paraId="23A24C38" w14:textId="77777777" w:rsidR="0067036C" w:rsidRPr="00286B62" w:rsidRDefault="00286B62" w:rsidP="00B55C08">
      <w:pPr>
        <w:rPr>
          <w:rFonts w:eastAsia="MS Mincho"/>
          <w:highlight w:val="yellow"/>
        </w:rPr>
      </w:pPr>
      <w:r w:rsidRPr="00FB5100">
        <w:rPr>
          <w:rFonts w:eastAsia="MS Mincho"/>
        </w:rPr>
        <w:t xml:space="preserve">Every year almost 20,000 Australian men are diagnosed and 3,300 men die with prostate cancer. </w:t>
      </w:r>
      <w:r w:rsidR="00B55C08" w:rsidRPr="00FB5100">
        <w:rPr>
          <w:rFonts w:eastAsia="MS Mincho"/>
          <w:lang w:val="en-US"/>
        </w:rPr>
        <w:t xml:space="preserve">Prostate cancer is the second most common cause of male cancer deaths in Australia and the fourth most common cause of male deaths overall. Updating the </w:t>
      </w:r>
      <w:r w:rsidRPr="00FB5100">
        <w:rPr>
          <w:rFonts w:eastAsia="MS Mincho"/>
          <w:i/>
        </w:rPr>
        <w:t>PSA Testing and Early Management of Test-Detected Prostate Cancer</w:t>
      </w:r>
      <w:r w:rsidRPr="00FB5100">
        <w:rPr>
          <w:rFonts w:eastAsia="MS Mincho"/>
          <w:i/>
          <w:lang w:val="en-US"/>
        </w:rPr>
        <w:t xml:space="preserve"> </w:t>
      </w:r>
      <w:r w:rsidR="002B7B42" w:rsidRPr="00FB5100">
        <w:rPr>
          <w:rFonts w:eastAsia="MS Mincho"/>
          <w:i/>
          <w:lang w:val="en-US"/>
        </w:rPr>
        <w:t>G</w:t>
      </w:r>
      <w:r w:rsidR="00B55C08" w:rsidRPr="00FB5100">
        <w:rPr>
          <w:rFonts w:eastAsia="MS Mincho"/>
          <w:i/>
          <w:lang w:val="en-US"/>
        </w:rPr>
        <w:t>uidelines</w:t>
      </w:r>
      <w:r w:rsidR="00B55C08" w:rsidRPr="0024177F">
        <w:rPr>
          <w:rFonts w:eastAsia="MS Mincho"/>
          <w:lang w:val="en-US"/>
        </w:rPr>
        <w:t xml:space="preserve"> will ensure that up-to-date </w:t>
      </w:r>
      <w:r w:rsidR="00B55C08" w:rsidRPr="0024177F">
        <w:rPr>
          <w:rFonts w:eastAsia="MS Mincho"/>
          <w:lang w:val="en-US"/>
        </w:rPr>
        <w:lastRenderedPageBreak/>
        <w:t xml:space="preserve">evidence and clinical guidance on best practice care can be incorporated to assist with </w:t>
      </w:r>
      <w:proofErr w:type="spellStart"/>
      <w:r>
        <w:rPr>
          <w:rFonts w:eastAsia="MS Mincho"/>
          <w:lang w:val="en-US"/>
        </w:rPr>
        <w:t>optimised</w:t>
      </w:r>
      <w:proofErr w:type="spellEnd"/>
      <w:r w:rsidR="00B55C08" w:rsidRPr="0024177F">
        <w:rPr>
          <w:rFonts w:eastAsia="MS Mincho"/>
          <w:lang w:val="en-US"/>
        </w:rPr>
        <w:t xml:space="preserve"> treatment and management of prostate cancer patients.</w:t>
      </w:r>
    </w:p>
    <w:p w14:paraId="2452BA7D" w14:textId="77777777" w:rsidR="00B55C08" w:rsidRPr="00B55C08" w:rsidRDefault="006B48F0" w:rsidP="00B55C08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>The</w:t>
      </w:r>
      <w:r w:rsidR="00B55C08" w:rsidRPr="0024177F">
        <w:rPr>
          <w:rFonts w:eastAsia="MS Mincho"/>
          <w:lang w:val="en-US"/>
        </w:rPr>
        <w:t xml:space="preserve"> establishment of a WA Comprehensive Cancer Centre will see cancer patients in WA, including </w:t>
      </w:r>
      <w:r w:rsidR="00B55C08" w:rsidRPr="00B55C08">
        <w:rPr>
          <w:rFonts w:eastAsia="MS Mincho"/>
          <w:lang w:val="en-US"/>
        </w:rPr>
        <w:t xml:space="preserve">rural and remote communities, receive more comprehensive, integrated care for all types of cancers. </w:t>
      </w:r>
    </w:p>
    <w:p w14:paraId="14C92574" w14:textId="77777777" w:rsidR="006B48F0" w:rsidRDefault="006B48F0" w:rsidP="00B55C08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PBS remains one of the most important pillars of Australia’s Medicare system, supporting millions of Australians every year to access </w:t>
      </w:r>
      <w:proofErr w:type="spellStart"/>
      <w:r>
        <w:rPr>
          <w:rFonts w:eastAsia="MS Mincho"/>
          <w:lang w:val="en-US"/>
        </w:rPr>
        <w:t>subsidised</w:t>
      </w:r>
      <w:proofErr w:type="spellEnd"/>
      <w:r>
        <w:rPr>
          <w:rFonts w:eastAsia="MS Mincho"/>
          <w:lang w:val="en-US"/>
        </w:rPr>
        <w:t xml:space="preserve"> medication for a wide range </w:t>
      </w:r>
      <w:r w:rsidR="00890643">
        <w:rPr>
          <w:rFonts w:eastAsia="MS Mincho"/>
          <w:lang w:val="en-US"/>
        </w:rPr>
        <w:t>of illnesses, including cancer.</w:t>
      </w:r>
    </w:p>
    <w:p w14:paraId="03AE9708" w14:textId="02B2867E" w:rsidR="006341B7" w:rsidRPr="00FB5100" w:rsidRDefault="004863A0" w:rsidP="00B55C08">
      <w:pPr>
        <w:rPr>
          <w:rFonts w:eastAsia="MS Mincho"/>
          <w:lang w:val="en-US"/>
        </w:rPr>
      </w:pPr>
      <w:r w:rsidRPr="00FB5100">
        <w:rPr>
          <w:rFonts w:eastAsia="MS Mincho"/>
          <w:lang w:val="en-US"/>
        </w:rPr>
        <w:t>P</w:t>
      </w:r>
      <w:r w:rsidR="006341B7" w:rsidRPr="00FB5100">
        <w:rPr>
          <w:rFonts w:eastAsia="MS Mincho"/>
          <w:lang w:val="en-US"/>
        </w:rPr>
        <w:t xml:space="preserve">ancreatic cancer is anticipated to be the third leading cause of cancer death in Australia. Its </w:t>
      </w:r>
      <w:r w:rsidR="00FB5100">
        <w:rPr>
          <w:rFonts w:eastAsia="MS Mincho"/>
          <w:lang w:val="en-US"/>
        </w:rPr>
        <w:t>five</w:t>
      </w:r>
      <w:r w:rsidR="006341B7" w:rsidRPr="00FB5100">
        <w:rPr>
          <w:rFonts w:eastAsia="MS Mincho"/>
          <w:lang w:val="en-US"/>
        </w:rPr>
        <w:t>-year relative survival has only increas</w:t>
      </w:r>
      <w:r w:rsidR="00434B23" w:rsidRPr="00FB5100">
        <w:rPr>
          <w:rFonts w:eastAsia="MS Mincho"/>
          <w:lang w:val="en-US"/>
        </w:rPr>
        <w:t>ed from 3% to 11.5</w:t>
      </w:r>
      <w:r w:rsidR="002B7B42" w:rsidRPr="00FB5100">
        <w:rPr>
          <w:rFonts w:eastAsia="MS Mincho"/>
          <w:lang w:val="en-US"/>
        </w:rPr>
        <w:t>% over the p</w:t>
      </w:r>
      <w:r w:rsidR="006341B7" w:rsidRPr="00FB5100">
        <w:rPr>
          <w:rFonts w:eastAsia="MS Mincho"/>
          <w:lang w:val="en-US"/>
        </w:rPr>
        <w:t>ast 30 years, reinforcing the importance of the Roadmap.</w:t>
      </w:r>
    </w:p>
    <w:p w14:paraId="5BE4B0BF" w14:textId="77777777" w:rsidR="008F2E23" w:rsidRPr="00CB0960" w:rsidRDefault="008F2E23" w:rsidP="00035C3B">
      <w:pPr>
        <w:pStyle w:val="Heading1"/>
      </w:pPr>
      <w:r w:rsidRPr="00CB0960">
        <w:t>Who will benefit?</w:t>
      </w:r>
    </w:p>
    <w:p w14:paraId="6F5D7AFB" w14:textId="77777777" w:rsidR="00B55C08" w:rsidRPr="00B55C08" w:rsidRDefault="00B55C08" w:rsidP="00B55C08">
      <w:pPr>
        <w:rPr>
          <w:rFonts w:eastAsia="MS Mincho"/>
          <w:lang w:val="en-US"/>
        </w:rPr>
      </w:pPr>
      <w:r w:rsidRPr="00B55C08">
        <w:rPr>
          <w:rFonts w:eastAsia="MS Mincho"/>
          <w:lang w:val="en-US"/>
        </w:rPr>
        <w:t>The Australian Government’s investment will positively impact the health of all Australians by enhancing access to routine health care for routine health matters, including screening, to help pr</w:t>
      </w:r>
      <w:r w:rsidR="00DD2F01">
        <w:rPr>
          <w:rFonts w:eastAsia="MS Mincho"/>
          <w:lang w:val="en-US"/>
        </w:rPr>
        <w:t xml:space="preserve">event, detect and manage cancer, and </w:t>
      </w:r>
      <w:proofErr w:type="spellStart"/>
      <w:r w:rsidR="00DD2F01">
        <w:rPr>
          <w:rFonts w:eastAsia="MS Mincho"/>
          <w:lang w:val="en-US"/>
        </w:rPr>
        <w:t>subsidised</w:t>
      </w:r>
      <w:proofErr w:type="spellEnd"/>
      <w:r w:rsidR="00DD2F01">
        <w:rPr>
          <w:rFonts w:eastAsia="MS Mincho"/>
          <w:lang w:val="en-US"/>
        </w:rPr>
        <w:t xml:space="preserve"> access to important medications.</w:t>
      </w:r>
    </w:p>
    <w:p w14:paraId="7043E917" w14:textId="77777777" w:rsidR="008F2E23" w:rsidRPr="008F2E23" w:rsidRDefault="00B55C08" w:rsidP="00B55C08">
      <w:pPr>
        <w:rPr>
          <w:rFonts w:eastAsia="MS Mincho"/>
          <w:lang w:val="en-US"/>
        </w:rPr>
      </w:pPr>
      <w:r w:rsidRPr="00B55C08">
        <w:rPr>
          <w:rFonts w:eastAsia="MS Mincho"/>
          <w:lang w:val="en-US"/>
        </w:rPr>
        <w:t>Priority populations, including those experiencing socio-economic disadvantage, Aboriginal and Torres Strait Islander people, people living in rural and remote communities, people with a disability and those from CALD backgrounds, will be key beneficiaries of the investment.</w:t>
      </w:r>
      <w:r>
        <w:rPr>
          <w:rFonts w:eastAsia="MS Mincho"/>
          <w:lang w:val="en-US"/>
        </w:rPr>
        <w:t xml:space="preserve">  </w:t>
      </w:r>
    </w:p>
    <w:p w14:paraId="78520592" w14:textId="77777777" w:rsidR="008F2E23" w:rsidRPr="008F2E23" w:rsidRDefault="006C2BB0" w:rsidP="00035C3B">
      <w:pPr>
        <w:pStyle w:val="Heading1"/>
      </w:pPr>
      <w:r>
        <w:t>How much will this cost?</w:t>
      </w:r>
    </w:p>
    <w:p w14:paraId="7DACB9BB" w14:textId="7C8757D4" w:rsidR="00B55C08" w:rsidRDefault="00B55C08" w:rsidP="00B55C08">
      <w:pPr>
        <w:rPr>
          <w:rFonts w:eastAsia="MS Mincho"/>
          <w:noProof/>
        </w:rPr>
      </w:pPr>
      <w:r w:rsidRPr="00857DBA">
        <w:rPr>
          <w:rFonts w:eastAsia="MS Mincho"/>
          <w:noProof/>
        </w:rPr>
        <w:t xml:space="preserve">The Australian Government is investing </w:t>
      </w:r>
      <w:r w:rsidRPr="00FB5100">
        <w:rPr>
          <w:rFonts w:eastAsia="MS Mincho"/>
          <w:noProof/>
        </w:rPr>
        <w:t>$</w:t>
      </w:r>
      <w:r w:rsidR="00AC3F7E" w:rsidRPr="00FB5100">
        <w:rPr>
          <w:rFonts w:eastAsia="MS Mincho"/>
          <w:noProof/>
        </w:rPr>
        <w:t xml:space="preserve">893.5 </w:t>
      </w:r>
      <w:r w:rsidRPr="00FB5100">
        <w:rPr>
          <w:rFonts w:eastAsia="MS Mincho"/>
          <w:noProof/>
        </w:rPr>
        <w:t xml:space="preserve">million over </w:t>
      </w:r>
      <w:r w:rsidR="00FB5100">
        <w:rPr>
          <w:rFonts w:eastAsia="MS Mincho"/>
          <w:noProof/>
        </w:rPr>
        <w:t>five</w:t>
      </w:r>
      <w:r w:rsidR="00A60005" w:rsidRPr="00FB5100">
        <w:rPr>
          <w:rFonts w:eastAsia="MS Mincho"/>
          <w:noProof/>
        </w:rPr>
        <w:t xml:space="preserve"> </w:t>
      </w:r>
      <w:r w:rsidRPr="00FB5100">
        <w:rPr>
          <w:rFonts w:eastAsia="MS Mincho"/>
          <w:noProof/>
        </w:rPr>
        <w:t xml:space="preserve">years, from </w:t>
      </w:r>
      <w:r w:rsidR="00A60005" w:rsidRPr="00FB5100">
        <w:rPr>
          <w:rFonts w:eastAsia="MS Mincho"/>
          <w:noProof/>
        </w:rPr>
        <w:t>2021</w:t>
      </w:r>
      <w:r w:rsidR="00FB5100" w:rsidRPr="00FB5100">
        <w:rPr>
          <w:rFonts w:eastAsia="MS Mincho"/>
          <w:noProof/>
        </w:rPr>
        <w:t>–</w:t>
      </w:r>
      <w:r w:rsidR="00A60005" w:rsidRPr="00FB5100">
        <w:rPr>
          <w:rFonts w:eastAsia="MS Mincho"/>
          <w:noProof/>
        </w:rPr>
        <w:t>22</w:t>
      </w:r>
      <w:r w:rsidRPr="00FB5100">
        <w:rPr>
          <w:rFonts w:eastAsia="MS Mincho"/>
          <w:noProof/>
        </w:rPr>
        <w:t xml:space="preserve"> </w:t>
      </w:r>
      <w:r w:rsidR="002F0F99">
        <w:rPr>
          <w:rFonts w:eastAsia="MS Mincho"/>
          <w:noProof/>
        </w:rPr>
        <w:br/>
      </w:r>
      <w:r w:rsidRPr="00FB5100">
        <w:rPr>
          <w:rFonts w:eastAsia="MS Mincho"/>
          <w:noProof/>
        </w:rPr>
        <w:t xml:space="preserve">to </w:t>
      </w:r>
      <w:r w:rsidR="00A60005" w:rsidRPr="00FB5100">
        <w:rPr>
          <w:rFonts w:eastAsia="MS Mincho"/>
          <w:noProof/>
        </w:rPr>
        <w:t>2025</w:t>
      </w:r>
      <w:r w:rsidR="00FB5100" w:rsidRPr="00FB5100">
        <w:rPr>
          <w:rFonts w:eastAsia="MS Mincho"/>
          <w:noProof/>
        </w:rPr>
        <w:t>–</w:t>
      </w:r>
      <w:r w:rsidR="00A60005" w:rsidRPr="00FB5100">
        <w:rPr>
          <w:rFonts w:eastAsia="MS Mincho"/>
          <w:noProof/>
        </w:rPr>
        <w:t>26</w:t>
      </w:r>
      <w:r w:rsidRPr="00FB5100">
        <w:rPr>
          <w:rFonts w:eastAsia="MS Mincho"/>
          <w:noProof/>
        </w:rPr>
        <w:t>.</w:t>
      </w:r>
      <w:r w:rsidRPr="00233CAC">
        <w:rPr>
          <w:rFonts w:eastAsia="MS Mincho"/>
          <w:noProof/>
        </w:rPr>
        <w:t xml:space="preserve">  </w:t>
      </w:r>
      <w:r>
        <w:rPr>
          <w:rFonts w:eastAsia="MS Mincho"/>
          <w:noProof/>
        </w:rPr>
        <w:t xml:space="preserve">  </w:t>
      </w:r>
    </w:p>
    <w:p w14:paraId="665E3956" w14:textId="77777777" w:rsidR="00600845" w:rsidRDefault="00600845" w:rsidP="00886F01">
      <w:pPr>
        <w:rPr>
          <w:rFonts w:eastAsia="MS Mincho"/>
          <w:noProof/>
        </w:rPr>
      </w:pPr>
    </w:p>
    <w:sectPr w:rsidR="00600845" w:rsidSect="005455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985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26FB" w14:textId="77777777" w:rsidR="00433C56" w:rsidRDefault="00433C56" w:rsidP="00F77677">
      <w:pPr>
        <w:spacing w:before="0" w:line="240" w:lineRule="auto"/>
      </w:pPr>
      <w:r>
        <w:separator/>
      </w:r>
    </w:p>
  </w:endnote>
  <w:endnote w:type="continuationSeparator" w:id="0">
    <w:p w14:paraId="16A44B54" w14:textId="77777777" w:rsidR="00433C56" w:rsidRDefault="00433C56" w:rsidP="00F776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67E6C" w14:textId="6D53E36F" w:rsidR="00BC3FFB" w:rsidRPr="00413995" w:rsidRDefault="00413995" w:rsidP="00413995">
    <w:pPr>
      <w:pStyle w:val="Footer"/>
    </w:pPr>
    <w:r w:rsidRPr="00413995">
      <w:rPr>
        <w:color w:val="153A6E"/>
      </w:rPr>
      <w:t>How the 2022–23 Budget is investing in cancer prevention, diagnosis and treatment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20C3E" w14:textId="5BC56592" w:rsidR="00DD6EBA" w:rsidRPr="00413995" w:rsidRDefault="00413995" w:rsidP="00413995">
    <w:pPr>
      <w:pStyle w:val="Footer"/>
    </w:pPr>
    <w:r w:rsidRPr="00413995">
      <w:rPr>
        <w:color w:val="153A6E"/>
      </w:rPr>
      <w:t>How the 2022–23 Budget is investing in cancer prevention, diagnosis and treatment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0D18" w14:textId="35343D6E" w:rsidR="00BC3FFB" w:rsidRPr="00B55C08" w:rsidRDefault="00B55C08" w:rsidP="00B55C08">
    <w:pPr>
      <w:pStyle w:val="Footer"/>
    </w:pPr>
    <w:r w:rsidRPr="00B55C08">
      <w:rPr>
        <w:color w:val="153A6E"/>
      </w:rPr>
      <w:t>How the 2022–23 Budget is investing in cancer prevention</w:t>
    </w:r>
    <w:r w:rsidR="00413995">
      <w:rPr>
        <w:color w:val="153A6E"/>
      </w:rPr>
      <w:t>, diagnosis</w:t>
    </w:r>
    <w:r w:rsidRPr="00B55C08">
      <w:rPr>
        <w:color w:val="153A6E"/>
      </w:rPr>
      <w:t xml:space="preserve"> and treatment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6712F" w14:textId="77777777" w:rsidR="00433C56" w:rsidRDefault="00433C56" w:rsidP="00F77677">
      <w:pPr>
        <w:spacing w:before="0" w:line="240" w:lineRule="auto"/>
      </w:pPr>
      <w:r>
        <w:separator/>
      </w:r>
    </w:p>
  </w:footnote>
  <w:footnote w:type="continuationSeparator" w:id="0">
    <w:p w14:paraId="073059F5" w14:textId="77777777" w:rsidR="00433C56" w:rsidRDefault="00433C56" w:rsidP="00F776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13C7F" w14:textId="77777777" w:rsidR="00BB6B25" w:rsidRDefault="00F53C8E">
    <w:pPr>
      <w:pStyle w:val="Header"/>
    </w:pPr>
    <w:r w:rsidRPr="00BC78C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70F356" wp14:editId="48340355">
              <wp:simplePos x="0" y="0"/>
              <wp:positionH relativeFrom="column">
                <wp:posOffset>6247130</wp:posOffset>
              </wp:positionH>
              <wp:positionV relativeFrom="page">
                <wp:posOffset>791845</wp:posOffset>
              </wp:positionV>
              <wp:extent cx="363220" cy="7199630"/>
              <wp:effectExtent l="0" t="0" r="0" b="127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63220" cy="7199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1F621DA" w14:textId="77777777" w:rsidR="00F53C8E" w:rsidRPr="003667E5" w:rsidRDefault="0013674C" w:rsidP="00F53C8E">
                          <w:pPr>
                            <w:spacing w:before="0" w:line="160" w:lineRule="exact"/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OVERVIEW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0F3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1.9pt;margin-top:62.35pt;width:28.6pt;height:566.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VJZwIAALEEAAAOAAAAZHJzL2Uyb0RvYy54bWysVFFP2zAQfp+0/2D5vSQppdCIFIWiTpPQ&#10;QIKNZ9dxaKTE59kuCZv23/fZaRlje5rWB/d89+Vy9313Ob8YupY9Kesa0gXPjlLOlJZUNfqx4J/v&#10;15MzzpwXuhItaVXwZ+X4xfL9u/Pe5GpKW2orZRmSaJf3puBb702eJE5uVSfcERmlEazJdsLjah+T&#10;yooe2bs2mabpPOnJVsaSVM7BezUG+TLmr2sl/U1dO+VZW3DU5uNp47kJZ7I8F/mjFWbbyH0Z4h+q&#10;6ESj8dKXVFfCC7azzR+pukZaclT7I0ldQnXdSBV7QDdZ+qabu60wKvYCcpx5ocn9v7Ty09OtZU0F&#10;7TjTooNE92rw7JIGlgV2euNygO4MYH6AOyD3fgdnaHqobccsgdwsPUvDL3KB7hjgoP35heqQW8J5&#10;PD+eThGRCJ1mi8X8OGqRjMlCUmOd/6CoY8EouIWUMat4unYeBQB6gAS4pnXTtlHOVv/mAHD0qDgP&#10;49MiRyUwAzLUFLX6vjo5nZanJ4vJvDzJJjN0MynLdDq5Wpdpmc7Wq8Xs8kfoHjkPzyeBoZGJYPlh&#10;M+zp2VD1DNYiMWjVGblu0Mu1cP5WWIwZnFgdf4OjbqkvOO0tzrZkv/3NH/AFV+IL/jnrMbgFd193&#10;wirO2o8ak7HIZjMk9vEyQ0O42NeRzeuI3nUrwm5AfdQXzYD37cGsLXUP2LEyvBchoSVqKzjePpor&#10;P64TdlSqsowgzLYR/lrfGRlSH+S8Hx6ENXtBPQj8RIcRF/kbXUfsKGS581Q3UfRA8cgrRAgX7EWU&#10;Y7/DYfFe3yPq15dm+RMAAP//AwBQSwMEFAAGAAgAAAAhAKKJsU3jAAAADQEAAA8AAABkcnMvZG93&#10;bnJldi54bWxMj1FLwzAUhd8F/0O4gm8uWd1crU1HEYYiQ2Y32GvWxKaY3NQm3eq/N33Sx3vO4dzv&#10;5OvRGnJWvW8dcpjPGBCFtZMtNhwO+81dCsQHgVIYh4rDj/KwLq6vcpFJd8EPda5CQ2IJ+kxw0CF0&#10;GaW+1soKP3Odwuh9ut6KEM++obIXl1huDU0Ye6BWtBg/aNGpZ63qr2qwHHbvx29dJpvhxSRvW/Za&#10;l9X+uOP89mYsn4AENYa/MEz4ER2KyHRyA0pPDIfH9D6ih2gkixWQKcEW8zjvNEnLdAm0yOn/FcUv&#10;AAAA//8DAFBLAQItABQABgAIAAAAIQC2gziS/gAAAOEBAAATAAAAAAAAAAAAAAAAAAAAAABbQ29u&#10;dGVudF9UeXBlc10ueG1sUEsBAi0AFAAGAAgAAAAhADj9If/WAAAAlAEAAAsAAAAAAAAAAAAAAAAA&#10;LwEAAF9yZWxzLy5yZWxzUEsBAi0AFAAGAAgAAAAhAOQjJUlnAgAAsQQAAA4AAAAAAAAAAAAAAAAA&#10;LgIAAGRycy9lMm9Eb2MueG1sUEsBAi0AFAAGAAgAAAAhAKKJsU3jAAAADQEAAA8AAAAAAAAAAAAA&#10;AAAAwQQAAGRycy9kb3ducmV2LnhtbFBLBQYAAAAABAAEAPMAAADRBQAAAAA=&#10;" filled="f" stroked="f">
              <v:textbox style="layout-flow:vertical-ideographic">
                <w:txbxContent>
                  <w:p w14:paraId="51F621DA" w14:textId="77777777" w:rsidR="00F53C8E" w:rsidRPr="003667E5" w:rsidRDefault="0013674C" w:rsidP="00F53C8E">
                    <w:pPr>
                      <w:spacing w:before="0" w:line="160" w:lineRule="exact"/>
                      <w:jc w:val="right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OVERVIEW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BB6B25" w:rsidRPr="00BB6B2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70AC99" wp14:editId="139A1F75">
              <wp:simplePos x="0" y="0"/>
              <wp:positionH relativeFrom="page">
                <wp:posOffset>6948170</wp:posOffset>
              </wp:positionH>
              <wp:positionV relativeFrom="page">
                <wp:align>center</wp:align>
              </wp:positionV>
              <wp:extent cx="396000" cy="10260000"/>
              <wp:effectExtent l="0" t="0" r="4445" b="8255"/>
              <wp:wrapNone/>
              <wp:docPr id="15" name="Rectangle 15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10260000"/>
                      </a:xfrm>
                      <a:prstGeom prst="rect">
                        <a:avLst/>
                      </a:prstGeom>
                      <a:solidFill>
                        <a:srgbClr val="6D6E7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73D59F" id="Rectangle 15" o:spid="_x0000_s1026" alt="&quot; &quot;" style="position:absolute;margin-left:547.1pt;margin-top:0;width:31.2pt;height:807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+kawIAAMoEAAAOAAAAZHJzL2Uyb0RvYy54bWysVE1v2zAMvQ/YfxB02G21k6XpmtUpgmYd&#10;BhRtsXbomZEl24AkapISp/v1o2Sn7bqdhl1kUqT48fjos/O90WwnfejQVnxyVHImrcC6s03Fv99f&#10;vv/IWYhga9BoZcUfZeDny7dvznq3kFNsUdfSMwpiw6J3FW9jdIuiCKKVBsIROmnJqNAbiKT6pqg9&#10;9BTd6GJalvOiR187j0KGQLfrwciXOb5SUsQbpYKMTFecaov59PncpLNYnsGi8eDaToxlwD9UYaCz&#10;lPQp1BoisK3v/ghlOuExoIpHAk2BSnVC5h6om0n5qpu7FpzMvRA4wT3BFP5fWHG9u/Wsq2l2x5xZ&#10;MDSjb4Qa2EZLlu5qGQQB9u7HFuMnNnwSbL0LC3p95279qAUSEwZ75U36Undsn6F+fIJa7iMTdPnh&#10;dF6WNBBBpkk5TUoeRvH83PkQv0g0LAkV91RVhhh2VyFSSnI9uKRsAXVXX3ZaZ8U3mwvt2Q5o7vP1&#10;/PPJJNVMT35z05b1FZ8ez3IpQPxTGiJVZRwhEmzDGeiGiC2iz7ktpgwUaci9htAOOXLYMYW2yS4z&#10;+8ZSE1gDPEnaYP1IqHsc6BicuOyoxysI8RY88Y+AoZ2KN3QojVQijhJnLfqff7tP/kQLsnLWE5+p&#10;/B9b8JIz/dUSYU4ns1lagKzMjk+mpPiXls1Li92aCyToJrS9TmQx+Ud9EJVH80Crt0pZyQRWUO4B&#10;qFG5iMOe0fIKuVplNyK9g3hl75xIwQ843u8fwLtx0JE4co0H7sPi1bwH3/TS4mobUXWZDM+40piT&#10;QguTBz4ud9rIl3r2ev4FLX8BAAD//wMAUEsDBBQABgAIAAAAIQDfHWb24AAAAAsBAAAPAAAAZHJz&#10;L2Rvd25yZXYueG1sTI/NTsMwEITvSLyDtUhcEHVStaYNcSqE+LnAgRbubrwkUeN1sN028PRsT3Db&#10;0YxmvylXo+vFAUPsPGnIJxkIpNrbjhoN75vH6wWImAxZ03tCDd8YYVWdn5WmsP5Ib3hYp0ZwCcXC&#10;aGhTGgopY92iM3HiByT2Pn1wJrEMjbTBHLnc9XKaZUo60xF/aM2A9y3Wu/XeadhczRbP6jXYH/Qv&#10;X8unYfdh6EHry4vx7hZEwjH9heGEz+hQMdPW78lG0bPOlrMpZzXwpJOfz5UCseVL5fMbkFUp/2+o&#10;fgEAAP//AwBQSwECLQAUAAYACAAAACEAtoM4kv4AAADhAQAAEwAAAAAAAAAAAAAAAAAAAAAAW0Nv&#10;bnRlbnRfVHlwZXNdLnhtbFBLAQItABQABgAIAAAAIQA4/SH/1gAAAJQBAAALAAAAAAAAAAAAAAAA&#10;AC8BAABfcmVscy8ucmVsc1BLAQItABQABgAIAAAAIQBb4J+kawIAAMoEAAAOAAAAAAAAAAAAAAAA&#10;AC4CAABkcnMvZTJvRG9jLnhtbFBLAQItABQABgAIAAAAIQDfHWb24AAAAAsBAAAPAAAAAAAAAAAA&#10;AAAAAMUEAABkcnMvZG93bnJldi54bWxQSwUGAAAAAAQABADzAAAA0gUAAAAA&#10;" fillcolor="#6d6e71" stroked="f" strokeweight="2pt">
              <w10:wrap anchorx="page" anchory="page"/>
            </v:rect>
          </w:pict>
        </mc:Fallback>
      </mc:AlternateContent>
    </w:r>
    <w:r w:rsidR="00BB6B25" w:rsidRPr="00BB6B25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B595FC" wp14:editId="4347AD27">
              <wp:simplePos x="0" y="0"/>
              <wp:positionH relativeFrom="page">
                <wp:posOffset>215900</wp:posOffset>
              </wp:positionH>
              <wp:positionV relativeFrom="page">
                <wp:posOffset>215900</wp:posOffset>
              </wp:positionV>
              <wp:extent cx="7128000" cy="10260000"/>
              <wp:effectExtent l="0" t="0" r="15875" b="27305"/>
              <wp:wrapNone/>
              <wp:docPr id="14" name="Rectangle 14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00" cy="102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rgbClr val="6D6E71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B3B8F2" id="Rectangle 14" o:spid="_x0000_s1026" alt="&quot; &quot;" style="position:absolute;margin-left:17pt;margin-top:17pt;width:561.25pt;height:807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MgbQIAAMoEAAAOAAAAZHJzL2Uyb0RvYy54bWysVEtv2zAMvg/YfxB02G21naVpl9UpgmYd&#10;BhRtsXTomZHlB6BXKSVO++tHyW7adTsNu8ikSPHx8aPPzvdasZ1E31lT8uIo50waYavONCX/eXf5&#10;8ZQzH8BUoKyRJX+Unp8v3r87691cTmxrVSWRURDj570reRuCm2eZF63U4I+sk4aMtUUNgVRssgqh&#10;p+haZZM8n2W9xcqhFdJ7ul0NRr5I8etainBT114GpkpOtYV0Yjo38cwWZzBvEFzbibEM+IcqNHSG&#10;kh5CrSAA22L3RyjdCbTe1uFIWJ3Zuu6ETD1QN0X+ppt1C06mXggc7w4w+f8XVlzvbpF1Fc1uypkB&#10;TTP6QaiBaZRk8a6SXhBgHx62NnxhwyfC1js/p9drd4uj5kmMGOxr1PFL3bF9gvrxALXcBybo8qSY&#10;nOY5TUSQrcgnM1LSNLKX9w59+CatZlEoOVJZCWPYXflAOcn12SWmM/ayUyoNVBnWl3z26TgmAKJV&#10;rSCQqB016k3DGaiG+CoCpojeqq6Kr2Mcj83mQiHbAXFmtpp9PSliv5TtN7eYegW+HfySaXRTJoaR&#10;iX1jpRGsAZ4obWz1SKijHejonbjsKNoV+HALSPyjsmmnwg0dtbLUih0lzlqLT3+7j/5EC7Jy1hOf&#10;qc+HLaDkTH03RJjPxXQaFyAp0+OTCSn42rJ5bTFbfWGp/YK214kkRv+gnsUarb6n1VvGrGQCIyj3&#10;gOioXIRhz2h5hVwukxuR3kG4MmsnYvCIU8Txbn8P6MY5B+LItX3mPszfjHvwHQa+3AZbd4kLL7jS&#10;qKJCC5OGNi533MjXevJ6+QUtfgEAAP//AwBQSwMEFAAGAAgAAAAhAAhdCFLhAAAACwEAAA8AAABk&#10;cnMvZG93bnJldi54bWxMj0FLw0AQhe8F/8MyBW/tJtpEjdkUEUUvUqzS0ts2O01Cs7MhO22jv94t&#10;CHqaGd7jzffy+WBbccTeN44UxNMIBFLpTEOVgs+P58ktCM+ajG4doYIv9DAvLka5zow70Tsel1yJ&#10;EEI+0wpq5i6T0pc1Wu2nrkMK2s71VnM4+0qaXp9CuG3lVRSl0uqGwodad/hYY7lfHqyC9fdqwX79&#10;Ur1uNk9xGq1ksn9bKHU5Hh7uQTAO/GeGM35AhyIwbd2BjBetgutZqMK/86zHSZqA2IYtnd3dgCxy&#10;+b9D8QMAAP//AwBQSwECLQAUAAYACAAAACEAtoM4kv4AAADhAQAAEwAAAAAAAAAAAAAAAAAAAAAA&#10;W0NvbnRlbnRfVHlwZXNdLnhtbFBLAQItABQABgAIAAAAIQA4/SH/1gAAAJQBAAALAAAAAAAAAAAA&#10;AAAAAC8BAABfcmVscy8ucmVsc1BLAQItABQABgAIAAAAIQCutHMgbQIAAMoEAAAOAAAAAAAAAAAA&#10;AAAAAC4CAABkcnMvZTJvRG9jLnhtbFBLAQItABQABgAIAAAAIQAIXQhS4QAAAAsBAAAPAAAAAAAA&#10;AAAAAAAAAMcEAABkcnMvZG93bnJldi54bWxQSwUGAAAAAAQABADzAAAA1QUAAAAA&#10;" filled="f" strokecolor="#6d6e71" strokeweight="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2EDA6" w14:textId="77777777" w:rsidR="00F77677" w:rsidRDefault="00F53C8E" w:rsidP="00F77677">
    <w:pPr>
      <w:pStyle w:val="Header"/>
      <w:tabs>
        <w:tab w:val="clear" w:pos="9026"/>
      </w:tabs>
    </w:pPr>
    <w:r w:rsidRPr="00BC78C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CA8B62" wp14:editId="0851FCC1">
              <wp:simplePos x="0" y="0"/>
              <wp:positionH relativeFrom="column">
                <wp:posOffset>6248400</wp:posOffset>
              </wp:positionH>
              <wp:positionV relativeFrom="page">
                <wp:posOffset>791845</wp:posOffset>
              </wp:positionV>
              <wp:extent cx="363220" cy="7199630"/>
              <wp:effectExtent l="0" t="0" r="0" b="127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63220" cy="7199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F311F90" w14:textId="77777777" w:rsidR="00F53C8E" w:rsidRPr="003667E5" w:rsidRDefault="0013674C" w:rsidP="00F53C8E">
                          <w:pPr>
                            <w:spacing w:before="0" w:line="160" w:lineRule="exact"/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OVERVIEW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A8B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92pt;margin-top:62.35pt;width:28.6pt;height:566.9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NNagIAALgEAAAOAAAAZHJzL2Uyb0RvYy54bWysVE1v2zAMvQ/YfxB0T/zRJG2MOoWbIMOA&#10;oi3Qbj0rstwYsCVNUmJ3Q//7nuQk67qdhuWgUOQzTb5H+vKqbxuyF8bWSuY0GceUCMlVWcvnnH55&#10;XI8uKLGOyZI1SoqcvghLrxYfP1x2OhOp2qqmFIYgibRZp3O6dU5nUWT5VrTMjpUWEsFKmZY5XM1z&#10;VBrWIXvbRGkcz6JOmVIbxYW18K6GIF2E/FUluLurKiscaXKK2lw4TTg3/owWlyx7Nkxva34og/1D&#10;FS2rJV56SrVijpGdqf9I1dbcKKsqN+aqjVRV1VyEHtBNEr/r5mHLtAi9gByrTzTZ/5eW3+7vDanL&#10;nKaUSNZCokfRO3KtepJ6djptM4AeNGCuhxsqH/0WTt90X5mWGAVyk/gi9r/ABbojgIP2lxPVPjeH&#10;82x2lqaIcITOk/l8dha0iIZkPqk21n0SqiXeyKmBlCEr299Yh8IAPUI8XKp13TRBzkb+5gBw8Igw&#10;D8PTLEMlMD3S1xS0+rGcnqfF+XQ+mhXTZDRBN6OiiNPRal3ERTxZL+eT61ffPXIen488QwMT3nL9&#10;pg98nljaqPIF5AV+0LHVfF2jpRtm3T0zmDY4sUHuDkfVqC6n6mBRslXm+9/8Hp9Twb7in5IO85tT&#10;+23HjKCk+SwxIPNkMkFiFy4T9IWLeRvZvI3IXbtUWJEk1BdMj3fN0ayMap+waoV/L0JMctSWU7x9&#10;MJdu2CqsKhdFEUAYcc3cjXzQ3Kc+qvrYPzGjD7o68HirjpPOsnfyDthBz2LnVFUH7T3TA6/Qwl+w&#10;HkGVwyr7/Xt7D6hfH5zFTwAAAP//AwBQSwMEFAAGAAgAAAAhALCaKqfiAAAADQEAAA8AAABkcnMv&#10;ZG93bnJldi54bWxMj19LwzAUxd8Fv0O4gm8uWei0dk1HEYYiIrMT9pq1d00xf2qTbvXbmz7p4z3n&#10;cO7v5JvJaHLGwXfOClguGBC0tWs62wr43G/vUiA+SNtI7SwK+EEPm+L6KpdZ4y72A89VaEkssT6T&#10;AlQIfUaprxUa6ReuRxu9kxuMDPEcWtoM8hLLjaacsXtqZGfjByV7fFJYf1WjEbB7P3yrkm/HZ81f&#10;39hLXVb7w06I25upXAMJOIW/MMz4ER2KyHR0o2080QIe0yRuCdHgyQOQOcGSJQdynKVVugJa5PT/&#10;iuIXAAD//wMAUEsBAi0AFAAGAAgAAAAhALaDOJL+AAAA4QEAABMAAAAAAAAAAAAAAAAAAAAAAFtD&#10;b250ZW50X1R5cGVzXS54bWxQSwECLQAUAAYACAAAACEAOP0h/9YAAACUAQAACwAAAAAAAAAAAAAA&#10;AAAvAQAAX3JlbHMvLnJlbHNQSwECLQAUAAYACAAAACEAiMqTTWoCAAC4BAAADgAAAAAAAAAAAAAA&#10;AAAuAgAAZHJzL2Uyb0RvYy54bWxQSwECLQAUAAYACAAAACEAsJoqp+IAAAANAQAADwAAAAAAAAAA&#10;AAAAAADEBAAAZHJzL2Rvd25yZXYueG1sUEsFBgAAAAAEAAQA8wAAANMFAAAAAA==&#10;" filled="f" stroked="f">
              <v:textbox style="layout-flow:vertical-ideographic">
                <w:txbxContent>
                  <w:p w14:paraId="6F311F90" w14:textId="77777777" w:rsidR="00F53C8E" w:rsidRPr="003667E5" w:rsidRDefault="0013674C" w:rsidP="00F53C8E">
                    <w:pPr>
                      <w:spacing w:before="0" w:line="160" w:lineRule="exact"/>
                      <w:jc w:val="right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OVERVIEW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B73AA3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5A3CE6" wp14:editId="3CDF13A7">
              <wp:simplePos x="0" y="0"/>
              <wp:positionH relativeFrom="page">
                <wp:posOffset>6948805</wp:posOffset>
              </wp:positionH>
              <wp:positionV relativeFrom="page">
                <wp:align>center</wp:align>
              </wp:positionV>
              <wp:extent cx="396000" cy="10260000"/>
              <wp:effectExtent l="0" t="0" r="4445" b="8255"/>
              <wp:wrapNone/>
              <wp:docPr id="5" name="Rectangle 5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10260000"/>
                      </a:xfrm>
                      <a:prstGeom prst="rect">
                        <a:avLst/>
                      </a:prstGeom>
                      <a:solidFill>
                        <a:srgbClr val="6D6E7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39A8CA" id="Rectangle 5" o:spid="_x0000_s1026" alt="&quot; &quot;" style="position:absolute;margin-left:547.15pt;margin-top:0;width:31.2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QloQIAAJwFAAAOAAAAZHJzL2Uyb0RvYy54bWysVN9P3DAMfp+0/yHKw95G2xsc40YPnWBM&#10;kxAgYOI5lybXSmkcnNwv/vo5aa/cAO1h2ksbx/Zn+4vt07NNa9hKoW/Alrw4yDlTVkLV2EXJfz1c&#10;fv7KmQ/CVsKAVSXfKs/Pph8/nK7dRI2gBlMpZARi/WTtSl6H4CZZ5mWtWuEPwClLSg3YikAiLrIK&#10;xZrQW5ON8nycrQErhyCV93R70Sn5NOFrrWS40dqrwEzJKbeQvpi+8/jNpqdiskDh6kb2aYh/yKIV&#10;jaWgA9SFCIItsXkD1TYSwYMOBxLaDLRupEo1UDVF/qqa+1o4lWohcrwbaPL/D1Zer26RNVXJjziz&#10;oqUnuiPShF0YxeiqUl4SXZ+elhC+se4XSVs7PyHfe3eLveTpGBnYaGzjn2pjm0T0diBabQKTdPnl&#10;ZJzn9BySVEU+ikJ6iuzF3aEPPxS0LB5KjpRUIlisrnygkGS6M4nRPJimumyMSQIu5ucG2UrQq48v&#10;xt+Pi5gzufxhZmw0thDdOnW8yWJpXTHpFLZGRTtj75Qmpij9Ucok9aga4ggplQ1Fp6pFpbrwR3u1&#10;DR4plwQYkTXFH7B7gNj/b7G7LHv76KpSiw/O+d8S65wHjxQZbBic28YCvgdgqKo+cme/I6mjJrI0&#10;h2pLfYTQDZh38rKhd7sSPtwKpImix6YtEW7oow2sSw79ibMa8Pm9+2hPjU5aztY0oSX3T0uBijPz&#10;09IInBSHh3Gkk3B4dDwiAfc1832NXbbnQO1Q0D5yMh2jfTC7o0ZoH2mZzGJUUgkrKXbJZcCdcB66&#10;zUHrSKrZLJnRGDsRruy9kxE8shr78mHzKND1zRuo769hN81i8qqHO9voaWG2DKCb1OAvvPZ80wpI&#10;jdOvq7hj9uVk9bJUp78BAAD//wMAUEsDBBQABgAIAAAAIQC37Pc24AAAAAsBAAAPAAAAZHJzL2Rv&#10;d25yZXYueG1sTI/NTsMwEITvSLyDtUhcEHUCbdqGOBVCQC9woD93N16SqPE62G4beHq2J7jtaEaz&#10;3xSLwXbiiD60jhSkowQEUuVMS7WCzfrldgYiRE1Gd45QwTcGWJSXF4XOjTvRBx5XsRZcQiHXCpoY&#10;+1zKUDVodRi5Hom9T+etjix9LY3XJy63nbxLkkxa3RJ/aHSPTw1W+9XBKljfjGfL7N2bH3RvX/PX&#10;fr/V9KzU9dXw+AAi4hD/wnDGZ3QomWnnDmSC6Fgn8/E9ZxXwpLOfTrIpiB1fWTqZgiwL+X9D+QsA&#10;AP//AwBQSwECLQAUAAYACAAAACEAtoM4kv4AAADhAQAAEwAAAAAAAAAAAAAAAAAAAAAAW0NvbnRl&#10;bnRfVHlwZXNdLnhtbFBLAQItABQABgAIAAAAIQA4/SH/1gAAAJQBAAALAAAAAAAAAAAAAAAAAC8B&#10;AABfcmVscy8ucmVsc1BLAQItABQABgAIAAAAIQDf5AQloQIAAJwFAAAOAAAAAAAAAAAAAAAAAC4C&#10;AABkcnMvZTJvRG9jLnhtbFBLAQItABQABgAIAAAAIQC37Pc24AAAAAsBAAAPAAAAAAAAAAAAAAAA&#10;APsEAABkcnMvZG93bnJldi54bWxQSwUGAAAAAAQABADzAAAACAYAAAAA&#10;" fillcolor="#6d6e71" stroked="f" strokeweight="2pt">
              <w10:wrap anchorx="page" anchory="page"/>
            </v:rect>
          </w:pict>
        </mc:Fallback>
      </mc:AlternateContent>
    </w:r>
    <w:r w:rsidR="00905865" w:rsidRPr="00C6527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5165" behindDoc="1" locked="0" layoutInCell="1" allowOverlap="1" wp14:anchorId="5501CE2D" wp14:editId="414F6C63">
              <wp:simplePos x="0" y="0"/>
              <wp:positionH relativeFrom="page">
                <wp:posOffset>215900</wp:posOffset>
              </wp:positionH>
              <wp:positionV relativeFrom="page">
                <wp:posOffset>208915</wp:posOffset>
              </wp:positionV>
              <wp:extent cx="7128000" cy="10260000"/>
              <wp:effectExtent l="0" t="0" r="15875" b="27305"/>
              <wp:wrapNone/>
              <wp:docPr id="3" name="Rectangle 3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00" cy="1026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6D6E7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B267" id="Rectangle 3" o:spid="_x0000_s1026" alt="&quot; &quot;" style="position:absolute;margin-left:17pt;margin-top:16.45pt;width:561.25pt;height:807.85pt;z-index:-2516613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sFrQIAALQFAAAOAAAAZHJzL2Uyb0RvYy54bWysVEtP3DAQvlfqf7B86K0kWWChW7JoBaWq&#10;hAABFWevY28iOR4z9r766zt2stkVRT1UvSQez/P7PDMXl5vWsJVC34AteXGUc6ashKqxi5L/fL75&#10;fM6ZD8JWwoBVJd8qzy+nHz9crN1EjaAGUylkFMT6ydqVvA7BTbLMy1q1wh+BU5aUGrAVgURcZBWK&#10;NUVvTTbK83G2BqwcglTe0+11p+TTFF9rJcO91l4FZkpOtYX0xfSdx282vRCTBQpXN7IvQ/xDFa1o&#10;LCUdQl2LINgSmz9CtY1E8KDDkYQ2A60bqRIGQlPkb9A81cKphIXI8W6gyf+/sPJu9YCsqUp+zJkV&#10;LT3RI5Em7MIoRleV8pLo+vS6hPCVdb9I2tr5Cfk+uQfsJU/HyMBGYxv/hI1tEtHbgWi1CUzS5Vkx&#10;Os9zeg9JuiIfjUlIb5Ht/R368F1By+Kh5EhVJYbF6tYHykmmO5OYzsJNY0x6TmPZuuTj49M8OXgw&#10;TRWV0czjYn5lkK0ENcT4evztrIhwKNiBGUnGRmuVOqjPFyF3INMpbI2KNsY+Kk0MEqxRly/2rhqS&#10;CCmVDUWnqkWlutynB5BTt0ePVEgKGCNrqnmI3Qd4P3aHoLffFz4490T8zbmDSh4pM9gwOLeNBXwP&#10;mSFUfebOnso/oCYe51Btqb8QusHzTt409Jy3wocHgTRp1AO0PcI9fbQBejboT5zVgL/eu4/2NACk&#10;5WxNk1ty/7oUqDgzPyyNxpfi5CSOehJOTs9GJOChZn6oscv2CqgXCtpTTqZjtA9md9QI7QstmVnM&#10;SiphJeUuuQy4E65Ct1FoTUk1myUzGm8nwq19cjIGj6zGdn3evAh0fU8Hmoc72E25mLxp7c42elqY&#10;LQPoJvX9nteeb1oNqXH6NRZ3z6GcrPbLdvobAAD//wMAUEsDBBQABgAIAAAAIQAk26bi4wAAAAsB&#10;AAAPAAAAZHJzL2Rvd25yZXYueG1sTI9BT8MwDIXvSPyHyEjcWNqxRqM0nRACwQVNDLRpt6wxbbXG&#10;qZpsK/x6vBOcbOs9PX+vWIyuE0ccQutJQzpJQCBV3rZUa/j8eL6ZgwjRkDWdJ9TwjQEW5eVFYXLr&#10;T/SOx1WsBYdQyI2GJsY+lzJUDToTJr5HYu3LD85EPoda2sGcONx1cpokSjrTEn9oTI+PDVb71cFp&#10;2PyslzFsXurX7fYpVclaZvu3pdbXV+PDPYiIY/wzwxmf0aFkpp0/kA2i03A74yqR5/QOxFlPM5WB&#10;2PGmZnMFsizk/w7lLwAAAP//AwBQSwECLQAUAAYACAAAACEAtoM4kv4AAADhAQAAEwAAAAAAAAAA&#10;AAAAAAAAAAAAW0NvbnRlbnRfVHlwZXNdLnhtbFBLAQItABQABgAIAAAAIQA4/SH/1gAAAJQBAAAL&#10;AAAAAAAAAAAAAAAAAC8BAABfcmVscy8ucmVsc1BLAQItABQABgAIAAAAIQBKcPsFrQIAALQFAAAO&#10;AAAAAAAAAAAAAAAAAC4CAABkcnMvZTJvRG9jLnhtbFBLAQItABQABgAIAAAAIQAk26bi4wAAAAsB&#10;AAAPAAAAAAAAAAAAAAAAAAcFAABkcnMvZG93bnJldi54bWxQSwUGAAAAAAQABADzAAAAFwYAAAAA&#10;" filled="f" strokecolor="#6d6e71" strokeweight="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F1A37" w14:textId="77777777" w:rsidR="00BC78C8" w:rsidRDefault="004F79BE">
    <w:pPr>
      <w:pStyle w:val="Header"/>
    </w:pPr>
    <w:r w:rsidRPr="00BC78C8">
      <w:rPr>
        <w:noProof/>
      </w:rPr>
      <w:drawing>
        <wp:anchor distT="0" distB="0" distL="114300" distR="114300" simplePos="0" relativeHeight="251654140" behindDoc="0" locked="0" layoutInCell="1" allowOverlap="1" wp14:anchorId="1EFDFC37" wp14:editId="6E895B42">
          <wp:simplePos x="0" y="0"/>
          <wp:positionH relativeFrom="page">
            <wp:posOffset>723900</wp:posOffset>
          </wp:positionH>
          <wp:positionV relativeFrom="paragraph">
            <wp:posOffset>347980</wp:posOffset>
          </wp:positionV>
          <wp:extent cx="5616000" cy="750020"/>
          <wp:effectExtent l="0" t="0" r="3810" b="0"/>
          <wp:wrapSquare wrapText="bothSides"/>
          <wp:docPr id="20" name="Picture 20" descr="Australian Government Department of Health crest and Budget 2022-23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0" cy="75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032C" w:rsidRPr="00BC78C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385DAB" wp14:editId="266E6308">
              <wp:simplePos x="0" y="0"/>
              <wp:positionH relativeFrom="column">
                <wp:posOffset>6240145</wp:posOffset>
              </wp:positionH>
              <wp:positionV relativeFrom="page">
                <wp:posOffset>791845</wp:posOffset>
              </wp:positionV>
              <wp:extent cx="363220" cy="7199630"/>
              <wp:effectExtent l="0" t="0" r="0" b="1270"/>
              <wp:wrapSquare wrapText="bothSides"/>
              <wp:docPr id="19" name="Text Box 19" descr="Banner of category ..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63220" cy="7199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AC95886" w14:textId="77777777" w:rsidR="00BC78C8" w:rsidRPr="003667E5" w:rsidRDefault="0013674C" w:rsidP="00746E44">
                          <w:pPr>
                            <w:spacing w:before="0" w:line="160" w:lineRule="exact"/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OVERVIEW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385DA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alt="Banner of category ..." style="position:absolute;margin-left:491.35pt;margin-top:62.35pt;width:28.6pt;height:566.9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DcfwIAANkEAAAOAAAAZHJzL2Uyb0RvYy54bWysVF1P2zAUfZ+0/2D5vc0HpdCIFIWiTpMQ&#10;IMHGs+s4baTE9myXpJv47zt2GsbYnqb1wb2+9/r43nN8c3HZtw15FsbWSuY0mcaUCMlVWcttTr88&#10;rifnlFjHZMkaJUVOD8LSy+XHDxedzkSqdqophSEAkTbrdE53zuksiizfiZbZqdJCIlgp0zKHrdlG&#10;pWEd0NsmSuN4HnXKlNooLqyF93oI0mXAryrB3V1VWeFIk1PU5sJqwrrxa7S8YNnWML2r+bEM9g9V&#10;tKyWuPQV6po5Rvam/gOqrblRVlVuylUbqaqquQg9oJskftfNw45pEXoBOVa/0mT/Hyy/fb43pC6h&#10;3YISyVpo9Ch6R65UT7yrFJaDrysmJYRSFeHMia0yBzKdTj19nbYZUB40cFyPY4Aa/RZOz0pfmZYY&#10;BfaT+Dz2v0AW2idIhy6HVy383RzOk/lJmiLCETpLFov5SRArGsA8qDbWfRKqJd7IqYHWAZU931iH&#10;wpA6pvh0qdZ10wS9G/mbA4mDR4QHM5xmGSqB6TN9TUHMH6vTs7Q4O11M5sVpMpmhm0lRxOnkel3E&#10;RTxbrxazqxffPTDH85FnaGDCW67f9IHwdGRpo8oDyAv8oGOr+bpGSzfMuntm8BzhxIi5OyxVo7qc&#10;qqNFyU6Z73/z+/ycCvYV/5R0eOA5td/2zAhKms8SL2iRzGYAdmEzQ1/YmLeRzduI3LcrhRlKQn3B&#10;9PmuGc3KqPYJs1j4exFikqO2nOL2wVy5Yewwy1wURUjCDGjmbuSD5h56VPWxf2JGH3V14PFWjaPA&#10;snfyDrmDnsXeqaoO2numB16hhd9gfoIqx1n3A/p2H7J+fZGWPwEAAP//AwBQSwMEFAAGAAgAAAAh&#10;ALTYGJnjAAAADQEAAA8AAABkcnMvZG93bnJldi54bWxMj8FOwzAQRO9I/IO1SNyoTaCQpHGqCKkC&#10;IYRKWqlXNzZxhL0OsdOGv8c5wW13ZzT7plhP1pCTGnznkMPtggFR2DjZYcthv9vcpEB8ECiFcag4&#10;/CgP6/LyohC5dGf8UKc6tCSGoM8FBx1Cn1PqG62s8AvXK4zapxusCHEdWioHcY7h1tCEsQdqRYfx&#10;gxa9etKq+apHy2H7fvjWVbIZn03y+sZemqreHbacX19N1QpIUFP4M8OMH9GhjExHN6L0xHDI0uQx&#10;WqOQ3MdhdrC7LANynE/LdAm0LOj/FuUvAAAA//8DAFBLAQItABQABgAIAAAAIQC2gziS/gAAAOEB&#10;AAATAAAAAAAAAAAAAAAAAAAAAABbQ29udGVudF9UeXBlc10ueG1sUEsBAi0AFAAGAAgAAAAhADj9&#10;If/WAAAAlAEAAAsAAAAAAAAAAAAAAAAALwEAAF9yZWxzLy5yZWxzUEsBAi0AFAAGAAgAAAAhALfO&#10;gNx/AgAA2QQAAA4AAAAAAAAAAAAAAAAALgIAAGRycy9lMm9Eb2MueG1sUEsBAi0AFAAGAAgAAAAh&#10;ALTYGJnjAAAADQEAAA8AAAAAAAAAAAAAAAAA2QQAAGRycy9kb3ducmV2LnhtbFBLBQYAAAAABAAE&#10;APMAAADpBQAAAAA=&#10;" filled="f" stroked="f">
              <v:textbox style="layout-flow:vertical-ideographic">
                <w:txbxContent>
                  <w:p w14:paraId="4AC95886" w14:textId="77777777" w:rsidR="00BC78C8" w:rsidRPr="003667E5" w:rsidRDefault="0013674C" w:rsidP="00746E44">
                    <w:pPr>
                      <w:spacing w:before="0" w:line="160" w:lineRule="exact"/>
                      <w:jc w:val="right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OVERVIEW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BC3FFB" w:rsidRPr="00BC78C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D9F1C2" wp14:editId="0B1CA71A">
              <wp:simplePos x="0" y="0"/>
              <wp:positionH relativeFrom="page">
                <wp:posOffset>6939280</wp:posOffset>
              </wp:positionH>
              <wp:positionV relativeFrom="page">
                <wp:posOffset>204470</wp:posOffset>
              </wp:positionV>
              <wp:extent cx="396000" cy="10260000"/>
              <wp:effectExtent l="0" t="0" r="4445" b="8255"/>
              <wp:wrapNone/>
              <wp:docPr id="18" name="Rectangle 18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10260000"/>
                      </a:xfrm>
                      <a:prstGeom prst="rect">
                        <a:avLst/>
                      </a:prstGeom>
                      <a:solidFill>
                        <a:srgbClr val="6D6E7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F63223" id="Rectangle 18" o:spid="_x0000_s1026" alt="&quot; &quot;" style="position:absolute;margin-left:546.4pt;margin-top:16.1pt;width:31.2pt;height:807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PEoAIAAJ4FAAAOAAAAZHJzL2Uyb0RvYy54bWysVEtPGzEQvlfqf7B86K3sbgqhpGxQBKWq&#10;hAABFWfHaycreT3GdrIJv74z3s2SAuqh6sX2eN7fPE7PNo1ha+VDDbbkxUHOmbISqtouSv7r4fLz&#10;V85CFLYSBqwq+VYFfjb9+OG0dRM1giWYSnmGRmyYtK7kyxjdJMuCXKpGhANwyiJTg29ERNIvssqL&#10;Fq03Jhvl+ThrwVfOg1Qh4O9Fx+TTZF9rJeON1kFFZkqOscV0+nTO6cymp2Ky8MIta9mHIf4hikbU&#10;Fp0Opi5EFGzl6zemmlp6CKDjgYQmA61rqVIOmE2Rv8rmfimcSrkgOMENMIX/Z1Zer289qyusHVbK&#10;igZrdIeoCbswitFfpYJEwD49rSB+Y91FsLUuTFD73t36ngr4JAw22jd0Y3Zsk6DeDlCrTWQSP7+c&#10;jPMcCyKRVeQjIlIxshd150P8oaBh9Ci5x6gSxGJ9FSK6RNGdCHkLYOrqsjYmEX4xPzeerQXWfXwx&#10;/n5cUMyo8oeYsSRsgdQ6Nv1klFqXTHrFrVEkZ+yd0ogVhj9KkaQuVYMfIaWysehYS1Gpzv3RXm6D&#10;RoolGSTLGv0PtnsDNAFvbXdR9vKkqlKTD8r53wLrlAeN5BlsHJSb2oJ/z4DBrHrPnfwOpA4aQmkO&#10;1RY7yUM3YsHJyxrrdiVCvBUeZwqLjXsi3uChDbQlh/7F2RL883v/JI+tjlzOWpzRkoenlfCKM/PT&#10;4hCcFIeHNNSJODw6HiHh9znzfY5dNeeA7VDgRnIyPUk+mt1Te2gecZ3MyCuyhJXou+Qy+h1xHrvd&#10;gQtJqtksieEgOxGv7L2TZJxQpb582DwK7/rmjdj317CbZzF51cOdLGlamK0i6Do1+AuuPd64BFLj&#10;9AuLtsw+naRe1ur0NwAAAP//AwBQSwMEFAAGAAgAAAAhAAyT4ZDhAAAADQEAAA8AAABkcnMvZG93&#10;bnJldi54bWxMj8FOwzAQRO9I/IO1SFwQdRra0IQ4FUJAL3CghbsbL0nUeB1stw18PdsT3Ga0o9k3&#10;5XK0vTigD50jBdNJAgKpdqajRsH75ul6ASJETUb3jlDBNwZYVudnpS6MO9IbHtaxEVxCodAK2hiH&#10;QspQt2h1mLgBiW+fzlsd2fpGGq+PXG57mSZJJq3uiD+0esCHFuvdem8VbK5mi1X26s0Pupev/HnY&#10;fWh6VOryYry/AxFxjH9hOOEzOlTMtHV7MkH07JM8Zfao4CZNQZwS0/mc1ZZVNrvNQVal/L+i+gUA&#10;AP//AwBQSwECLQAUAAYACAAAACEAtoM4kv4AAADhAQAAEwAAAAAAAAAAAAAAAAAAAAAAW0NvbnRl&#10;bnRfVHlwZXNdLnhtbFBLAQItABQABgAIAAAAIQA4/SH/1gAAAJQBAAALAAAAAAAAAAAAAAAAAC8B&#10;AABfcmVscy8ucmVsc1BLAQItABQABgAIAAAAIQA22qPEoAIAAJ4FAAAOAAAAAAAAAAAAAAAAAC4C&#10;AABkcnMvZTJvRG9jLnhtbFBLAQItABQABgAIAAAAIQAMk+GQ4QAAAA0BAAAPAAAAAAAAAAAAAAAA&#10;APoEAABkcnMvZG93bnJldi54bWxQSwUGAAAAAAQABADzAAAACAYAAAAA&#10;" fillcolor="#6d6e71" stroked="f" strokeweight="2pt">
              <w10:wrap anchorx="page" anchory="page"/>
            </v:rect>
          </w:pict>
        </mc:Fallback>
      </mc:AlternateContent>
    </w:r>
    <w:r w:rsidR="00BC78C8" w:rsidRPr="00BC78C8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5433B3A" wp14:editId="5F44156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8000" cy="10260000"/>
              <wp:effectExtent l="0" t="0" r="15875" b="27305"/>
              <wp:wrapNone/>
              <wp:docPr id="17" name="Rectangle 17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00" cy="1026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6D6E7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079E6C" id="Rectangle 17" o:spid="_x0000_s1026" alt="&quot; &quot;" style="position:absolute;margin-left:0;margin-top:0;width:561.25pt;height:807.85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3qrQIAALYFAAAOAAAAZHJzL2Uyb0RvYy54bWysVEtv2zAMvg/YfxB02G21nbVJl9UpgnYd&#10;BhRt0XboWZGl2IAsapTy2q8fJTtO0BU7DLvYpPj++Li43LaGrRX6BmzJi5OcM2UlVI1dlvzH883H&#10;c858ELYSBqwq+U55fjl7/+5i46ZqBDWYSiEjJ9ZPN67kdQhummVe1qoV/gScsiTUgK0IxOIyq1Bs&#10;yHtrslGej7MNYOUQpPKeXq87IZ8l/1orGe619iowU3LKLaQvpu8ifrPZhZguUbi6kX0a4h+yaEVj&#10;Kejg6loEwVbY/OGqbSSCBx1OJLQZaN1IlWqgaor8VTVPtXAq1ULgeDfA5P+fW3m3fkDWVNS7CWdW&#10;tNSjR0JN2KVRLL5VyksC7MPPFYQvrPtF2DbOT8n6yT1gz3kiIwZbjW38U3Vsm6DeDVCrbWCSHifF&#10;6DzPqSOSZEU+GhOTupEd7B368E1ByyJRcqS0EsZifesDxSTVvUoMZ+GmMSY11Fi2Kfn401meDDyY&#10;porCqOZxubgyyNaCRmJ8Pf46KWI55OxIjThjo7ZKM9THiyV3RSYq7IyKOsY+Kk0YUlmjLl6cXjUE&#10;EVIqG4pOVItKdbHPjkpO8x4tUiLJYfSsKefBd+/gbd9dBb3+IfHBuAfib8ZdqWSRIoMNg3HbWMC3&#10;KjNUVR+506f0j6CJ5AKqHU0YQrd63smbhtp5K3x4EEi7RjNA9yPc00cboLZBT3FWA/566z3q0wqQ&#10;lLMN7W7J/c+VQMWZ+W5pOT4Xp6dx2RNzejYZEYPHksWxxK7aK6BZKOhSOZnIqB/MntQI7QudmXmM&#10;SiJhJcUuuQy4Z65Cd1PoUEk1nyc1WnAnwq19cjI6j6jGcX3evgh0/UwH2oc72O+5mL4a7U43WlqY&#10;rwLoJs39AdcebzoOaXD6QxavzzGftA7ndvYbAAD//wMAUEsDBBQABgAIAAAAIQB7HjAC3wAAAAcB&#10;AAAPAAAAZHJzL2Rvd25yZXYueG1sTI9BS8NAEIXvgv9hGaE3u0kgscRsiohiL1JspaW3bXZMQrOz&#10;ITtto7/ebS96Gd7whve+Keaj7cQJB986UhBPIxBIlTMt1Qo+16/3MxCeNRndOUIF3+hhXt7eFDo3&#10;7kwfeFpxLUII+VwraJj7XEpfNWi1n7oeKXhfbrCawzrU0gz6HMJtJ5MoyqTVLYWGRvf43GB1WB2t&#10;gu3PZsl++1YvdruXOIs2Mj28L5Wa3I1PjyAYR/47hgt+QIcyMO3dkYwXnYLwCF/nxYuTJAWxDyqL&#10;0weQZSH/85e/AAAA//8DAFBLAQItABQABgAIAAAAIQC2gziS/gAAAOEBAAATAAAAAAAAAAAAAAAA&#10;AAAAAABbQ29udGVudF9UeXBlc10ueG1sUEsBAi0AFAAGAAgAAAAhADj9If/WAAAAlAEAAAsAAAAA&#10;AAAAAAAAAAAALwEAAF9yZWxzLy5yZWxzUEsBAi0AFAAGAAgAAAAhAH3hDeqtAgAAtgUAAA4AAAAA&#10;AAAAAAAAAAAALgIAAGRycy9lMm9Eb2MueG1sUEsBAi0AFAAGAAgAAAAhAHseMALfAAAABwEAAA8A&#10;AAAAAAAAAAAAAAAABwUAAGRycy9kb3ducmV2LnhtbFBLBQYAAAAABAAEAPMAAAATBgAAAAA=&#10;" filled="f" strokecolor="#6d6e71" strokeweight="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EE06D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632EEC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153A6E"/>
      </w:rPr>
    </w:lvl>
  </w:abstractNum>
  <w:abstractNum w:abstractNumId="2" w15:restartNumberingAfterBreak="0">
    <w:nsid w:val="FFFFFF89"/>
    <w:multiLevelType w:val="singleLevel"/>
    <w:tmpl w:val="A87655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3A6E"/>
      </w:rPr>
    </w:lvl>
  </w:abstractNum>
  <w:abstractNum w:abstractNumId="3" w15:restartNumberingAfterBreak="0">
    <w:nsid w:val="117903E0"/>
    <w:multiLevelType w:val="hybridMultilevel"/>
    <w:tmpl w:val="AFD4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B6D04"/>
    <w:multiLevelType w:val="hybridMultilevel"/>
    <w:tmpl w:val="B7C0EB9A"/>
    <w:lvl w:ilvl="0" w:tplc="344A674E">
      <w:start w:val="1"/>
      <w:numFmt w:val="bullet"/>
      <w:pStyle w:val="ListNumber2"/>
      <w:lvlText w:val=""/>
      <w:lvlJc w:val="left"/>
      <w:pPr>
        <w:ind w:left="720" w:hanging="360"/>
      </w:pPr>
      <w:rPr>
        <w:rFonts w:ascii="Symbol" w:hAnsi="Symbol" w:hint="default"/>
        <w:color w:val="153A6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F5CB5"/>
    <w:multiLevelType w:val="hybridMultilevel"/>
    <w:tmpl w:val="ADF8B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26231"/>
    <w:multiLevelType w:val="hybridMultilevel"/>
    <w:tmpl w:val="C5889A8E"/>
    <w:lvl w:ilvl="0" w:tplc="78C0F9FA">
      <w:start w:val="1"/>
      <w:numFmt w:val="bullet"/>
      <w:pStyle w:val="CABBulletLis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AF085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188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48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02D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230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670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696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4D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84301"/>
    <w:multiLevelType w:val="hybridMultilevel"/>
    <w:tmpl w:val="88FA4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06"/>
    <w:rsid w:val="00003743"/>
    <w:rsid w:val="00020387"/>
    <w:rsid w:val="00031F7D"/>
    <w:rsid w:val="00035C3B"/>
    <w:rsid w:val="00060243"/>
    <w:rsid w:val="00067456"/>
    <w:rsid w:val="000A35FD"/>
    <w:rsid w:val="000C3238"/>
    <w:rsid w:val="000D3B7B"/>
    <w:rsid w:val="000D503C"/>
    <w:rsid w:val="000E4DAD"/>
    <w:rsid w:val="0013674C"/>
    <w:rsid w:val="00153116"/>
    <w:rsid w:val="00156177"/>
    <w:rsid w:val="00180462"/>
    <w:rsid w:val="00190C20"/>
    <w:rsid w:val="001A0AAC"/>
    <w:rsid w:val="001A2C4B"/>
    <w:rsid w:val="001B3443"/>
    <w:rsid w:val="001D095A"/>
    <w:rsid w:val="001F68A0"/>
    <w:rsid w:val="00203F8F"/>
    <w:rsid w:val="00220A0D"/>
    <w:rsid w:val="00234916"/>
    <w:rsid w:val="00286B62"/>
    <w:rsid w:val="002A39D2"/>
    <w:rsid w:val="002B7B42"/>
    <w:rsid w:val="002D0E19"/>
    <w:rsid w:val="002D3BDB"/>
    <w:rsid w:val="002E6671"/>
    <w:rsid w:val="002F0F99"/>
    <w:rsid w:val="002F3AE3"/>
    <w:rsid w:val="00305D68"/>
    <w:rsid w:val="0030786C"/>
    <w:rsid w:val="0032762A"/>
    <w:rsid w:val="0034275D"/>
    <w:rsid w:val="003942E2"/>
    <w:rsid w:val="003D17F9"/>
    <w:rsid w:val="003E4225"/>
    <w:rsid w:val="00404A5E"/>
    <w:rsid w:val="00413995"/>
    <w:rsid w:val="00433C56"/>
    <w:rsid w:val="00434B23"/>
    <w:rsid w:val="004362AB"/>
    <w:rsid w:val="00440060"/>
    <w:rsid w:val="004537C5"/>
    <w:rsid w:val="00457BFF"/>
    <w:rsid w:val="00484F01"/>
    <w:rsid w:val="004863A0"/>
    <w:rsid w:val="004867E2"/>
    <w:rsid w:val="004B0C2D"/>
    <w:rsid w:val="004D04B6"/>
    <w:rsid w:val="004F5B19"/>
    <w:rsid w:val="004F79BE"/>
    <w:rsid w:val="0050596D"/>
    <w:rsid w:val="00531F83"/>
    <w:rsid w:val="00531FEF"/>
    <w:rsid w:val="005455B9"/>
    <w:rsid w:val="00545812"/>
    <w:rsid w:val="00560073"/>
    <w:rsid w:val="0057463B"/>
    <w:rsid w:val="00591CAB"/>
    <w:rsid w:val="005C7016"/>
    <w:rsid w:val="0060074A"/>
    <w:rsid w:val="00600845"/>
    <w:rsid w:val="0060764A"/>
    <w:rsid w:val="006341B7"/>
    <w:rsid w:val="00656763"/>
    <w:rsid w:val="006644B4"/>
    <w:rsid w:val="0067036C"/>
    <w:rsid w:val="006B0257"/>
    <w:rsid w:val="006B48F0"/>
    <w:rsid w:val="006C2BB0"/>
    <w:rsid w:val="006E4168"/>
    <w:rsid w:val="006F455B"/>
    <w:rsid w:val="00714596"/>
    <w:rsid w:val="00724B94"/>
    <w:rsid w:val="00743F14"/>
    <w:rsid w:val="00746E44"/>
    <w:rsid w:val="0075184F"/>
    <w:rsid w:val="007A25EC"/>
    <w:rsid w:val="007B354E"/>
    <w:rsid w:val="007B4360"/>
    <w:rsid w:val="007E5093"/>
    <w:rsid w:val="007F226C"/>
    <w:rsid w:val="0081606B"/>
    <w:rsid w:val="0082561B"/>
    <w:rsid w:val="008264EB"/>
    <w:rsid w:val="008304BD"/>
    <w:rsid w:val="00857D38"/>
    <w:rsid w:val="00871690"/>
    <w:rsid w:val="00882951"/>
    <w:rsid w:val="00886F01"/>
    <w:rsid w:val="00890643"/>
    <w:rsid w:val="0089658D"/>
    <w:rsid w:val="008D43DE"/>
    <w:rsid w:val="008F2E23"/>
    <w:rsid w:val="00905865"/>
    <w:rsid w:val="00922761"/>
    <w:rsid w:val="0095032C"/>
    <w:rsid w:val="00953B0F"/>
    <w:rsid w:val="00981B6B"/>
    <w:rsid w:val="009931D4"/>
    <w:rsid w:val="009974AF"/>
    <w:rsid w:val="009A4912"/>
    <w:rsid w:val="009B6730"/>
    <w:rsid w:val="00A15D0A"/>
    <w:rsid w:val="00A33281"/>
    <w:rsid w:val="00A365D5"/>
    <w:rsid w:val="00A4512D"/>
    <w:rsid w:val="00A548AC"/>
    <w:rsid w:val="00A60005"/>
    <w:rsid w:val="00A63558"/>
    <w:rsid w:val="00A705AF"/>
    <w:rsid w:val="00A8682F"/>
    <w:rsid w:val="00A95009"/>
    <w:rsid w:val="00AB5DC4"/>
    <w:rsid w:val="00AC3F7E"/>
    <w:rsid w:val="00AE532F"/>
    <w:rsid w:val="00AF1D73"/>
    <w:rsid w:val="00B42851"/>
    <w:rsid w:val="00B53881"/>
    <w:rsid w:val="00B55C08"/>
    <w:rsid w:val="00B73AA3"/>
    <w:rsid w:val="00B8479A"/>
    <w:rsid w:val="00B946C2"/>
    <w:rsid w:val="00B95E87"/>
    <w:rsid w:val="00BA0398"/>
    <w:rsid w:val="00BA3805"/>
    <w:rsid w:val="00BA5C29"/>
    <w:rsid w:val="00BB1B5E"/>
    <w:rsid w:val="00BB5DB3"/>
    <w:rsid w:val="00BB680A"/>
    <w:rsid w:val="00BB6B25"/>
    <w:rsid w:val="00BC3FFB"/>
    <w:rsid w:val="00BC6210"/>
    <w:rsid w:val="00BC78C8"/>
    <w:rsid w:val="00BE378D"/>
    <w:rsid w:val="00C013F0"/>
    <w:rsid w:val="00C171E0"/>
    <w:rsid w:val="00C20E4B"/>
    <w:rsid w:val="00C23A42"/>
    <w:rsid w:val="00C24F2C"/>
    <w:rsid w:val="00C3540F"/>
    <w:rsid w:val="00C51060"/>
    <w:rsid w:val="00C65279"/>
    <w:rsid w:val="00C80038"/>
    <w:rsid w:val="00C96645"/>
    <w:rsid w:val="00CB0960"/>
    <w:rsid w:val="00CB5B1A"/>
    <w:rsid w:val="00CB7179"/>
    <w:rsid w:val="00CE2E65"/>
    <w:rsid w:val="00CE6218"/>
    <w:rsid w:val="00D13B9A"/>
    <w:rsid w:val="00D34B0F"/>
    <w:rsid w:val="00D425BA"/>
    <w:rsid w:val="00D50623"/>
    <w:rsid w:val="00DA6006"/>
    <w:rsid w:val="00DB00A1"/>
    <w:rsid w:val="00DC4596"/>
    <w:rsid w:val="00DD2F01"/>
    <w:rsid w:val="00DD6EBA"/>
    <w:rsid w:val="00E157C3"/>
    <w:rsid w:val="00E16383"/>
    <w:rsid w:val="00E37E83"/>
    <w:rsid w:val="00E608ED"/>
    <w:rsid w:val="00EC41E3"/>
    <w:rsid w:val="00ED1C0F"/>
    <w:rsid w:val="00ED2467"/>
    <w:rsid w:val="00EE313E"/>
    <w:rsid w:val="00EE34E3"/>
    <w:rsid w:val="00EE5B61"/>
    <w:rsid w:val="00F00FD4"/>
    <w:rsid w:val="00F44E45"/>
    <w:rsid w:val="00F53C8E"/>
    <w:rsid w:val="00F71961"/>
    <w:rsid w:val="00F762BE"/>
    <w:rsid w:val="00F77677"/>
    <w:rsid w:val="00F84400"/>
    <w:rsid w:val="00F91B51"/>
    <w:rsid w:val="00F93440"/>
    <w:rsid w:val="00F97A2B"/>
    <w:rsid w:val="00FB4D28"/>
    <w:rsid w:val="00FB5100"/>
    <w:rsid w:val="00FC2D96"/>
    <w:rsid w:val="00FC5655"/>
    <w:rsid w:val="00F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744B5CE6"/>
  <w15:docId w15:val="{005709E8-6B5E-42FA-ABDD-5B245E9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FB"/>
    <w:pPr>
      <w:spacing w:before="120" w:line="270" w:lineRule="auto"/>
    </w:pPr>
    <w:rPr>
      <w:rFonts w:ascii="Arial" w:hAnsi="Arial"/>
      <w:sz w:val="21"/>
    </w:rPr>
  </w:style>
  <w:style w:type="paragraph" w:styleId="Heading1">
    <w:name w:val="heading 1"/>
    <w:next w:val="Normal"/>
    <w:link w:val="Heading1Char"/>
    <w:uiPriority w:val="9"/>
    <w:qFormat/>
    <w:rsid w:val="00035C3B"/>
    <w:pPr>
      <w:spacing w:before="240" w:after="120" w:line="281" w:lineRule="auto"/>
      <w:outlineLvl w:val="0"/>
    </w:pPr>
    <w:rPr>
      <w:rFonts w:ascii="Arial" w:eastAsia="MS Gothic" w:hAnsi="Arial"/>
      <w:b/>
      <w:bCs/>
      <w:color w:val="153A6E"/>
      <w:sz w:val="21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3B"/>
    <w:pPr>
      <w:keepNext/>
      <w:keepLines/>
      <w:spacing w:before="240" w:after="120" w:line="280" w:lineRule="auto"/>
      <w:outlineLvl w:val="1"/>
    </w:pPr>
    <w:rPr>
      <w:rFonts w:eastAsia="MS Gothic"/>
      <w:bCs/>
      <w:color w:val="153A6E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80A"/>
    <w:pPr>
      <w:keepNext/>
      <w:keepLines/>
      <w:spacing w:line="271" w:lineRule="auto"/>
      <w:outlineLvl w:val="2"/>
    </w:pPr>
    <w:rPr>
      <w:rFonts w:eastAsia="MS Gothic"/>
      <w:i/>
      <w:color w:val="153A6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80A"/>
    <w:pPr>
      <w:keepNext/>
      <w:keepLines/>
      <w:outlineLvl w:val="3"/>
    </w:pPr>
    <w:rPr>
      <w:rFonts w:eastAsia="MS Gothic"/>
      <w:iCs/>
      <w:color w:val="000000" w:themeColor="text1"/>
      <w:sz w:val="22"/>
      <w:lang w:val="en-US"/>
    </w:rPr>
  </w:style>
  <w:style w:type="paragraph" w:styleId="Heading5">
    <w:name w:val="heading 5"/>
    <w:basedOn w:val="Normal"/>
    <w:next w:val="Normal"/>
    <w:rsid w:val="00A705AF"/>
    <w:pPr>
      <w:keepNext/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05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rsid w:val="00A705AF"/>
    <w:rPr>
      <w:i/>
      <w:iCs/>
    </w:rPr>
  </w:style>
  <w:style w:type="character" w:styleId="Strong">
    <w:name w:val="Strong"/>
    <w:basedOn w:val="DefaultParagraphFont"/>
    <w:rsid w:val="00A705AF"/>
    <w:rPr>
      <w:b/>
      <w:bCs/>
    </w:rPr>
  </w:style>
  <w:style w:type="paragraph" w:styleId="Subtitle">
    <w:name w:val="Subtitle"/>
    <w:basedOn w:val="Normal"/>
    <w:next w:val="Normal"/>
    <w:link w:val="SubtitleChar"/>
    <w:rsid w:val="00A705AF"/>
    <w:pPr>
      <w:numPr>
        <w:ilvl w:val="1"/>
      </w:numPr>
    </w:pPr>
    <w:rPr>
      <w:rFonts w:asciiTheme="majorHAnsi" w:eastAsiaTheme="majorEastAsia" w:hAnsiTheme="majorHAnsi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A705AF"/>
    <w:rPr>
      <w:rFonts w:asciiTheme="majorHAnsi" w:eastAsiaTheme="majorEastAsia" w:hAnsiTheme="majorHAnsi" w:cstheme="majorBidi"/>
      <w:iCs/>
      <w:spacing w:val="15"/>
      <w:sz w:val="24"/>
      <w:szCs w:val="24"/>
      <w:lang w:eastAsia="en-US"/>
    </w:rPr>
  </w:style>
  <w:style w:type="paragraph" w:styleId="Title">
    <w:name w:val="Title"/>
    <w:next w:val="Normal"/>
    <w:link w:val="TitleChar"/>
    <w:rsid w:val="00035C3B"/>
    <w:pPr>
      <w:spacing w:before="720" w:after="240"/>
    </w:pPr>
    <w:rPr>
      <w:rFonts w:ascii="Arial" w:eastAsia="MS Gothic" w:hAnsi="Arial" w:cstheme="majorBidi"/>
      <w:color w:val="153A6E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035C3B"/>
    <w:rPr>
      <w:rFonts w:ascii="Arial" w:eastAsia="MS Gothic" w:hAnsi="Arial" w:cstheme="majorBidi"/>
      <w:color w:val="153A6E"/>
      <w:sz w:val="36"/>
      <w:szCs w:val="36"/>
      <w:lang w:val="en-US"/>
    </w:rPr>
  </w:style>
  <w:style w:type="paragraph" w:styleId="NoSpacing">
    <w:name w:val="No Spacing"/>
    <w:uiPriority w:val="1"/>
    <w:qFormat/>
    <w:rsid w:val="00A4512D"/>
    <w:rPr>
      <w:rFonts w:ascii="Arial" w:hAnsi="Arial"/>
      <w:sz w:val="21"/>
    </w:rPr>
  </w:style>
  <w:style w:type="character" w:styleId="SubtleEmphasis">
    <w:name w:val="Subtle Emphasis"/>
    <w:basedOn w:val="DefaultParagraphFont"/>
    <w:uiPriority w:val="19"/>
    <w:rsid w:val="00A451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A4512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A451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512D"/>
    <w:rPr>
      <w:i/>
      <w:iCs/>
      <w:color w:val="000000" w:themeColor="text1"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A451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2D"/>
    <w:rPr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rsid w:val="00A4512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512D"/>
    <w:rPr>
      <w:b/>
      <w:bCs/>
      <w:i/>
      <w:smallCaps/>
      <w:color w:val="C0504D" w:themeColor="accent2"/>
      <w:spacing w:val="5"/>
      <w:u w:val="none"/>
    </w:rPr>
  </w:style>
  <w:style w:type="character" w:styleId="BookTitle">
    <w:name w:val="Book Title"/>
    <w:basedOn w:val="DefaultParagraphFont"/>
    <w:uiPriority w:val="33"/>
    <w:rsid w:val="00A4512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F2E2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77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677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776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767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776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77"/>
    <w:rPr>
      <w:sz w:val="24"/>
      <w:szCs w:val="24"/>
      <w:lang w:eastAsia="en-US"/>
    </w:rPr>
  </w:style>
  <w:style w:type="paragraph" w:customStyle="1" w:styleId="OHNotetextbold">
    <w:name w:val="O@H Note text bold"/>
    <w:basedOn w:val="Normal"/>
    <w:qFormat/>
    <w:rsid w:val="008F2E23"/>
    <w:pPr>
      <w:spacing w:before="0"/>
      <w:ind w:left="34"/>
    </w:pPr>
    <w:rPr>
      <w:rFonts w:ascii="Calibri" w:eastAsia="Times New Roman" w:hAnsi="Calibri" w:cs="Times New Roman"/>
      <w:b/>
      <w:noProof/>
      <w:color w:val="000000" w:themeColor="text1"/>
      <w:szCs w:val="20"/>
    </w:rPr>
  </w:style>
  <w:style w:type="paragraph" w:customStyle="1" w:styleId="IntroPara">
    <w:name w:val="Intro Para"/>
    <w:basedOn w:val="Normal"/>
    <w:qFormat/>
    <w:rsid w:val="008F2E23"/>
    <w:pPr>
      <w:spacing w:before="0" w:after="120" w:line="320" w:lineRule="auto"/>
    </w:pPr>
    <w:rPr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035C3B"/>
    <w:rPr>
      <w:rFonts w:ascii="Arial" w:eastAsia="MS Gothic" w:hAnsi="Arial"/>
      <w:b/>
      <w:bCs/>
      <w:color w:val="153A6E"/>
      <w:sz w:val="21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5C3B"/>
    <w:rPr>
      <w:rFonts w:ascii="Arial" w:eastAsia="MS Gothic" w:hAnsi="Arial"/>
      <w:bCs/>
      <w:color w:val="153A6E"/>
      <w:sz w:val="2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B680A"/>
    <w:rPr>
      <w:rFonts w:ascii="Arial" w:eastAsia="MS Gothic" w:hAnsi="Arial"/>
      <w:i/>
      <w:color w:val="153A6E"/>
      <w:sz w:val="2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B680A"/>
    <w:rPr>
      <w:rFonts w:ascii="Arial" w:eastAsia="MS Gothic" w:hAnsi="Arial"/>
      <w:iCs/>
      <w:color w:val="000000" w:themeColor="text1"/>
      <w:sz w:val="22"/>
      <w:lang w:val="en-US"/>
    </w:rPr>
  </w:style>
  <w:style w:type="paragraph" w:styleId="ListBullet">
    <w:name w:val="List Bullet"/>
    <w:basedOn w:val="Normal"/>
    <w:uiPriority w:val="99"/>
    <w:unhideWhenUsed/>
    <w:qFormat/>
    <w:rsid w:val="00C013F0"/>
    <w:pPr>
      <w:numPr>
        <w:numId w:val="2"/>
      </w:numPr>
      <w:contextualSpacing/>
    </w:pPr>
    <w:rPr>
      <w:szCs w:val="21"/>
    </w:rPr>
  </w:style>
  <w:style w:type="paragraph" w:styleId="ListNumber">
    <w:name w:val="List Number"/>
    <w:basedOn w:val="Normal"/>
    <w:uiPriority w:val="99"/>
    <w:unhideWhenUsed/>
    <w:qFormat/>
    <w:rsid w:val="00C013F0"/>
    <w:pPr>
      <w:numPr>
        <w:numId w:val="4"/>
      </w:numPr>
      <w:spacing w:after="120"/>
    </w:pPr>
  </w:style>
  <w:style w:type="paragraph" w:styleId="ListNumber2">
    <w:name w:val="List Number 2"/>
    <w:basedOn w:val="Normal"/>
    <w:uiPriority w:val="99"/>
    <w:unhideWhenUsed/>
    <w:qFormat/>
    <w:rsid w:val="00C013F0"/>
    <w:pPr>
      <w:numPr>
        <w:numId w:val="6"/>
      </w:numPr>
      <w:contextualSpacing/>
    </w:pPr>
  </w:style>
  <w:style w:type="paragraph" w:customStyle="1" w:styleId="CABBulletList">
    <w:name w:val="CAB Bullet List"/>
    <w:basedOn w:val="ListParagraph"/>
    <w:uiPriority w:val="98"/>
    <w:qFormat/>
    <w:rsid w:val="00B55C08"/>
    <w:pPr>
      <w:numPr>
        <w:numId w:val="7"/>
      </w:numPr>
      <w:tabs>
        <w:tab w:val="left" w:pos="851"/>
      </w:tabs>
      <w:spacing w:before="60" w:after="60" w:line="240" w:lineRule="auto"/>
      <w:ind w:left="850" w:hanging="288"/>
    </w:pPr>
    <w:rPr>
      <w:rFonts w:eastAsiaTheme="minorHAns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B55C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5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5C08"/>
    <w:rPr>
      <w:rFonts w:ascii="Arial" w:hAnsi="Arial"/>
      <w:sz w:val="20"/>
      <w:szCs w:val="20"/>
    </w:rPr>
  </w:style>
  <w:style w:type="character" w:customStyle="1" w:styleId="CabBodyChar">
    <w:name w:val="Cab Body Char"/>
    <w:basedOn w:val="DefaultParagraphFont"/>
    <w:link w:val="CabBody"/>
    <w:locked/>
    <w:rsid w:val="0060764A"/>
    <w:rPr>
      <w:rFonts w:ascii="Calibri" w:hAnsi="Calibri" w:cs="Calibri"/>
    </w:rPr>
  </w:style>
  <w:style w:type="paragraph" w:customStyle="1" w:styleId="CabBody">
    <w:name w:val="Cab Body"/>
    <w:basedOn w:val="Normal"/>
    <w:link w:val="CabBodyChar"/>
    <w:rsid w:val="0060764A"/>
    <w:pPr>
      <w:spacing w:before="0" w:after="120" w:line="276" w:lineRule="auto"/>
      <w:contextualSpacing/>
    </w:pPr>
    <w:rPr>
      <w:rFonts w:ascii="Calibri" w:hAnsi="Calibri" w:cs="Calibri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5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5DB3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378D"/>
    <w:rPr>
      <w:rFonts w:ascii="Arial" w:hAnsi="Arial"/>
      <w:sz w:val="21"/>
    </w:rPr>
  </w:style>
  <w:style w:type="character" w:styleId="Hyperlink">
    <w:name w:val="Hyperlink"/>
    <w:basedOn w:val="DefaultParagraphFont"/>
    <w:uiPriority w:val="99"/>
    <w:unhideWhenUsed/>
    <w:rsid w:val="00B8479A"/>
    <w:rPr>
      <w:color w:val="0563C1"/>
      <w:u w:val="single"/>
    </w:rPr>
  </w:style>
  <w:style w:type="character" w:styleId="FollowedHyperlink">
    <w:name w:val="FollowedHyperlink"/>
    <w:basedOn w:val="DefaultParagraphFont"/>
    <w:semiHidden/>
    <w:unhideWhenUsed/>
    <w:rsid w:val="006F45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0B12D2F0A044930B7F0ED9CD8462" ma:contentTypeVersion="15" ma:contentTypeDescription="Create a new document." ma:contentTypeScope="" ma:versionID="3a47fea1736b24f5ae1554db059b5530">
  <xsd:schema xmlns:xsd="http://www.w3.org/2001/XMLSchema" xmlns:xs="http://www.w3.org/2001/XMLSchema" xmlns:p="http://schemas.microsoft.com/office/2006/metadata/properties" xmlns:ns2="66b98d56-25b7-479b-bf58-c8a0702ccf2c" xmlns:ns3="3e9090f6-0245-48e3-bd19-46cc0b4d31f0" targetNamespace="http://schemas.microsoft.com/office/2006/metadata/properties" ma:root="true" ma:fieldsID="ae2c912b358e3060b04b04e10a2a743d" ns2:_="" ns3:_="">
    <xsd:import namespace="66b98d56-25b7-479b-bf58-c8a0702ccf2c"/>
    <xsd:import namespace="3e9090f6-0245-48e3-bd19-46cc0b4d31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rello" minOccurs="0"/>
                <xsd:element ref="ns3:MediaServiceLocation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98d56-25b7-479b-bf58-c8a0702ccf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090f6-0245-48e3-bd19-46cc0b4d3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Trello" ma:index="20" nillable="true" ma:displayName="Trello" ma:description="Link to Trello ticket" ma:format="Hyperlink" ma:internalName="Trell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ategory" ma:index="22" nillable="true" ma:displayName="Category" ma:format="Dropdown" ma:internalName="Category">
      <xsd:simpleType>
        <xsd:restriction base="dms:Choice">
          <xsd:enumeration value="Design Files"/>
          <xsd:enumeration value="Image Libraries"/>
          <xsd:enumeration value="Video Team"/>
          <xsd:enumeration value="Design Files - Corporate Comms Wallboard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ello xmlns="3e9090f6-0245-48e3-bd19-46cc0b4d31f0">
      <Url xsi:nil="true"/>
      <Description xsi:nil="true"/>
    </Trello>
    <Category xmlns="3e9090f6-0245-48e3-bd19-46cc0b4d31f0">Design Files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0B8A2-D9DB-45D0-9ECA-B043EDDE6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98d56-25b7-479b-bf58-c8a0702ccf2c"/>
    <ds:schemaRef ds:uri="3e9090f6-0245-48e3-bd19-46cc0b4d3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9B541E-84B6-4971-BED5-624E9ACCA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EF908-6C0A-4F14-8215-43D06CC5482E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3e9090f6-0245-48e3-bd19-46cc0b4d31f0"/>
    <ds:schemaRef ds:uri="66b98d56-25b7-479b-bf58-c8a0702ccf2c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32F6F14-BF2D-4092-9727-3A8DD2A0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08 - How the 2022–23 Budget is investing in cancer prevention, diagnosis and treatment - Budget 2022-23 fact sheet</vt:lpstr>
    </vt:vector>
  </TitlesOfParts>
  <Manager/>
  <Company>Australian Government Department of Health</Company>
  <LinksUpToDate>false</LinksUpToDate>
  <CharactersWithSpaces>8388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08 - How the 2022–23 Budget is investing in cancer prevention, diagnosis and treatment - Budget 2022-23 fact sheet</dc:title>
  <dc:subject>Budget 2022-23</dc:subject>
  <dc:creator>Australian Government Department of Health</dc:creator>
  <cp:keywords>Budget 2022-23</cp:keywords>
  <dc:description/>
  <cp:lastModifiedBy>Fairhall, Brad</cp:lastModifiedBy>
  <cp:revision>5</cp:revision>
  <cp:lastPrinted>2022-03-27T10:06:00Z</cp:lastPrinted>
  <dcterms:created xsi:type="dcterms:W3CDTF">2022-03-27T10:00:00Z</dcterms:created>
  <dcterms:modified xsi:type="dcterms:W3CDTF">2022-03-27T23:40:00Z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0x010100AA3B0B12D2F0A044930B7F0ED9CD8462</vt:lpwstr>
  </property>
  <property fmtid="{D5CDD505-2E9C-101B-9397-08002B2CF9AE}" pid="3" name="Order">
    <vt:i4>100</vt:i4>
  </property>
</Properties>
</file>