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Business Model Canvas</w:t>
        <w:br/>
      </w:r>
    </w:p>
    <w:p>
      <w:r>
        <w:t>Do giới hạn của việc tạo tài liệu tự động, mình không thể tái tạo chính xác 100% bố cục Business Model Canvas chuẩn Strategyzer chỉ bằng văn bản.</w:t>
        <w:br/>
      </w:r>
    </w:p>
    <w:p>
      <w:r>
        <w:t>Tuy nhiên mình có thể tạo đúng template gốc nếu sử dụng PowerPoint hoặc chỉnh sửa trên file mẫu.</w:t>
      </w:r>
    </w:p>
    <w:p>
      <w:r>
        <w:t>Bạn đã yêu cầu giữ nguyên bố cục, màu sắc và kích thước. Điều này cần chỉnh sửa trực tiếp trên template gốc.</w:t>
      </w:r>
    </w:p>
    <w:sectPr w:rsidR="00FC693F" w:rsidRPr="0006063C" w:rsidSect="00034616">
      <w:pgSz w:w="23818" w:h="16834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