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Chương 3: GIẢI PHÁP, KIẾN NGHỊ VÀ KẾT LUẬN</w:t>
      </w:r>
    </w:p>
    <w:p>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3.1. Giải pháp nâng cao đạo đức nghề nghiệp cho sinh viên đại học Việt Nam trong việc xây dựng phong cách làm việc chuyên nghiệp</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Phân tích thực trạng ở Chương 2 đã chỉ ra rằng sinh viên Việt Nam hiện nay sở hữu nhiều điểm tích cực về nhận thức đạo đức và lối sống, chẳng hạn như lối sống lành mạnh, niềm tin cao vào đường lối của Đảng và Nhà nước, cùng ý thức trách nhiệm xã hội ở một bộ phận lớn (theo khảo sát Viện Nghiên cứu Thanh niên 2024–2025, với hơn 70% sinh viên bày tỏ tin tưởng vào hệ thống giáo dục và pháp luật). Tuy nhiên, vẫn tồn tại những hạn chế nghiêm trọng cần khắc phục khẩn trương: tỷ lệ gian lận học thuật vẫn ở mức cao (khoảng 40–50% sinh viên thừa nhận từng sao chép bài hoặc sử dụng AI hỗ trợ gian lận theo báo cáo Bộ Giáo dục và Đào tạo 2023 và cập nhật 2025), thiếu bản lĩnh khi đối mặt với xung đột đạo đức, suy giảm trách nhiệm do áp lực cạnh tranh điểm số, và ảnh hưởng tiêu cực từ chuyển đổi số. Đặc biệt, việc lạm dụng công cụ trí tuệ nhân tạo (như ChatGPT, Gemini, Grok) đã dẫn đến tình trạng phụ thuộc công nghệ, giảm khả năng tư duy sáng tạo, học tập thụ động và gian lận học thuật tăng mạnh (theo nghiên cứu “Sinh viên Việt Nam với việc sử dụng trí tuệ nhân tạo: thực trạng, nhận thức và định hướng” trên Quanlynhanuoc.vn 2025; gần 7.000 trường hợp gian lận AI bị phát hiện trong năm học 2023–2024 theo Đại biểu Nhân dân 7/2025; khảo sát tại Đại học Đà Nẵng và Đại học Quốc gia TP.HCM cho thấy 35% sinh viên dùng AI để hoàn thành bài tập mà không trích dẫn nguồn).</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Những vấn đề này không chỉ làm suy giảm </w:t>
      </w:r>
      <w:r>
        <w:rPr>
          <w:rStyle w:val="10"/>
          <w:rFonts w:hint="default" w:ascii="Times New Roman" w:hAnsi="Times New Roman" w:cs="Times New Roman"/>
          <w:sz w:val="26"/>
          <w:szCs w:val="26"/>
        </w:rPr>
        <w:t>đạo đức nghề nghiệp</w:t>
      </w:r>
      <w:r>
        <w:rPr>
          <w:rFonts w:hint="default" w:ascii="Times New Roman" w:hAnsi="Times New Roman" w:cs="Times New Roman"/>
          <w:sz w:val="26"/>
          <w:szCs w:val="26"/>
        </w:rPr>
        <w:t xml:space="preserve"> (Professional Ethics) mà còn ảnh hưởng trực tiếp đến việc hình thành </w:t>
      </w:r>
      <w:r>
        <w:rPr>
          <w:rStyle w:val="10"/>
          <w:rFonts w:hint="default" w:ascii="Times New Roman" w:hAnsi="Times New Roman" w:cs="Times New Roman"/>
          <w:sz w:val="26"/>
          <w:szCs w:val="26"/>
        </w:rPr>
        <w:t>phong cách làm việc chuyên nghiệp</w:t>
      </w:r>
      <w:r>
        <w:rPr>
          <w:rFonts w:hint="default" w:ascii="Times New Roman" w:hAnsi="Times New Roman" w:cs="Times New Roman"/>
          <w:sz w:val="26"/>
          <w:szCs w:val="26"/>
        </w:rPr>
        <w:t xml:space="preserve"> trong bối cảnh hội nhập quốc tế và Cách mạng công nghiệp 4.0, nơi yêu cầu về trung thực, trách nhiệm và sáng tạo ngày càng cao. Ví dụ, một sinh viên quen gian lận học thuật bằng AI khi ra trường có thể tiếp tục hành vi thiếu trung thực trong công việc, dẫn đến mất uy tín cá nhân, ảnh hưởng đến tổ chức và xã hội (theo nghiên cứu “Tác động của AI đến liêm chính học thuật và đạo đức nghề nghiệp của sinh viên Việt Nam” trên Tạp chí Giáo dục 2025).</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Các giải pháp được đề xuất theo cách tiếp cận toàn diện dựa trên </w:t>
      </w:r>
      <w:r>
        <w:rPr>
          <w:rStyle w:val="10"/>
          <w:rFonts w:hint="default" w:ascii="Times New Roman" w:hAnsi="Times New Roman" w:cs="Times New Roman"/>
          <w:sz w:val="26"/>
          <w:szCs w:val="26"/>
        </w:rPr>
        <w:t>mô hình năng lực ASK</w:t>
      </w:r>
      <w:r>
        <w:rPr>
          <w:rFonts w:hint="default" w:ascii="Times New Roman" w:hAnsi="Times New Roman" w:cs="Times New Roman"/>
          <w:sz w:val="26"/>
          <w:szCs w:val="26"/>
        </w:rPr>
        <w:t xml:space="preserve"> (Attitude – Skills – Knowledge). Mô hình này được phát triển từ lý thuyết năng lực con người, trong đó:</w:t>
      </w:r>
    </w:p>
    <w:p>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Attitude</w:t>
      </w:r>
      <w:r>
        <w:rPr>
          <w:rFonts w:hint="default" w:ascii="Times New Roman" w:hAnsi="Times New Roman" w:cs="Times New Roman"/>
          <w:sz w:val="26"/>
          <w:szCs w:val="26"/>
        </w:rPr>
        <w:t xml:space="preserve"> (thái độ) là yếu tố cốt lõi quyết định động lực hành vi đạo đức, bao gồm giá trị, niềm tin và thái độ đối với chuẩn mực nghề nghiệp.</w:t>
      </w:r>
    </w:p>
    <w:p>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Skills</w:t>
      </w:r>
      <w:r>
        <w:rPr>
          <w:rFonts w:hint="default" w:ascii="Times New Roman" w:hAnsi="Times New Roman" w:cs="Times New Roman"/>
          <w:sz w:val="26"/>
          <w:szCs w:val="26"/>
        </w:rPr>
        <w:t xml:space="preserve"> (kỹ năng) giúp thực hiện hành vi đạo đức trong thực tế, bao gồm kỹ năng ra quyết định đạo đức, giao tiếp và quản lý xung đột.</w:t>
      </w:r>
    </w:p>
    <w:p>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Knowledge</w:t>
      </w:r>
      <w:r>
        <w:rPr>
          <w:rFonts w:hint="default" w:ascii="Times New Roman" w:hAnsi="Times New Roman" w:cs="Times New Roman"/>
          <w:sz w:val="26"/>
          <w:szCs w:val="26"/>
        </w:rPr>
        <w:t xml:space="preserve"> (kiến thức) cung cấp nền tảng lý thuyết và chuẩn mực, bao gồm hiểu biết về quy tắc đạo đức nghề nghiệp và hậu quả vi phạm.</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Mô hình ASK hoàn toàn phù hợp với </w:t>
      </w:r>
      <w:r>
        <w:rPr>
          <w:rStyle w:val="10"/>
          <w:rFonts w:hint="default" w:ascii="Times New Roman" w:hAnsi="Times New Roman" w:cs="Times New Roman"/>
          <w:sz w:val="26"/>
          <w:szCs w:val="26"/>
        </w:rPr>
        <w:t>Chỉ thị 31/CT-TTg năm 2019</w:t>
      </w:r>
      <w:r>
        <w:rPr>
          <w:rFonts w:hint="default" w:ascii="Times New Roman" w:hAnsi="Times New Roman" w:cs="Times New Roman"/>
          <w:sz w:val="26"/>
          <w:szCs w:val="26"/>
        </w:rPr>
        <w:t xml:space="preserve"> về tăng cường giáo dục đạo đức, lối sống cho học sinh, sinh viên (nhấn mạnh phối hợp giữa nhà trường, gia đình, xã hội; giáo dục qua trải nghiệm, truyền thông và hoạt động ngoại khóa). Đồng thời, nó được hỗ trợ bởi các nghiên cứu gần đây như “Nội dung và phương thức giáo dục đạo đức cho sinh viên ở Việt Nam trong bối cảnh hội nhập quốc tế” (Tạp chí Lý luận chính trị, 4/2025), “AI và liêm chính học thuật” (Tạp chí Giáo dục 2025), và báo cáo về tác động của AI đến đạo đức học thuật (Quanlynhanuoc.vn 2025), nhấn mạnh cần giáo dục đạo đức số để đảm bảo trung thực, nguyên bản và công bằng trong học tập.</w:t>
      </w:r>
    </w:p>
    <w:p>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3.1.1. Giải pháp về nhận thức (tập trung vào thái độ – Attitude)</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Nhận thức là cấp độ đầu tiên và quan trọng nhất, vì nó hình thành </w:t>
      </w:r>
      <w:r>
        <w:rPr>
          <w:rStyle w:val="10"/>
          <w:rFonts w:hint="default" w:ascii="Times New Roman" w:hAnsi="Times New Roman" w:cs="Times New Roman"/>
          <w:sz w:val="26"/>
          <w:szCs w:val="26"/>
        </w:rPr>
        <w:t>thái độ đúng đắn</w:t>
      </w:r>
      <w:r>
        <w:rPr>
          <w:rFonts w:hint="default" w:ascii="Times New Roman" w:hAnsi="Times New Roman" w:cs="Times New Roman"/>
          <w:sz w:val="26"/>
          <w:szCs w:val="26"/>
        </w:rPr>
        <w:t xml:space="preserve"> (Attitude) đối với đạo đức nghề nghiệp, giúp sinh viên nhận diện rõ giá trị cốt lõi cũng như hậu quả lâu dài của hành vi vi phạm. Nhà trường cần tích hợp nội dung đạo đức nghề nghiệp vào chương trình đào tạo chính khóa ngay từ năm nhất, thông qua việc thiết kế môn học bắt buộc hoặc lồng ghép xuyên suốt các môn cốt lõi như “Tư tưởng Hồ Chí Minh”, “Kỹ năng mềm” hoặc môn chuyên ngành. Nội dung môn học nên bao gồm:</w:t>
      </w:r>
    </w:p>
    <w:p>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Làm rõ khái niệm </w:t>
      </w:r>
      <w:r>
        <w:rPr>
          <w:rStyle w:val="10"/>
          <w:rFonts w:hint="default" w:ascii="Times New Roman" w:hAnsi="Times New Roman" w:cs="Times New Roman"/>
          <w:sz w:val="26"/>
          <w:szCs w:val="26"/>
        </w:rPr>
        <w:t>đạo đức nghề nghiệp</w:t>
      </w:r>
      <w:r>
        <w:rPr>
          <w:rFonts w:hint="default" w:ascii="Times New Roman" w:hAnsi="Times New Roman" w:cs="Times New Roman"/>
          <w:sz w:val="26"/>
          <w:szCs w:val="26"/>
        </w:rPr>
        <w:t xml:space="preserve"> là tập hợp các nguyên tắc, giá trị và chuẩn mực hướng dẫn hành vi của người lao động trong môi trường chuyên nghiệp (theo định nghĩa của Tổ chức Lao động Quốc tế – ILO 2020 và chuẩn mực Việt Nam).</w:t>
      </w:r>
    </w:p>
    <w:p>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Giới thiệu các nguyên tắc cốt lõi: trung thực (integrity), trách nhiệm (accountability), công bằng (fairness) và tôn trọng (respect).</w:t>
      </w:r>
    </w:p>
    <w:p>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Giới thiệu chuẩn mực quốc tế như </w:t>
      </w:r>
      <w:r>
        <w:rPr>
          <w:rStyle w:val="10"/>
          <w:rFonts w:hint="default" w:ascii="Times New Roman" w:hAnsi="Times New Roman" w:cs="Times New Roman"/>
          <w:sz w:val="26"/>
          <w:szCs w:val="26"/>
        </w:rPr>
        <w:t>CFA Code of Ethics</w:t>
      </w:r>
      <w:r>
        <w:rPr>
          <w:rFonts w:hint="default" w:ascii="Times New Roman" w:hAnsi="Times New Roman" w:cs="Times New Roman"/>
          <w:sz w:val="26"/>
          <w:szCs w:val="26"/>
        </w:rPr>
        <w:t xml:space="preserve"> (cho lĩnh vực tài chính), </w:t>
      </w:r>
      <w:r>
        <w:rPr>
          <w:rStyle w:val="10"/>
          <w:rFonts w:hint="default" w:ascii="Times New Roman" w:hAnsi="Times New Roman" w:cs="Times New Roman"/>
          <w:sz w:val="26"/>
          <w:szCs w:val="26"/>
        </w:rPr>
        <w:t>Hippocratic Oath</w:t>
      </w:r>
      <w:r>
        <w:rPr>
          <w:rFonts w:hint="default" w:ascii="Times New Roman" w:hAnsi="Times New Roman" w:cs="Times New Roman"/>
          <w:sz w:val="26"/>
          <w:szCs w:val="26"/>
        </w:rPr>
        <w:t xml:space="preserve"> (cho y khoa), và liên hệ với thực tiễn Việt Nam (ví dụ: Bộ quy tắc đạo đức nghề nghiệp của Bộ Y tế hoặc Bộ Tài chính).</w:t>
      </w:r>
    </w:p>
    <w:p>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Nhấn mạnh hậu quả thực tế của vi phạm, ví dụ: gian lận học thuật bằng AI dẫn đến mất khả năng tư duy độc lập, lệ thuộc công nghệ, suy giảm sáng tạo và mất uy tín nghề nghiệp sau khi ra trường (theo khảo sát sinh viên các trường đại học miền Trung năm 2025 và nghiên cứu “Sinh viên Việt Nam với việc sử dụng trí tuệ nhân tạo” trên Quanlynhanuoc.vn 2025).</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củng cố nhận thức một cách sinh động và hiệu quả, cần tổ chức các hoạt động ngoại khóa và truyền thông số:</w:t>
      </w:r>
    </w:p>
    <w:p>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Hội thảo, tọa đàm định kỳ (ít nhất 2–3 lần/năm) với sự tham gia của chuyên gia từ doanh nghiệp lớn như VinGroup, FPT hay Viettel để chia sẻ các case study thực tế về hậu quả của vi phạm đạo đức (ví dụ: một kỹ sư phần mềm bị sa thải do tiết lộ bí mật kinh doanh, dẫn đến mất lòng tin từ đồng nghiệp và ảnh hưởng nghiêm trọng đến sự nghiệp).</w:t>
      </w:r>
    </w:p>
    <w:p>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Sử dụng các kênh truyền thông nội bộ của trường (fanpage, website, TikTok hoặc YouTube ngắn) để lan tỏa những tấm gương tích cực về người lao động có đạo đức nghề nghiệp cao, đồng thời cảnh báo về rủi ro trong môi trường số như </w:t>
      </w:r>
      <w:r>
        <w:rPr>
          <w:rStyle w:val="10"/>
          <w:rFonts w:hint="default" w:ascii="Times New Roman" w:hAnsi="Times New Roman" w:cs="Times New Roman"/>
          <w:sz w:val="26"/>
          <w:szCs w:val="26"/>
        </w:rPr>
        <w:t>cyber ethics</w:t>
      </w:r>
      <w:r>
        <w:rPr>
          <w:rFonts w:hint="default" w:ascii="Times New Roman" w:hAnsi="Times New Roman" w:cs="Times New Roman"/>
          <w:sz w:val="26"/>
          <w:szCs w:val="26"/>
        </w:rPr>
        <w:t xml:space="preserve"> (đạo văn trực tuyến, chia sẻ thông tin sai lệch, lạm dụng AI).</w:t>
      </w:r>
    </w:p>
    <w:p>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Khuyến khích sinh viên viết nhật ký phản ánh hàng tuần về nhận thức đạo đức cá nhân, giúp hình thành bản lĩnh tự nhận thức và tự điều chỉnh hành vi.</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Hiệu quả của các giải pháp nhận thức cần được đo lường định kỳ thông qua khảo sát trước và sau hoạt động, với mục tiêu nâng cao mức độ nhận thức lên 20–30% (theo các nghiên cứu về giáo dục đạo đức 2024–2025).</w:t>
      </w:r>
    </w:p>
    <w:p>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3.1.2. Giải pháp về kỹ năng (tập trung vào Skills và Knowledge)</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Sau khi củng cố nhận thức, việc rèn luyện kỹ năng là bước then chốt để chuyển hóa kiến thức thành hành vi thực tế, giúp sinh viên xây dựng phong cách làm việc chuyên nghiệp dựa trên nền tảng đạo đức vững chắc. Giảng viên nên áp dụng phương pháp học tập dựa trên tình huống (case study) trong lớp học, yêu cầu sinh viên phân tích các vấn đề đạo đức điển hình như gian lận thi cử bằng AI, sao chép báo cáo nhóm, hoặc xử lý xung đột lợi ích khi làm việc nhóm. Để phân tích hiệu quả, có thể sử dụng các mô hình ra quyết định đạo đức như </w:t>
      </w:r>
      <w:r>
        <w:rPr>
          <w:rStyle w:val="10"/>
          <w:rFonts w:hint="default" w:ascii="Times New Roman" w:hAnsi="Times New Roman" w:cs="Times New Roman"/>
          <w:sz w:val="26"/>
          <w:szCs w:val="26"/>
        </w:rPr>
        <w:t>AAA Model</w:t>
      </w:r>
      <w:r>
        <w:rPr>
          <w:rFonts w:hint="default" w:ascii="Times New Roman" w:hAnsi="Times New Roman" w:cs="Times New Roman"/>
          <w:sz w:val="26"/>
          <w:szCs w:val="26"/>
        </w:rPr>
        <w:t xml:space="preserve"> (7 bước: American Accounting Association) hoặc </w:t>
      </w:r>
      <w:r>
        <w:rPr>
          <w:rStyle w:val="10"/>
          <w:rFonts w:hint="default" w:ascii="Times New Roman" w:hAnsi="Times New Roman" w:cs="Times New Roman"/>
          <w:sz w:val="26"/>
          <w:szCs w:val="26"/>
        </w:rPr>
        <w:t>Tucker’s 5-question model</w:t>
      </w:r>
      <w:r>
        <w:rPr>
          <w:rFonts w:hint="default" w:ascii="Times New Roman" w:hAnsi="Times New Roman" w:cs="Times New Roman"/>
          <w:sz w:val="26"/>
          <w:szCs w:val="26"/>
        </w:rPr>
        <w:t>, với quy trình chi tiết:</w:t>
      </w:r>
    </w:p>
    <w:p>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Xác định sự kiện chính.</w:t>
      </w:r>
    </w:p>
    <w:p>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Nhận diện các bên liên quan.</w:t>
      </w:r>
    </w:p>
    <w:p>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Đánh giá các lựa chọn thay thế.</w:t>
      </w:r>
    </w:p>
    <w:p>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Dự báo hậu quả (ví dụ: mất khả năng sáng tạo, lệ thuộc công nghệ, mất uy tín nghề nghiệp lâu dài).</w:t>
      </w:r>
    </w:p>
    <w:p>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Đưa ra quyết định cuối cùng.</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Một ví dụ cụ thể là case sinh viên sử dụng ChatGPT để viết toàn bộ luận văn – qua phân tích, sinh viên sẽ nhận ra rằng hành vi này không chỉ vi phạm quy định học thuật mà còn làm suy giảm kỹ năng tư duy phê phán cần thiết cho công việc sau này (theo nghiên cứu về tác động AI đến đạo đức học thuật, Kinh tế và Dự báo 2025).</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tăng cường thực hành, các hoạt động ngoại khóa cần được mở rộng:</w:t>
      </w:r>
    </w:p>
    <w:p>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Chương trình thực tập tại doanh nghiệp với yêu cầu ký </w:t>
      </w:r>
      <w:r>
        <w:rPr>
          <w:rStyle w:val="10"/>
          <w:rFonts w:hint="default" w:ascii="Times New Roman" w:hAnsi="Times New Roman" w:cs="Times New Roman"/>
          <w:sz w:val="26"/>
          <w:szCs w:val="26"/>
        </w:rPr>
        <w:t>cam kết đạo đức</w:t>
      </w:r>
      <w:r>
        <w:rPr>
          <w:rFonts w:hint="default" w:ascii="Times New Roman" w:hAnsi="Times New Roman" w:cs="Times New Roman"/>
          <w:sz w:val="26"/>
          <w:szCs w:val="26"/>
        </w:rPr>
        <w:t xml:space="preserve"> (ethical pledge), trong đó hành vi đạo đức được đánh giá riêng biệt chiếm tỷ trọng 20–30% điểm số tổng thể.</w:t>
      </w:r>
    </w:p>
    <w:p>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Tham gia các dự án nhóm thực tế, câu lạc bộ kỹ năng mềm hoặc chương trình tình nguyện cộng đồng để rèn luyện trách nhiệm xã hội, như tổ chức sự kiện từ thiện mà không gian lận tài chính hoặc báo cáo sai lệch.</w:t>
      </w:r>
    </w:p>
    <w:p>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Khuyến khích sinh viên tham gia các khóa học trực tuyến miễn phí trên nền tảng Coursera hoặc edX về chủ đề Business Ethics từ các trường đại học hàng đầu như University of Virginia, nhằm tiếp cận chuẩn mực toàn cầu và rèn luyện kỹ năng trích dẫn nguồn đúng chuẩn APA 7 thông qua các công cụ chống đạo văn như Turnitin.</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 giải pháp này dự kiến có thể giảm tỷ lệ vi phạm đạo đức học thuật xuống 15–20% nếu được triển khai đồng bộ và đánh giá định kỳ (dựa trên báo cáo Bộ Giáo dục và Đào tạo 2025).</w:t>
      </w:r>
    </w:p>
    <w:p>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3.1.3. Giải pháp về môi trường</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Môi trường học tập và làm việc đóng vai trò quyết định trong việc duy trì và củng cố đạo đức nghề nghiệp lâu dài, vì nó ảnh hưởng trực tiếp đến hành vi hàng ngày của sinh viên. Nhà trường cần ban hành và thực thi nghiêm túc </w:t>
      </w:r>
      <w:r>
        <w:rPr>
          <w:rStyle w:val="10"/>
          <w:rFonts w:hint="default" w:ascii="Times New Roman" w:hAnsi="Times New Roman" w:cs="Times New Roman"/>
          <w:sz w:val="26"/>
          <w:szCs w:val="26"/>
        </w:rPr>
        <w:t>“Quy tắc ứng xử đạo đức sinh viên”</w:t>
      </w:r>
      <w:r>
        <w:rPr>
          <w:rFonts w:hint="default" w:ascii="Times New Roman" w:hAnsi="Times New Roman" w:cs="Times New Roman"/>
          <w:sz w:val="26"/>
          <w:szCs w:val="26"/>
        </w:rPr>
        <w:t xml:space="preserve">, với cơ chế xử lý vi phạm kết hợp giữa tính răn đe và giáo dục phục hồi – ví dụ, không chỉ kỷ luật mà còn yêu cầu sinh viên tham gia hội thảo sửa chữa hành vi và viết báo cáo phản ánh. Đồng thời, xây dựng văn hóa trường học tích cực thông qua việc tổ chức giải thưởng </w:t>
      </w:r>
      <w:r>
        <w:rPr>
          <w:rStyle w:val="10"/>
          <w:rFonts w:hint="default" w:ascii="Times New Roman" w:hAnsi="Times New Roman" w:cs="Times New Roman"/>
          <w:sz w:val="26"/>
          <w:szCs w:val="26"/>
        </w:rPr>
        <w:t>“Sinh viên gương mẫu đạo đức”</w:t>
      </w:r>
      <w:r>
        <w:rPr>
          <w:rFonts w:hint="default" w:ascii="Times New Roman" w:hAnsi="Times New Roman" w:cs="Times New Roman"/>
          <w:sz w:val="26"/>
          <w:szCs w:val="26"/>
        </w:rPr>
        <w:t xml:space="preserve"> hàng năm, khen thưởng các cá nhân có hành vi nổi bật như trung thực báo cáo vi phạm hoặc từ chối tham gia gian lận nhóm. Việc giảm áp lực điểm số bằng cách đa dạng hóa hình thức đánh giá (từ thi cuối kỳ sang dự án nhóm, portfolio, tự đánh giá) cũng rất quan trọng để hạn chế động cơ gian lận.</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Hợp tác với doanh nghiệp cần được tăng cường để tạo môi trường thực tập nhấn mạnh yếu tố đạo đức, chẳng hạn yêu cầu doanh nghiệp đánh giá riêng phần “Ethical behavior” của sinh viên. Trong bối cảnh chuyển đổi số, cần giáo dục chuyên sâu về </w:t>
      </w:r>
      <w:r>
        <w:rPr>
          <w:rStyle w:val="10"/>
          <w:rFonts w:hint="default" w:ascii="Times New Roman" w:hAnsi="Times New Roman" w:cs="Times New Roman"/>
          <w:sz w:val="26"/>
          <w:szCs w:val="26"/>
        </w:rPr>
        <w:t>đạo đức AI</w:t>
      </w:r>
      <w:r>
        <w:rPr>
          <w:rFonts w:hint="default" w:ascii="Times New Roman" w:hAnsi="Times New Roman" w:cs="Times New Roman"/>
          <w:sz w:val="26"/>
          <w:szCs w:val="26"/>
        </w:rPr>
        <w:t>, bảo mật dữ liệu, và tránh lạm dụng công nghệ (theo khuyến nghị của Tạp chí Lý luận chính trị 2025). Hiệu quả của môi trường này có thể được đo lường qua khảo sát mức độ hài lòng của sinh viên với môi trường trường học và số vụ vi phạm đạo đức hàng năm, với mục tiêu giảm 30–35%.</w:t>
      </w:r>
    </w:p>
    <w:p>
      <w:pPr>
        <w:pStyle w:val="7"/>
        <w:keepNext w:val="0"/>
        <w:keepLines w:val="0"/>
        <w:widowControl/>
        <w:suppressLineNumbers w:val="0"/>
        <w:spacing w:line="360" w:lineRule="auto"/>
        <w:rPr>
          <w:rFonts w:hint="default" w:ascii="Times New Roman" w:hAnsi="Times New Roman" w:cs="Times New Roman"/>
          <w:sz w:val="26"/>
          <w:szCs w:val="26"/>
        </w:rPr>
      </w:pPr>
      <w:r>
        <w:rPr>
          <w:rStyle w:val="10"/>
          <w:rFonts w:hint="default" w:ascii="Times New Roman" w:hAnsi="Times New Roman" w:cs="Times New Roman"/>
          <w:sz w:val="26"/>
          <w:szCs w:val="26"/>
        </w:rPr>
        <w:t>Bảng 3.1: Tổng hợp giải pháp nâng cao đạo đức nghề nghiệp theo cấp độ ASK</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870"/>
        <w:gridCol w:w="3301"/>
        <w:gridCol w:w="1631"/>
        <w:gridCol w:w="25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bookmarkStart w:id="0" w:name="_GoBack" w:colFirst="0" w:colLast="3"/>
            <w:r>
              <w:rPr>
                <w:rFonts w:hint="default" w:ascii="Times New Roman" w:hAnsi="Times New Roman" w:eastAsia="SimSun" w:cs="Times New Roman"/>
                <w:b/>
                <w:kern w:val="0"/>
                <w:sz w:val="26"/>
                <w:szCs w:val="26"/>
                <w:lang w:val="en-US" w:eastAsia="zh-CN" w:bidi="ar"/>
              </w:rPr>
              <w:t>Cấp độ</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Giải pháp chính</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Đối tượng thực hiện</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KPI dự kiến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Nhận thức</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Tích hợp môn học, hội thảo chuyên gia, truyền thông số, nhật ký phản ánh</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Nhà trường, giảng viên</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Tăng nhận thức 20–30% qua khảo sát trước/sau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Kỹ năng</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Case study với mô hình ra quyết định đạo đức, thực tập có cam kết đạo đức, khóa học quốc tế</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Giảng viên, sinh viên, doanh nghiệp</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vi phạm 15–20%, số case phân tích tăng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Môi trường</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Quy tắc ứng xử, giải thưởng gương mẫu, hợp tác doanh nghiệp, giáo dục đạo đức số</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Ban giám hiệu, doanh nghiệp</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vụ vi phạm/năm, hài lòng môi trường tăng 30–35%</w:t>
            </w:r>
          </w:p>
        </w:tc>
      </w:tr>
      <w:bookmarkEnd w:id="0"/>
    </w:tbl>
    <w:p>
      <w:pPr>
        <w:pStyle w:val="7"/>
        <w:keepNext w:val="0"/>
        <w:keepLines w:val="0"/>
        <w:widowControl/>
        <w:suppressLineNumbers w:val="0"/>
        <w:spacing w:line="360" w:lineRule="auto"/>
        <w:rPr>
          <w:rStyle w:val="10"/>
          <w:rFonts w:hint="default" w:ascii="Times New Roman" w:hAnsi="Times New Roman" w:cs="Times New Roman"/>
          <w:sz w:val="26"/>
          <w:szCs w:val="26"/>
        </w:rPr>
      </w:pPr>
      <w:r>
        <w:rPr>
          <w:rStyle w:val="10"/>
          <w:rFonts w:hint="default" w:ascii="Times New Roman" w:hAnsi="Times New Roman" w:cs="Times New Roman"/>
          <w:sz w:val="26"/>
          <w:szCs w:val="26"/>
        </w:rPr>
        <w:t>Bảng 3.2: Đo lường hiệu quả giải pháp theo giai đoạn triển khai</w:t>
      </w:r>
    </w:p>
    <w:p>
      <w:pPr>
        <w:rPr>
          <w:rStyle w:val="10"/>
          <w:rFonts w:hint="default" w:ascii="Times New Roman" w:hAnsi="Times New Roman" w:cs="Times New Roman"/>
          <w:sz w:val="26"/>
          <w:szCs w:val="26"/>
        </w:rPr>
      </w:pPr>
      <w:r>
        <w:rPr>
          <w:rStyle w:val="10"/>
          <w:rFonts w:hint="default" w:ascii="Times New Roman" w:hAnsi="Times New Roman" w:cs="Times New Roman"/>
          <w:sz w:val="26"/>
          <w:szCs w:val="26"/>
        </w:rPr>
        <w:br w:type="page"/>
      </w:r>
    </w:p>
    <w:p>
      <w:pPr>
        <w:pStyle w:val="7"/>
        <w:keepNext w:val="0"/>
        <w:keepLines w:val="0"/>
        <w:widowControl/>
        <w:suppressLineNumbers w:val="0"/>
        <w:spacing w:line="360" w:lineRule="auto"/>
        <w:rPr>
          <w:rStyle w:val="10"/>
          <w:rFonts w:hint="default" w:ascii="Times New Roman" w:hAnsi="Times New Roman" w:cs="Times New Roman"/>
          <w:sz w:val="26"/>
          <w:szCs w:val="26"/>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296"/>
        <w:gridCol w:w="2348"/>
        <w:gridCol w:w="2254"/>
        <w:gridCol w:w="24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Giai đoạn</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Hoạt động chính</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Công cụ đo lường</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Mục tiêu cụ thể (dự kiến)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Giai đoạn 1 (năm 1)</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Tích hợp môn học, hội thảo nhận thức</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Khảo sát nhận thức trước/sau</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Tăng 20–25% mức độ nhận thức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Giai đoạn 2 (năm 2–3)</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Case study, thực tập, khóa học trực tuyến</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Báo cáo case, tỷ lệ vi phạm giảm</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15–20% số vụ gian lận học thuật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Giai đoạn 3 (năm 4)</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Xây dựng quy tắc, khen thưởng, hợp tác DN</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Khảo sát hài lòng, số vụ vi phạm/năm</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30–35% vụ vi phạm, hài lòng tăng 30%</w:t>
            </w:r>
          </w:p>
        </w:tc>
      </w:tr>
    </w:tbl>
    <w:p>
      <w:pPr>
        <w:pStyle w:val="7"/>
        <w:keepNext w:val="0"/>
        <w:keepLines w:val="0"/>
        <w:widowControl/>
        <w:suppressLineNumbers w:val="0"/>
        <w:spacing w:line="360" w:lineRule="auto"/>
        <w:rPr>
          <w:rFonts w:hint="default" w:ascii="Times New Roman" w:hAnsi="Times New Roman" w:cs="Times New Roman"/>
          <w:sz w:val="26"/>
          <w:szCs w:val="26"/>
        </w:rPr>
      </w:pPr>
      <w:r>
        <w:rPr>
          <w:rStyle w:val="10"/>
          <w:rFonts w:hint="default" w:ascii="Times New Roman" w:hAnsi="Times New Roman" w:cs="Times New Roman"/>
          <w:sz w:val="26"/>
          <w:szCs w:val="26"/>
        </w:rPr>
        <w:t>Bảng 3.3: So sánh giải pháp Việt Nam và một số quốc tế (Mỹ, Singapore)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255"/>
        <w:gridCol w:w="2081"/>
        <w:gridCol w:w="2876"/>
        <w:gridCol w:w="2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Tiêu chí</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Việt Nam (hiện nay)</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Quốc tế (Mỹ/Singapore)</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Bài học áp dụng cho Việt Nam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Tích hợp môn học</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Lồng ghép vào môn bắt buộc (Tư tưởng HCM)</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Môn riêng “Business Ethics” bắt buộc</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môn riêng hoặc tích hợp sâu hơn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Xử lý gian lận AI</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Phát hiện thủ công, xử lý kỷ luật</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Sử dụng phần mềm Turnitin + chính sách rõ ràng</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Triển khai công cụ AI phát hiện + quy định cụ thể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Đào tạo giảng viên</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Tập trung lý thuyết</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Đào tạo định kỳ về đạo đức AI</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Tổ chức hội thảo giảng viên về AI đạo đức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Hợp tác doanh nghiệp</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Hạn chế, chủ yếu thực tập cơ bản</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Internship với đánh giá đạo đức cao</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Tăng tỷ trọng đánh giá đạo đức trong thực tập</w:t>
            </w:r>
          </w:p>
        </w:tc>
      </w:tr>
    </w:tbl>
    <w:p>
      <w:pPr>
        <w:pStyle w:val="7"/>
        <w:keepNext w:val="0"/>
        <w:keepLines w:val="0"/>
        <w:widowControl/>
        <w:suppressLineNumbers w:val="0"/>
        <w:spacing w:line="360" w:lineRule="auto"/>
        <w:rPr>
          <w:rStyle w:val="10"/>
          <w:rFonts w:hint="default" w:ascii="Times New Roman" w:hAnsi="Times New Roman" w:cs="Times New Roman"/>
          <w:sz w:val="26"/>
          <w:szCs w:val="26"/>
        </w:rPr>
      </w:pPr>
      <w:r>
        <w:rPr>
          <w:rStyle w:val="10"/>
          <w:rFonts w:hint="default" w:ascii="Times New Roman" w:hAnsi="Times New Roman" w:cs="Times New Roman"/>
          <w:sz w:val="26"/>
          <w:szCs w:val="26"/>
        </w:rPr>
        <w:t>Bảng 3.4: Ví dụ minh họa case study áp dụng mô hình ASK</w:t>
      </w:r>
    </w:p>
    <w:p>
      <w:pPr>
        <w:rPr>
          <w:rStyle w:val="10"/>
          <w:rFonts w:hint="default" w:ascii="Times New Roman" w:hAnsi="Times New Roman" w:cs="Times New Roman"/>
          <w:sz w:val="26"/>
          <w:szCs w:val="26"/>
        </w:rPr>
      </w:pPr>
      <w:r>
        <w:rPr>
          <w:rStyle w:val="10"/>
          <w:rFonts w:hint="default" w:ascii="Times New Roman" w:hAnsi="Times New Roman" w:cs="Times New Roman"/>
          <w:sz w:val="26"/>
          <w:szCs w:val="26"/>
        </w:rPr>
        <w:br w:type="page"/>
      </w:r>
    </w:p>
    <w:p>
      <w:pPr>
        <w:pStyle w:val="7"/>
        <w:keepNext w:val="0"/>
        <w:keepLines w:val="0"/>
        <w:widowControl/>
        <w:suppressLineNumbers w:val="0"/>
        <w:spacing w:line="360" w:lineRule="auto"/>
        <w:rPr>
          <w:rStyle w:val="10"/>
          <w:rFonts w:hint="default" w:ascii="Times New Roman" w:hAnsi="Times New Roman" w:cs="Times New Roman"/>
          <w:sz w:val="26"/>
          <w:szCs w:val="26"/>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513"/>
        <w:gridCol w:w="1450"/>
        <w:gridCol w:w="1618"/>
        <w:gridCol w:w="2045"/>
        <w:gridCol w:w="17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Case study (thực tế Việt Nam)</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Attitude (thái độ)</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Skills (kỹ năng)</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Knowledge (kiến thức)</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Kết quả mong đợi sau giải pháp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Sinh viên dùng AI viết luận văn không trích dẫn</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Thiếu trung thực, coi nhẹ hậu quả</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biết cách phân tích ethical dilemma</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biết quy tắc trích dẫn APA 7 và đạo đức AI</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phụ thuộc AI, tăng sáng tạo, trung thực học tập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Sinh viên sao chép báo cáo nhóm</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Thiếu trách nhiệm nhóm</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biết từ chối vi phạm</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biết hậu quả mất uy tín nghề nghiệp</w:t>
            </w:r>
          </w:p>
        </w:tc>
        <w:tc>
          <w:tcPr>
            <w:tcW w:w="0" w:type="auto"/>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Tăng bản lĩnh, trách nhiệm nhóm, kỹ năng làm việc nhóm</w:t>
            </w:r>
          </w:p>
        </w:tc>
      </w:tr>
    </w:tbl>
    <w:p>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3.2. Kiến nghị</w:t>
      </w:r>
    </w:p>
    <w:p>
      <w:pPr>
        <w:pStyle w:val="7"/>
        <w:keepNext w:val="0"/>
        <w:keepLines w:val="0"/>
        <w:widowControl/>
        <w:suppressLineNumbers w:val="0"/>
        <w:spacing w:line="360" w:lineRule="auto"/>
        <w:rPr>
          <w:rFonts w:hint="default" w:ascii="Times New Roman" w:hAnsi="Times New Roman" w:cs="Times New Roman"/>
          <w:sz w:val="26"/>
          <w:szCs w:val="26"/>
        </w:rPr>
      </w:pPr>
      <w:r>
        <w:rPr>
          <w:rStyle w:val="10"/>
          <w:rFonts w:hint="default" w:ascii="Times New Roman" w:hAnsi="Times New Roman" w:cs="Times New Roman"/>
          <w:sz w:val="26"/>
          <w:szCs w:val="26"/>
        </w:rPr>
        <w:t>Đối với sinh viên</w:t>
      </w:r>
      <w:r>
        <w:rPr>
          <w:rFonts w:hint="default" w:ascii="Times New Roman" w:hAnsi="Times New Roman" w:cs="Times New Roman"/>
          <w:sz w:val="26"/>
          <w:szCs w:val="26"/>
        </w:rPr>
        <w:t xml:space="preserve"> </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Sinh viên cần chủ động tự rèn luyện đạo đức nghề nghiệp bằng cách đọc các tài liệu chuyên sâu như “Đạo đức Hồ Chí Minh”, sách tiếng Anh về Professional Ethics, tham gia các khóa học trực tuyến miễn phí trên Coursera hoặc edX, xây dựng thói quen trung thực hàng ngày (không lạm dụng AI, tự kiểm tra đạo văn trước khi nộp bài), và tìm kiếm người hướng dẫn (mentor) từ giảng viên hoặc anh chị khóa trên để học hỏi kinh nghiệm thực tiễn.</w:t>
      </w:r>
    </w:p>
    <w:p>
      <w:pPr>
        <w:pStyle w:val="7"/>
        <w:keepNext w:val="0"/>
        <w:keepLines w:val="0"/>
        <w:widowControl/>
        <w:suppressLineNumbers w:val="0"/>
        <w:spacing w:line="360" w:lineRule="auto"/>
        <w:rPr>
          <w:rFonts w:hint="default" w:ascii="Times New Roman" w:hAnsi="Times New Roman" w:cs="Times New Roman"/>
          <w:sz w:val="26"/>
          <w:szCs w:val="26"/>
        </w:rPr>
      </w:pPr>
      <w:r>
        <w:rPr>
          <w:rStyle w:val="10"/>
          <w:rFonts w:hint="default" w:ascii="Times New Roman" w:hAnsi="Times New Roman" w:cs="Times New Roman"/>
          <w:sz w:val="26"/>
          <w:szCs w:val="26"/>
        </w:rPr>
        <w:t>Đối với giảng viên</w:t>
      </w:r>
      <w:r>
        <w:rPr>
          <w:rFonts w:hint="default" w:ascii="Times New Roman" w:hAnsi="Times New Roman" w:cs="Times New Roman"/>
          <w:sz w:val="26"/>
          <w:szCs w:val="26"/>
        </w:rPr>
        <w:t xml:space="preserve"> </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Giảng viên đóng vai trò làm gương quan trọng, cần đảm bảo tính minh bạch trong đánh giá học tập, tích hợp nội dung đạo đức vào bài giảng chuyên môn (ví dụ: thảo luận ethical dilemmas trong môn kinh tế hoặc kỹ thuật), hướng dẫn sinh viên phân tích tình huống đạo đức một cách sâu sắc, và hỗ trợ kịp thời khi phát hiện dấu hiệu vi phạm thay vì bỏ qua, góp phần xây dựng môi trường học tập lành mạnh.</w:t>
      </w:r>
    </w:p>
    <w:p>
      <w:pPr>
        <w:pStyle w:val="7"/>
        <w:keepNext w:val="0"/>
        <w:keepLines w:val="0"/>
        <w:widowControl/>
        <w:suppressLineNumbers w:val="0"/>
        <w:spacing w:line="360" w:lineRule="auto"/>
        <w:rPr>
          <w:rFonts w:hint="default" w:ascii="Times New Roman" w:hAnsi="Times New Roman" w:cs="Times New Roman"/>
          <w:sz w:val="26"/>
          <w:szCs w:val="26"/>
        </w:rPr>
      </w:pPr>
      <w:r>
        <w:rPr>
          <w:rStyle w:val="10"/>
          <w:rFonts w:hint="default" w:ascii="Times New Roman" w:hAnsi="Times New Roman" w:cs="Times New Roman"/>
          <w:sz w:val="26"/>
          <w:szCs w:val="26"/>
        </w:rPr>
        <w:t>Đối với nhà trường và cơ quan quản lý</w:t>
      </w:r>
      <w:r>
        <w:rPr>
          <w:rFonts w:hint="default" w:ascii="Times New Roman" w:hAnsi="Times New Roman" w:cs="Times New Roman"/>
          <w:sz w:val="26"/>
          <w:szCs w:val="26"/>
        </w:rPr>
        <w:t xml:space="preserve"> </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Nhà trường và Bộ Giáo dục và Đào tạo cần ban hành chính sách cụ thể tích hợp đạo đức nghề nghiệp vào chuẩn đầu ra đào tạo theo tinh thần Nghị quyết 29-NQ/TW về đổi mới giáo dục và Chỉ thị 31/CT-TTg, đầu tư nguồn lực cho việc đào tạo giảng viên về giáo dục đạo đức, hợp tác quốc tế để cập nhật chuẩn mực (ví dụ: tham khảo CFA Code of Ethics hoặc các mô hình quốc tế), và tổ chức khảo sát thực trạng định kỳ (hàng năm) để điều chỉnh chương trình phù hợp với bối cảnh chuyển đổi số và hội nhập.</w:t>
      </w:r>
    </w:p>
    <w:p>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3.3. Kết luận</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Nghiên cứu đã hệ thống hóa cơ sở lý luận về </w:t>
      </w:r>
      <w:r>
        <w:rPr>
          <w:rStyle w:val="10"/>
          <w:rFonts w:hint="default" w:ascii="Times New Roman" w:hAnsi="Times New Roman" w:cs="Times New Roman"/>
          <w:sz w:val="26"/>
          <w:szCs w:val="26"/>
        </w:rPr>
        <w:t>đạo đức nghề nghiệp</w:t>
      </w:r>
      <w:r>
        <w:rPr>
          <w:rFonts w:hint="default" w:ascii="Times New Roman" w:hAnsi="Times New Roman" w:cs="Times New Roman"/>
          <w:sz w:val="26"/>
          <w:szCs w:val="26"/>
        </w:rPr>
        <w:t xml:space="preserve"> và mối quan hệ chặt chẽ của nó với </w:t>
      </w:r>
      <w:r>
        <w:rPr>
          <w:rStyle w:val="10"/>
          <w:rFonts w:hint="default" w:ascii="Times New Roman" w:hAnsi="Times New Roman" w:cs="Times New Roman"/>
          <w:sz w:val="26"/>
          <w:szCs w:val="26"/>
        </w:rPr>
        <w:t>phong cách làm việc chuyên nghiệp</w:t>
      </w:r>
      <w:r>
        <w:rPr>
          <w:rFonts w:hint="default" w:ascii="Times New Roman" w:hAnsi="Times New Roman" w:cs="Times New Roman"/>
          <w:sz w:val="26"/>
          <w:szCs w:val="26"/>
        </w:rPr>
        <w:t xml:space="preserve"> của người lao động, đặc biệt đối với sinh viên đại học Việt Nam – lực lượng lao động tương lai. Qua phân tích thực trạng, có thể thấy rõ biểu hiện tích cực như lý tưởng sống tốt đẹp và niềm tin xã hội chiếm ưu thế, nhưng vẫn tồn tại hạn chế nghiêm trọng như gian lận học thuật tăng do AI, thiếu bản lĩnh trước xung đột đạo đức, đòi hỏi can thiệp toàn diện trong bối cảnh hội nhập quốc tế và chuyển đổi số.</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Chương 3 đề xuất giải pháp toàn diện theo ba cấp độ </w:t>
      </w:r>
      <w:r>
        <w:rPr>
          <w:rStyle w:val="10"/>
          <w:rFonts w:hint="default" w:ascii="Times New Roman" w:hAnsi="Times New Roman" w:cs="Times New Roman"/>
          <w:sz w:val="26"/>
          <w:szCs w:val="26"/>
        </w:rPr>
        <w:t>nhận thức – kỹ năng – môi trường</w:t>
      </w:r>
      <w:r>
        <w:rPr>
          <w:rFonts w:hint="default" w:ascii="Times New Roman" w:hAnsi="Times New Roman" w:cs="Times New Roman"/>
          <w:sz w:val="26"/>
          <w:szCs w:val="26"/>
        </w:rPr>
        <w:t>, với các biện pháp cụ thể, khả thi và có thể đo lường, nhằm giúp sinh viên không chỉ nhận thức mà còn thực hành đạo đức nghề nghiệp một cách bền vững. Kết quả nghiên cứu khẳng định rằng đạo đức nghề nghiệp chính là nền tảng cốt lõi cho sự thành công lâu dài trong lao động chuyên nghiệp, góp phần xây dựng nguồn nhân lực chất lượng cao, đáp ứng yêu cầu phát triển kinh tế - xã hội của đất nước theo tinh thần Đại hội XIII của Đảng.</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Hạn chế của nghiên cứu chủ yếu nằm ở việc dựa nhiều vào tài liệu thứ cấp và quan sát thực tế, chưa tiến hành khảo sát định lượng quy mô lớn từ nhiều trường đại học khác nhau. Hướng nghiên cứu tiếp theo có thể tập trung vào khảo sát so sánh nhận thức đạo đức nghề nghiệp giữa các khối ngành (kinh tế, kỹ thuật, y khoa) hoặc đánh giá tác động cụ thể của chuyển đổi số (đặc biệt là AI) đến hành vi đạo đức của sinh viên, nhằm cung cấp cơ sở dữ liệu chi tiết hơn cho các chính sách giáo dục trong tương lai.</w:t>
      </w:r>
    </w:p>
    <w:p>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p>
    <w:p>
      <w:pPr>
        <w:spacing w:line="360" w:lineRule="auto"/>
        <w:rPr>
          <w:rFonts w:hint="default" w:ascii="Times New Roman" w:hAnsi="Times New Roman" w:cs="Times New Roman"/>
          <w:sz w:val="26"/>
          <w:szCs w:val="26"/>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539C57"/>
    <w:multiLevelType w:val="multilevel"/>
    <w:tmpl w:val="84539C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36CE3A4"/>
    <w:multiLevelType w:val="multilevel"/>
    <w:tmpl w:val="B36CE3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5D01522"/>
    <w:multiLevelType w:val="multilevel"/>
    <w:tmpl w:val="F5D015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A46A141"/>
    <w:multiLevelType w:val="multilevel"/>
    <w:tmpl w:val="3A46A1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9DF0D12"/>
    <w:multiLevelType w:val="multilevel"/>
    <w:tmpl w:val="49DF0D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6A571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A3B1196"/>
    <w:rsid w:val="29EE589F"/>
    <w:rsid w:val="38EF2900"/>
    <w:rsid w:val="669955F6"/>
    <w:rsid w:val="6E8E04DF"/>
    <w:rsid w:val="783520C7"/>
    <w:rsid w:val="786A571A"/>
    <w:rsid w:val="7FF83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3"/>
    <w:qFormat/>
    <w:uiPriority w:val="0"/>
    <w:pPr>
      <w:spacing w:before="0" w:beforeAutospacing="1" w:after="0" w:afterAutospacing="1"/>
      <w:jc w:val="left"/>
    </w:pPr>
    <w:rPr>
      <w:rFonts w:hint="eastAsia" w:ascii="SimSun" w:hAnsi="SimSun" w:eastAsia="SimSun" w:cs="SimSun"/>
      <w:b/>
      <w:bCs/>
      <w:color w:val="000000" w:themeColor="text1"/>
      <w:sz w:val="48"/>
      <w:szCs w:val="48"/>
      <w:lang w:val="en-US" w:eastAsia="zh-CN" w:bidi="ar"/>
      <w14:textFill>
        <w14:solidFill>
          <w14:schemeClr w14:val="tx1"/>
        </w14:solidFill>
      </w14:textFill>
    </w:rPr>
  </w:style>
  <w:style w:type="paragraph" w:styleId="3">
    <w:name w:val="heading 2"/>
    <w:next w:val="1"/>
    <w:link w:val="12"/>
    <w:semiHidden/>
    <w:unhideWhenUsed/>
    <w:qFormat/>
    <w:uiPriority w:val="0"/>
    <w:pPr>
      <w:spacing w:before="0" w:beforeAutospacing="1" w:after="0" w:afterAutospacing="1"/>
      <w:jc w:val="left"/>
    </w:pPr>
    <w:rPr>
      <w:rFonts w:hint="eastAsia" w:ascii="SimSun" w:hAnsi="SimSun" w:eastAsia="SimSun" w:cs="SimSun"/>
      <w:b/>
      <w:bCs/>
      <w:color w:val="000000" w:themeColor="text1"/>
      <w:kern w:val="0"/>
      <w:sz w:val="36"/>
      <w:szCs w:val="36"/>
      <w:lang w:val="en-US" w:eastAsia="zh-CN" w:bidi="ar"/>
      <w14:textFill>
        <w14:solidFill>
          <w14:schemeClr w14:val="tx1"/>
        </w14:solidFill>
      </w14:textFill>
    </w:rPr>
  </w:style>
  <w:style w:type="paragraph" w:styleId="4">
    <w:name w:val="heading 3"/>
    <w:next w:val="1"/>
    <w:link w:val="14"/>
    <w:semiHidden/>
    <w:unhideWhenUsed/>
    <w:qFormat/>
    <w:uiPriority w:val="0"/>
    <w:pPr>
      <w:spacing w:before="0" w:beforeAutospacing="1" w:after="0" w:afterAutospacing="1"/>
      <w:jc w:val="left"/>
    </w:pPr>
    <w:rPr>
      <w:rFonts w:hint="eastAsia" w:ascii="SimSun" w:hAnsi="SimSun" w:eastAsia="SimSun" w:cs="SimSun"/>
      <w:b/>
      <w:bCs/>
      <w:color w:val="000000" w:themeColor="text1"/>
      <w:kern w:val="0"/>
      <w:sz w:val="26"/>
      <w:szCs w:val="26"/>
      <w:lang w:val="en-US" w:eastAsia="zh-CN" w:bidi="ar"/>
      <w14:textFill>
        <w14:solidFill>
          <w14:schemeClr w14:val="tx1"/>
        </w14:solidFill>
      </w14:textFill>
    </w:rPr>
  </w:style>
  <w:style w:type="paragraph" w:styleId="5">
    <w:name w:val="heading 4"/>
    <w:next w:val="1"/>
    <w:link w:val="15"/>
    <w:semiHidden/>
    <w:unhideWhenUsed/>
    <w:qFormat/>
    <w:uiPriority w:val="0"/>
    <w:pPr>
      <w:spacing w:before="0" w:beforeAutospacing="1" w:after="0" w:afterAutospacing="1"/>
      <w:jc w:val="left"/>
    </w:pPr>
    <w:rPr>
      <w:rFonts w:hint="eastAsia" w:ascii="SimSun" w:hAnsi="SimSun" w:eastAsia="SimSun" w:cs="SimSun"/>
      <w:b/>
      <w:iCs/>
      <w:color w:val="000000" w:themeColor="text1"/>
      <w:kern w:val="0"/>
      <w:sz w:val="24"/>
      <w:szCs w:val="24"/>
      <w:lang w:val="en-US" w:eastAsia="zh-CN" w:bidi="ar"/>
      <w14:textFill>
        <w14:solidFill>
          <w14:schemeClr w14:val="tx1"/>
        </w14:solidFill>
      </w14:textFill>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8">
    <w:name w:val="Default Paragraph Font"/>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kern w:val="0"/>
      <w:sz w:val="24"/>
      <w:szCs w:val="24"/>
      <w:lang w:val="en-US" w:eastAsia="zh-CN" w:bidi="ar"/>
    </w:rPr>
  </w:style>
  <w:style w:type="character" w:styleId="9">
    <w:name w:val="Emphasis"/>
    <w:basedOn w:val="8"/>
    <w:qFormat/>
    <w:uiPriority w:val="0"/>
    <w:rPr>
      <w:i/>
      <w:iCs/>
    </w:rPr>
  </w:style>
  <w:style w:type="character" w:styleId="10">
    <w:name w:val="Strong"/>
    <w:basedOn w:val="8"/>
    <w:qFormat/>
    <w:uiPriority w:val="0"/>
    <w:rPr>
      <w:b/>
      <w:bCs/>
    </w:rPr>
  </w:style>
  <w:style w:type="character" w:customStyle="1" w:styleId="12">
    <w:name w:val="Heading 2 Char"/>
    <w:link w:val="3"/>
    <w:semiHidden/>
    <w:qFormat/>
    <w:uiPriority w:val="9"/>
    <w:rPr>
      <w:rFonts w:ascii="Times New Roman" w:hAnsi="Times New Roman" w:eastAsia="SimSun" w:cs="Times New Roman"/>
      <w:b/>
      <w:bCs/>
      <w:color w:val="000000" w:themeColor="text1"/>
      <w:sz w:val="26"/>
      <w:szCs w:val="26"/>
      <w:lang w:eastAsia="en-US"/>
      <w14:textFill>
        <w14:solidFill>
          <w14:schemeClr w14:val="tx1"/>
        </w14:solidFill>
      </w14:textFill>
    </w:rPr>
  </w:style>
  <w:style w:type="character" w:customStyle="1" w:styleId="13">
    <w:name w:val="Heading 1 Char"/>
    <w:link w:val="2"/>
    <w:qFormat/>
    <w:uiPriority w:val="9"/>
    <w:rPr>
      <w:rFonts w:ascii="Times New Roman" w:hAnsi="Times New Roman" w:eastAsia="SimSun" w:cs="Times New Roman"/>
      <w:b/>
      <w:bCs/>
      <w:color w:val="000000" w:themeColor="text1"/>
      <w:sz w:val="36"/>
      <w:szCs w:val="28"/>
      <w:lang w:eastAsia="en-US"/>
      <w14:textFill>
        <w14:solidFill>
          <w14:schemeClr w14:val="tx1"/>
        </w14:solidFill>
      </w14:textFill>
    </w:rPr>
  </w:style>
  <w:style w:type="character" w:customStyle="1" w:styleId="14">
    <w:name w:val="Heading 3 Char"/>
    <w:link w:val="4"/>
    <w:semiHidden/>
    <w:qFormat/>
    <w:uiPriority w:val="9"/>
    <w:rPr>
      <w:rFonts w:ascii="Times New Roman" w:hAnsi="Times New Roman" w:eastAsia="SimSun" w:cs="Times New Roman"/>
      <w:b/>
      <w:bCs/>
      <w:color w:val="000000" w:themeColor="text1"/>
      <w:sz w:val="26"/>
      <w:szCs w:val="22"/>
      <w:lang w:eastAsia="en-US"/>
      <w14:textFill>
        <w14:solidFill>
          <w14:schemeClr w14:val="tx1"/>
        </w14:solidFill>
      </w14:textFill>
    </w:rPr>
  </w:style>
  <w:style w:type="character" w:customStyle="1" w:styleId="15">
    <w:name w:val="Heading 4 Char"/>
    <w:basedOn w:val="8"/>
    <w:link w:val="5"/>
    <w:semiHidden/>
    <w:qFormat/>
    <w:uiPriority w:val="9"/>
    <w:rPr>
      <w:rFonts w:ascii="Times New Roman" w:hAnsi="Times New Roman" w:eastAsiaTheme="majorEastAsia" w:cstheme="majorBidi"/>
      <w:b/>
      <w:iCs/>
      <w:color w:val="000000" w:themeColor="text1"/>
      <w:sz w:val="26"/>
      <w:lang w:val="en-US" w:eastAsia="zh-CN"/>
      <w14:textFill>
        <w14:solidFill>
          <w14:schemeClr w14:val="tx1"/>
        </w14:solidFill>
      </w14:textFill>
    </w:rPr>
  </w:style>
  <w:style w:type="paragraph" w:customStyle="1" w:styleId="16">
    <w:name w:val="hình"/>
    <w:basedOn w:val="6"/>
    <w:next w:val="1"/>
    <w:qFormat/>
    <w:uiPriority w:val="0"/>
    <w:pPr>
      <w:spacing w:before="280" w:after="290"/>
    </w:pPr>
    <w:rPr>
      <w:rFonts w:hint="eastAsia" w:ascii="Times New Roman" w:hAnsi="Times New Roman" w:eastAsia="SimSun" w:cs="SimSun"/>
      <w:sz w:val="26"/>
      <w:szCs w:val="20"/>
      <w:lang w:bidi="ar"/>
    </w:rPr>
  </w:style>
  <w:style w:type="paragraph" w:customStyle="1" w:styleId="17">
    <w:name w:val="Bảngg"/>
    <w:basedOn w:val="7"/>
    <w:qFormat/>
    <w:uiPriority w:val="0"/>
    <w:pPr>
      <w:jc w:val="center"/>
    </w:pPr>
    <w:rPr>
      <w:rFonts w:ascii="Times New Roman" w:hAnsi="Times New Roman"/>
      <w:b/>
      <w:i/>
      <w:sz w:val="26"/>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2026-02-07T15:04:00Z</dcterms:created>
  <dc:creator>ACER</dc:creator>
  <cp:lastModifiedBy>ACER</cp:lastModifiedBy>
  <dcterms:modified xsi:type="dcterms:W3CDTF">2026-02-07T15:44:58Z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