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TẬP SS5_BT2</w:t>
      </w:r>
    </w:p>
    <w:p>
      <w:pPr>
        <w:spacing w:after="240"/>
      </w:pPr>
      <w:r>
        <w:rPr>
          <w:b/>
          <w:color w:val="1E5484"/>
          <w:sz w:val="22"/>
        </w:rPr>
        <w:t>Phân biệt Acceptance Criteria và Definition of Done cho chức năng thanh toán ví</w:t>
      </w:r>
    </w:p>
    <w:p>
      <w:pPr>
        <w:spacing w:after="140"/>
      </w:pPr>
      <w:r>
        <w:rPr>
          <w:b/>
        </w:rPr>
        <w:t xml:space="preserve">User Story: </w:t>
      </w:r>
      <w:r>
        <w:t>“Là một Khách hàng, tôi muốn thanh toán bằng ví RikkeiPay, để không cần tiền mặt.”</w:t>
      </w:r>
    </w:p>
    <w:p>
      <w:pPr>
        <w:pStyle w:val="Heading1"/>
      </w:pPr>
      <w:r>
        <w:t>PHẦN 1. PHÂN TÍCH CÁC PHÁT BIỂU</w:t>
      </w:r>
    </w:p>
    <w:tbl>
      <w:tblPr>
        <w:tblStyle w:val="TableGrid"/>
        <w:tblW w:type="auto" w:w="0"/>
        <w:jc w:val="center"/>
        <w:tblLayout w:type="fixed"/>
        <w:tblLook w:firstColumn="1" w:firstRow="1" w:lastColumn="0" w:lastRow="0" w:noHBand="0" w:noVBand="1" w:val="04A0"/>
      </w:tblPr>
      <w:tblGrid>
        <w:gridCol w:w="964"/>
        <w:gridCol w:w="1247"/>
        <w:gridCol w:w="1332"/>
        <w:gridCol w:w="6265"/>
      </w:tblGrid>
      <w:tr>
        <w:tc>
          <w:tcPr>
            <w:tcW w:type="dxa" w:w="964"/>
            <w:vAlign w:val="center"/>
            <w:shd w:fill="16304B"/>
            <w:tcMar>
              <w:top w:w="88" w:type="dxa"/>
              <w:bottom w:w="88" w:type="dxa"/>
              <w:left w:w="85" w:type="dxa"/>
              <w:right w:w="85" w:type="dxa"/>
            </w:tcMar>
          </w:tcPr>
          <w:p>
            <w:pPr>
              <w:spacing w:after="0"/>
            </w:pPr>
            <w:r>
              <w:rPr>
                <w:rFonts w:ascii="Arial" w:hAnsi="Arial"/>
                <w:b/>
                <w:color w:val="FFFFFF"/>
                <w:sz w:val="17"/>
              </w:rPr>
              <w:t>Phát biểu</w:t>
            </w:r>
          </w:p>
        </w:tc>
        <w:tc>
          <w:tcPr>
            <w:tcW w:type="dxa" w:w="1247"/>
            <w:vAlign w:val="center"/>
            <w:shd w:fill="16304B"/>
            <w:tcMar>
              <w:top w:w="88" w:type="dxa"/>
              <w:bottom w:w="88" w:type="dxa"/>
              <w:left w:w="85" w:type="dxa"/>
              <w:right w:w="85" w:type="dxa"/>
            </w:tcMar>
          </w:tcPr>
          <w:p>
            <w:pPr>
              <w:spacing w:after="0"/>
            </w:pPr>
            <w:r>
              <w:rPr>
                <w:rFonts w:ascii="Arial" w:hAnsi="Arial"/>
                <w:b/>
                <w:color w:val="FFFFFF"/>
                <w:sz w:val="17"/>
              </w:rPr>
              <w:t>AC / DoD</w:t>
            </w:r>
          </w:p>
        </w:tc>
        <w:tc>
          <w:tcPr>
            <w:tcW w:type="dxa" w:w="1332"/>
            <w:vAlign w:val="center"/>
            <w:shd w:fill="16304B"/>
            <w:tcMar>
              <w:top w:w="88" w:type="dxa"/>
              <w:bottom w:w="88" w:type="dxa"/>
              <w:left w:w="85" w:type="dxa"/>
              <w:right w:w="85" w:type="dxa"/>
            </w:tcMar>
          </w:tcPr>
          <w:p>
            <w:pPr>
              <w:spacing w:after="0"/>
            </w:pPr>
            <w:r>
              <w:rPr>
                <w:rFonts w:ascii="Arial" w:hAnsi="Arial"/>
                <w:b/>
                <w:color w:val="FFFFFF"/>
                <w:sz w:val="17"/>
              </w:rPr>
              <w:t>Đạt / Chưa đạt</w:t>
            </w:r>
          </w:p>
        </w:tc>
        <w:tc>
          <w:tcPr>
            <w:tcW w:type="dxa" w:w="6265"/>
            <w:vAlign w:val="center"/>
            <w:shd w:fill="16304B"/>
            <w:tcMar>
              <w:top w:w="88" w:type="dxa"/>
              <w:bottom w:w="88" w:type="dxa"/>
              <w:left w:w="85" w:type="dxa"/>
              <w:right w:w="85" w:type="dxa"/>
            </w:tcMar>
          </w:tcPr>
          <w:p>
            <w:pPr>
              <w:spacing w:after="0"/>
            </w:pPr>
            <w:r>
              <w:rPr>
                <w:rFonts w:ascii="Arial" w:hAnsi="Arial"/>
                <w:b/>
                <w:color w:val="FFFFFF"/>
                <w:sz w:val="17"/>
              </w:rPr>
              <w:t>Lý do</w:t>
            </w:r>
          </w:p>
        </w:tc>
      </w:tr>
      <w:tr>
        <w:trPr>
          <w:cantSplit/>
        </w:trPr>
        <w:tc>
          <w:tcPr>
            <w:tcW w:type="dxa" w:w="964"/>
            <w:vAlign w:val="center"/>
            <w:tcMar>
              <w:top w:w="88" w:type="dxa"/>
              <w:bottom w:w="88" w:type="dxa"/>
              <w:left w:w="85" w:type="dxa"/>
              <w:right w:w="85" w:type="dxa"/>
            </w:tcMar>
          </w:tcPr>
          <w:p>
            <w:pPr>
              <w:spacing w:after="0" w:line="257" w:lineRule="auto"/>
            </w:pPr>
            <w:r>
              <w:rPr>
                <w:rFonts w:ascii="Arial" w:hAnsi="Arial"/>
                <w:b/>
                <w:sz w:val="17"/>
              </w:rPr>
              <w:t>Đ1</w:t>
            </w:r>
          </w:p>
        </w:tc>
        <w:tc>
          <w:tcPr>
            <w:tcW w:type="dxa" w:w="1247"/>
            <w:vAlign w:val="center"/>
            <w:tcMar>
              <w:top w:w="88" w:type="dxa"/>
              <w:bottom w:w="88" w:type="dxa"/>
              <w:left w:w="85" w:type="dxa"/>
              <w:right w:w="85" w:type="dxa"/>
            </w:tcMar>
          </w:tcPr>
          <w:p>
            <w:pPr>
              <w:spacing w:after="0" w:line="257" w:lineRule="auto"/>
            </w:pPr>
            <w:r>
              <w:rPr>
                <w:rFonts w:ascii="Arial" w:hAnsi="Arial"/>
                <w:sz w:val="17"/>
              </w:rPr>
              <w:t>AC</w:t>
            </w:r>
          </w:p>
        </w:tc>
        <w:tc>
          <w:tcPr>
            <w:tcW w:type="dxa" w:w="1332"/>
            <w:vAlign w:val="center"/>
            <w:tcMar>
              <w:top w:w="88" w:type="dxa"/>
              <w:bottom w:w="88" w:type="dxa"/>
              <w:left w:w="85" w:type="dxa"/>
              <w:right w:w="85" w:type="dxa"/>
            </w:tcMar>
          </w:tcPr>
          <w:p>
            <w:pPr>
              <w:spacing w:after="0" w:line="257" w:lineRule="auto"/>
            </w:pPr>
            <w:r>
              <w:rPr>
                <w:rFonts w:ascii="Arial" w:hAnsi="Arial"/>
                <w:b/>
                <w:sz w:val="17"/>
              </w:rPr>
              <w:t>Đạt</w:t>
            </w:r>
          </w:p>
        </w:tc>
        <w:tc>
          <w:tcPr>
            <w:tcW w:type="dxa" w:w="6265"/>
            <w:vAlign w:val="center"/>
            <w:tcMar>
              <w:top w:w="88" w:type="dxa"/>
              <w:bottom w:w="88" w:type="dxa"/>
              <w:left w:w="85" w:type="dxa"/>
              <w:right w:w="85" w:type="dxa"/>
            </w:tcMar>
          </w:tcPr>
          <w:p>
            <w:pPr>
              <w:spacing w:after="0" w:line="257" w:lineRule="auto"/>
            </w:pPr>
            <w:r>
              <w:rPr>
                <w:rFonts w:ascii="Arial" w:hAnsi="Arial"/>
                <w:sz w:val="17"/>
              </w:rPr>
              <w:t>Điều kiện riêng của story thanh toán. Given – When – Then rõ ràng; có thể kiểm tra trạng thái chuyến và số tiền ví bị trừ.</w:t>
            </w:r>
          </w:p>
        </w:tc>
      </w:tr>
      <w:tr>
        <w:trPr>
          <w:cantSplit/>
        </w:trPr>
        <w:tc>
          <w:tcPr>
            <w:tcW w:type="dxa" w:w="964"/>
            <w:vAlign w:val="center"/>
            <w:shd w:fill="F0F4F8"/>
            <w:tcMar>
              <w:top w:w="88" w:type="dxa"/>
              <w:bottom w:w="88" w:type="dxa"/>
              <w:left w:w="85" w:type="dxa"/>
              <w:right w:w="85" w:type="dxa"/>
            </w:tcMar>
          </w:tcPr>
          <w:p>
            <w:pPr>
              <w:spacing w:after="0" w:line="257" w:lineRule="auto"/>
            </w:pPr>
            <w:r>
              <w:rPr>
                <w:rFonts w:ascii="Arial" w:hAnsi="Arial"/>
                <w:b/>
                <w:sz w:val="17"/>
              </w:rPr>
              <w:t>Đ2</w:t>
            </w:r>
          </w:p>
        </w:tc>
        <w:tc>
          <w:tcPr>
            <w:tcW w:type="dxa" w:w="1247"/>
            <w:vAlign w:val="center"/>
            <w:shd w:fill="F0F4F8"/>
            <w:tcMar>
              <w:top w:w="88" w:type="dxa"/>
              <w:bottom w:w="88" w:type="dxa"/>
              <w:left w:w="85" w:type="dxa"/>
              <w:right w:w="85" w:type="dxa"/>
            </w:tcMar>
          </w:tcPr>
          <w:p>
            <w:pPr>
              <w:spacing w:after="0" w:line="257" w:lineRule="auto"/>
            </w:pPr>
            <w:r>
              <w:rPr>
                <w:rFonts w:ascii="Arial" w:hAnsi="Arial"/>
                <w:sz w:val="17"/>
              </w:rPr>
              <w:t>DoD</w:t>
            </w:r>
          </w:p>
        </w:tc>
        <w:tc>
          <w:tcPr>
            <w:tcW w:type="dxa" w:w="1332"/>
            <w:vAlign w:val="center"/>
            <w:shd w:fill="F0F4F8"/>
            <w:tcMar>
              <w:top w:w="88" w:type="dxa"/>
              <w:bottom w:w="88" w:type="dxa"/>
              <w:left w:w="85" w:type="dxa"/>
              <w:right w:w="85" w:type="dxa"/>
            </w:tcMar>
          </w:tcPr>
          <w:p>
            <w:pPr>
              <w:spacing w:after="0" w:line="257" w:lineRule="auto"/>
            </w:pPr>
            <w:r>
              <w:rPr>
                <w:rFonts w:ascii="Arial" w:hAnsi="Arial"/>
                <w:b/>
                <w:sz w:val="17"/>
              </w:rPr>
              <w:t>Đạt</w:t>
            </w:r>
          </w:p>
        </w:tc>
        <w:tc>
          <w:tcPr>
            <w:tcW w:type="dxa" w:w="6265"/>
            <w:vAlign w:val="center"/>
            <w:shd w:fill="F0F4F8"/>
            <w:tcMar>
              <w:top w:w="88" w:type="dxa"/>
              <w:bottom w:w="88" w:type="dxa"/>
              <w:left w:w="85" w:type="dxa"/>
              <w:right w:w="85" w:type="dxa"/>
            </w:tcMar>
          </w:tcPr>
          <w:p>
            <w:pPr>
              <w:spacing w:after="0" w:line="257" w:lineRule="auto"/>
            </w:pPr>
            <w:r>
              <w:rPr>
                <w:rFonts w:ascii="Arial" w:hAnsi="Arial"/>
                <w:sz w:val="17"/>
              </w:rPr>
              <w:t>Quy định code phải được ít nhất một Developer khác review trước khi merge; là chuẩn chất lượng áp dụng chung.</w:t>
            </w:r>
          </w:p>
        </w:tc>
      </w:tr>
      <w:tr>
        <w:trPr>
          <w:cantSplit/>
        </w:trPr>
        <w:tc>
          <w:tcPr>
            <w:tcW w:type="dxa" w:w="964"/>
            <w:vAlign w:val="center"/>
            <w:tcMar>
              <w:top w:w="88" w:type="dxa"/>
              <w:bottom w:w="88" w:type="dxa"/>
              <w:left w:w="85" w:type="dxa"/>
              <w:right w:w="85" w:type="dxa"/>
            </w:tcMar>
          </w:tcPr>
          <w:p>
            <w:pPr>
              <w:spacing w:after="0" w:line="257" w:lineRule="auto"/>
            </w:pPr>
            <w:r>
              <w:rPr>
                <w:rFonts w:ascii="Arial" w:hAnsi="Arial"/>
                <w:b/>
                <w:sz w:val="17"/>
              </w:rPr>
              <w:t>Đ3</w:t>
            </w:r>
          </w:p>
        </w:tc>
        <w:tc>
          <w:tcPr>
            <w:tcW w:type="dxa" w:w="1247"/>
            <w:vAlign w:val="center"/>
            <w:tcMar>
              <w:top w:w="88" w:type="dxa"/>
              <w:bottom w:w="88" w:type="dxa"/>
              <w:left w:w="85" w:type="dxa"/>
              <w:right w:w="85" w:type="dxa"/>
            </w:tcMar>
          </w:tcPr>
          <w:p>
            <w:pPr>
              <w:spacing w:after="0" w:line="257" w:lineRule="auto"/>
            </w:pPr>
            <w:r>
              <w:rPr>
                <w:rFonts w:ascii="Arial" w:hAnsi="Arial"/>
                <w:sz w:val="17"/>
              </w:rPr>
              <w:t>AC</w:t>
            </w:r>
          </w:p>
        </w:tc>
        <w:tc>
          <w:tcPr>
            <w:tcW w:type="dxa" w:w="1332"/>
            <w:vAlign w:val="center"/>
            <w:tcMar>
              <w:top w:w="88" w:type="dxa"/>
              <w:bottom w:w="88" w:type="dxa"/>
              <w:left w:w="85" w:type="dxa"/>
              <w:right w:w="85" w:type="dxa"/>
            </w:tcMar>
          </w:tcPr>
          <w:p>
            <w:pPr>
              <w:spacing w:after="0" w:line="257" w:lineRule="auto"/>
            </w:pPr>
            <w:r>
              <w:rPr>
                <w:rFonts w:ascii="Arial" w:hAnsi="Arial"/>
                <w:b/>
                <w:sz w:val="17"/>
              </w:rPr>
              <w:t>Chưa đạt</w:t>
            </w:r>
          </w:p>
        </w:tc>
        <w:tc>
          <w:tcPr>
            <w:tcW w:type="dxa" w:w="6265"/>
            <w:vAlign w:val="center"/>
            <w:tcMar>
              <w:top w:w="88" w:type="dxa"/>
              <w:bottom w:w="88" w:type="dxa"/>
              <w:left w:w="85" w:type="dxa"/>
              <w:right w:w="85" w:type="dxa"/>
            </w:tcMar>
          </w:tcPr>
          <w:p>
            <w:pPr>
              <w:spacing w:after="0" w:line="257" w:lineRule="auto"/>
            </w:pPr>
            <w:r>
              <w:rPr>
                <w:rFonts w:ascii="Arial" w:hAnsi="Arial"/>
                <w:sz w:val="17"/>
              </w:rPr>
              <w:t>Mô tả trải nghiệm khi thanh toán nhưng “nhanh, mượt, khách dùng thấy thích” mang tính cảm tính, không có tiêu chí đo lường.</w:t>
            </w:r>
          </w:p>
        </w:tc>
      </w:tr>
      <w:tr>
        <w:trPr>
          <w:cantSplit/>
        </w:trPr>
        <w:tc>
          <w:tcPr>
            <w:tcW w:type="dxa" w:w="964"/>
            <w:vAlign w:val="center"/>
            <w:shd w:fill="F0F4F8"/>
            <w:tcMar>
              <w:top w:w="88" w:type="dxa"/>
              <w:bottom w:w="88" w:type="dxa"/>
              <w:left w:w="85" w:type="dxa"/>
              <w:right w:w="85" w:type="dxa"/>
            </w:tcMar>
          </w:tcPr>
          <w:p>
            <w:pPr>
              <w:spacing w:after="0" w:line="257" w:lineRule="auto"/>
            </w:pPr>
            <w:r>
              <w:rPr>
                <w:rFonts w:ascii="Arial" w:hAnsi="Arial"/>
                <w:b/>
                <w:sz w:val="17"/>
              </w:rPr>
              <w:t>Đ4</w:t>
            </w:r>
          </w:p>
        </w:tc>
        <w:tc>
          <w:tcPr>
            <w:tcW w:type="dxa" w:w="1247"/>
            <w:vAlign w:val="center"/>
            <w:shd w:fill="F0F4F8"/>
            <w:tcMar>
              <w:top w:w="88" w:type="dxa"/>
              <w:bottom w:w="88" w:type="dxa"/>
              <w:left w:w="85" w:type="dxa"/>
              <w:right w:w="85" w:type="dxa"/>
            </w:tcMar>
          </w:tcPr>
          <w:p>
            <w:pPr>
              <w:spacing w:after="0" w:line="257" w:lineRule="auto"/>
            </w:pPr>
            <w:r>
              <w:rPr>
                <w:rFonts w:ascii="Arial" w:hAnsi="Arial"/>
                <w:sz w:val="17"/>
              </w:rPr>
              <w:t>AC</w:t>
            </w:r>
          </w:p>
        </w:tc>
        <w:tc>
          <w:tcPr>
            <w:tcW w:type="dxa" w:w="1332"/>
            <w:vAlign w:val="center"/>
            <w:shd w:fill="F0F4F8"/>
            <w:tcMar>
              <w:top w:w="88" w:type="dxa"/>
              <w:bottom w:w="88" w:type="dxa"/>
              <w:left w:w="85" w:type="dxa"/>
              <w:right w:w="85" w:type="dxa"/>
            </w:tcMar>
          </w:tcPr>
          <w:p>
            <w:pPr>
              <w:spacing w:after="0" w:line="257" w:lineRule="auto"/>
            </w:pPr>
            <w:r>
              <w:rPr>
                <w:rFonts w:ascii="Arial" w:hAnsi="Arial"/>
                <w:b/>
                <w:sz w:val="17"/>
              </w:rPr>
              <w:t>Chưa đạt</w:t>
            </w:r>
          </w:p>
        </w:tc>
        <w:tc>
          <w:tcPr>
            <w:tcW w:type="dxa" w:w="6265"/>
            <w:vAlign w:val="center"/>
            <w:shd w:fill="F0F4F8"/>
            <w:tcMar>
              <w:top w:w="88" w:type="dxa"/>
              <w:bottom w:w="88" w:type="dxa"/>
              <w:left w:w="85" w:type="dxa"/>
              <w:right w:w="85" w:type="dxa"/>
            </w:tcMar>
          </w:tcPr>
          <w:p>
            <w:pPr>
              <w:spacing w:after="0" w:line="257" w:lineRule="auto"/>
            </w:pPr>
            <w:r>
              <w:rPr>
                <w:rFonts w:ascii="Arial" w:hAnsi="Arial"/>
                <w:sz w:val="17"/>
              </w:rPr>
              <w:t>Kịch bản số dư không đủ. Thực tế ví vẫn bị trừ tiền nên xử lý nghiệp vụ không đúng; cần kiểm tra thêm điều kiện số dư không đổi.</w:t>
            </w:r>
          </w:p>
        </w:tc>
      </w:tr>
      <w:tr>
        <w:trPr>
          <w:cantSplit/>
        </w:trPr>
        <w:tc>
          <w:tcPr>
            <w:tcW w:type="dxa" w:w="964"/>
            <w:vAlign w:val="center"/>
            <w:tcMar>
              <w:top w:w="88" w:type="dxa"/>
              <w:bottom w:w="88" w:type="dxa"/>
              <w:left w:w="85" w:type="dxa"/>
              <w:right w:w="85" w:type="dxa"/>
            </w:tcMar>
          </w:tcPr>
          <w:p>
            <w:pPr>
              <w:spacing w:after="0" w:line="257" w:lineRule="auto"/>
            </w:pPr>
            <w:r>
              <w:rPr>
                <w:rFonts w:ascii="Arial" w:hAnsi="Arial"/>
                <w:b/>
                <w:sz w:val="17"/>
              </w:rPr>
              <w:t>Đ5</w:t>
            </w:r>
          </w:p>
        </w:tc>
        <w:tc>
          <w:tcPr>
            <w:tcW w:type="dxa" w:w="1247"/>
            <w:vAlign w:val="center"/>
            <w:tcMar>
              <w:top w:w="88" w:type="dxa"/>
              <w:bottom w:w="88" w:type="dxa"/>
              <w:left w:w="85" w:type="dxa"/>
              <w:right w:w="85" w:type="dxa"/>
            </w:tcMar>
          </w:tcPr>
          <w:p>
            <w:pPr>
              <w:spacing w:after="0" w:line="257" w:lineRule="auto"/>
            </w:pPr>
            <w:r>
              <w:rPr>
                <w:rFonts w:ascii="Arial" w:hAnsi="Arial"/>
                <w:sz w:val="17"/>
              </w:rPr>
              <w:t>DoD</w:t>
            </w:r>
          </w:p>
        </w:tc>
        <w:tc>
          <w:tcPr>
            <w:tcW w:type="dxa" w:w="1332"/>
            <w:vAlign w:val="center"/>
            <w:tcMar>
              <w:top w:w="88" w:type="dxa"/>
              <w:bottom w:w="88" w:type="dxa"/>
              <w:left w:w="85" w:type="dxa"/>
              <w:right w:w="85" w:type="dxa"/>
            </w:tcMar>
          </w:tcPr>
          <w:p>
            <w:pPr>
              <w:spacing w:after="0" w:line="257" w:lineRule="auto"/>
            </w:pPr>
            <w:r>
              <w:rPr>
                <w:rFonts w:ascii="Arial" w:hAnsi="Arial"/>
                <w:b/>
                <w:sz w:val="17"/>
              </w:rPr>
              <w:t>Chưa đạt</w:t>
            </w:r>
          </w:p>
        </w:tc>
        <w:tc>
          <w:tcPr>
            <w:tcW w:type="dxa" w:w="6265"/>
            <w:vAlign w:val="center"/>
            <w:tcMar>
              <w:top w:w="88" w:type="dxa"/>
              <w:bottom w:w="88" w:type="dxa"/>
              <w:left w:w="85" w:type="dxa"/>
              <w:right w:w="85" w:type="dxa"/>
            </w:tcMar>
          </w:tcPr>
          <w:p>
            <w:pPr>
              <w:spacing w:after="0" w:line="257" w:lineRule="auto"/>
            </w:pPr>
            <w:r>
              <w:rPr>
                <w:rFonts w:ascii="Arial" w:hAnsi="Arial"/>
                <w:sz w:val="17"/>
              </w:rPr>
              <w:t>Triển khai staging và không còn lỗi Blocker/Critical là chuẩn chung. Lỗi trừ tiền sai cần được phân loại và xử lý trước nghiệm thu.</w:t>
            </w:r>
          </w:p>
        </w:tc>
      </w:tr>
    </w:tbl>
    <w:p>
      <w:pPr>
        <w:pStyle w:val="Heading1"/>
      </w:pPr>
      <w:r>
        <w:t>PHẦN 2. VÁ LỖI</w:t>
      </w:r>
    </w:p>
    <w:p>
      <w:pPr>
        <w:pStyle w:val="Heading2"/>
      </w:pPr>
      <w:r>
        <w:t>1. Viết lại Đ3 thành Acceptance Criteria</w:t>
      </w:r>
    </w:p>
    <w:p>
      <w:pPr>
        <w:spacing w:after="50"/>
        <w:ind w:left="227"/>
      </w:pPr>
      <w:r>
        <w:rPr>
          <w:b/>
          <w:color w:val="1E5484"/>
        </w:rPr>
        <w:t xml:space="preserve">Given: </w:t>
      </w:r>
      <w:r>
        <w:t>Khách có số dư ví đủ thanh toán và đang ở màn hình thanh toán.</w:t>
      </w:r>
    </w:p>
    <w:p>
      <w:pPr>
        <w:spacing w:after="50"/>
        <w:ind w:left="227"/>
      </w:pPr>
      <w:r>
        <w:rPr>
          <w:b/>
          <w:color w:val="1E5484"/>
        </w:rPr>
        <w:t xml:space="preserve">When: </w:t>
      </w:r>
      <w:r>
        <w:t>Khách nhấn nút “Xác nhận thanh toán”.</w:t>
      </w:r>
    </w:p>
    <w:p>
      <w:pPr>
        <w:spacing w:after="50"/>
        <w:ind w:left="227"/>
      </w:pPr>
      <w:r>
        <w:rPr>
          <w:b/>
          <w:color w:val="1E5484"/>
        </w:rPr>
        <w:t xml:space="preserve">Then: </w:t>
      </w:r>
      <w:r>
        <w:t>Trong tối đa 3 giây kể từ khi xác nhận, hệ thống hiển thị thông báo “Thanh toán thành công”.</w:t>
      </w:r>
    </w:p>
    <w:p>
      <w:pPr>
        <w:spacing w:before="40" w:after="100"/>
      </w:pPr>
      <w:r>
        <w:rPr>
          <w:b/>
        </w:rPr>
        <w:t xml:space="preserve">Lưu ý: </w:t>
      </w:r>
      <w:r>
        <w:t>Mốc 3 giây là đề xuất để kiểm thử; Product Owner cần xác nhận trước khi áp dụng.</w:t>
      </w:r>
    </w:p>
    <w:p>
      <w:pPr>
        <w:pStyle w:val="Heading2"/>
      </w:pPr>
      <w:r>
        <w:t>2. Viết lại Đ5 thành Definition of Done chung</w:t>
      </w:r>
    </w:p>
    <w:p>
      <w:r>
        <w:rPr>
          <w:b/>
          <w:color w:val="1E5484"/>
        </w:rPr>
        <w:t xml:space="preserve">DoD: </w:t>
      </w:r>
      <w:r>
        <w:t>Mọi User Story phải được triển khai thành công trên môi trường staging và không còn lỗi mức độ Blocker hoặc Critical chưa được xử lý.</w:t>
      </w:r>
    </w:p>
    <w:p>
      <w:r>
        <w:rPr>
          <w:b/>
        </w:rPr>
        <w:t xml:space="preserve">Cách kiểm chứng: </w:t>
      </w:r>
      <w:r>
        <w:t>Kiểm tra kết quả triển khai trên staging và danh sách lỗi trong hệ thống quản lý lỗi.</w:t>
      </w:r>
    </w:p>
    <w:p>
      <w:pPr>
        <w:pStyle w:val="Heading2"/>
      </w:pPr>
      <w:r>
        <w:t>3. Kết luận và hướng xử lý</w:t>
      </w:r>
    </w:p>
    <w:p>
      <w:r>
        <w:rPr>
          <w:b/>
        </w:rPr>
        <w:t xml:space="preserve">Story chưa hoàn thành. </w:t>
      </w:r>
      <w:r>
        <w:t>Đội phát triển cần sửa lỗi trừ tiền khi số dư không đủ, bổ sung kiểm thử bảo đảm số dư ví không thay đổi, sau đó kiểm tra lại toàn bộ AC và DoD trước khi trình Product Owner nghiệm thu.</w:t>
      </w:r>
    </w:p>
    <w:p>
      <w:pPr>
        <w:spacing w:before="100"/>
      </w:pPr>
      <w:r>
        <w:rPr>
          <w:b/>
          <w:color w:val="1E5484"/>
        </w:rPr>
        <w:t xml:space="preserve">Gợi ý làm rõ Đ4: </w:t>
      </w:r>
      <w:r>
        <w:t>Then nên bổ sung “và số dư ví không thay đổi” để tránh bỏ sót lỗi trừ tiền sai.</w:t>
      </w:r>
    </w:p>
    <w:sectPr w:rsidR="00FC693F" w:rsidRPr="0006063C" w:rsidSect="00034616">
      <w:headerReference w:type="default" r:id="rId9"/>
      <w:footerReference w:type="default" r:id="rId10"/>
      <w:pgSz w:w="11906" w:h="16838"/>
      <w:pgMar w:top="1049" w:right="1049" w:bottom="964" w:left="104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773"/>
        <w:sz w:val="16"/>
      </w:rPr>
      <w:t>SS5_BT2  •  RikkeiGo  •  Acceptance Criteria &amp; Definition of Done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773"/>
        <w:sz w:val="16"/>
      </w:rPr>
      <w:t>RIKKEIGO  /  PHÂN TÍCH USER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1C25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E5484"/>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6304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6304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